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0" w:type="dxa"/>
        <w:tblInd w:w="-252" w:type="dxa"/>
        <w:tblLayout w:type="fixed"/>
        <w:tblCellMar>
          <w:left w:w="0" w:type="dxa"/>
          <w:right w:w="0" w:type="dxa"/>
        </w:tblCellMar>
        <w:tblLook w:val="04A0" w:firstRow="1" w:lastRow="0" w:firstColumn="1" w:lastColumn="0" w:noHBand="0" w:noVBand="1"/>
      </w:tblPr>
      <w:tblGrid>
        <w:gridCol w:w="1170"/>
        <w:gridCol w:w="8280"/>
        <w:gridCol w:w="990"/>
        <w:gridCol w:w="3600"/>
      </w:tblGrid>
      <w:tr w:rsidR="00E23C68" w:rsidTr="00E23C68">
        <w:trPr>
          <w:trHeight w:val="510"/>
        </w:trPr>
        <w:tc>
          <w:tcPr>
            <w:tcW w:w="1170" w:type="dxa"/>
            <w:tcBorders>
              <w:top w:val="single" w:sz="8" w:space="0" w:color="auto"/>
              <w:left w:val="single" w:sz="8" w:space="0" w:color="auto"/>
              <w:bottom w:val="single" w:sz="8" w:space="0" w:color="auto"/>
              <w:right w:val="single" w:sz="8" w:space="0" w:color="auto"/>
            </w:tcBorders>
            <w:shd w:val="clear" w:color="auto" w:fill="1F497D"/>
            <w:tcMar>
              <w:top w:w="0" w:type="dxa"/>
              <w:left w:w="108" w:type="dxa"/>
              <w:bottom w:w="0" w:type="dxa"/>
              <w:right w:w="108" w:type="dxa"/>
            </w:tcMar>
            <w:hideMark/>
          </w:tcPr>
          <w:p w:rsidR="00EE36B0" w:rsidRPr="00E23C68" w:rsidRDefault="00EE36B0">
            <w:pPr>
              <w:rPr>
                <w:b/>
                <w:bCs/>
                <w:color w:val="FFFFFF" w:themeColor="background1"/>
                <w:sz w:val="20"/>
                <w:szCs w:val="20"/>
              </w:rPr>
            </w:pPr>
            <w:r w:rsidRPr="00E23C68">
              <w:rPr>
                <w:b/>
                <w:bCs/>
                <w:color w:val="FFFFFF" w:themeColor="background1"/>
                <w:sz w:val="20"/>
                <w:szCs w:val="20"/>
              </w:rPr>
              <w:t>REV REQ NO.</w:t>
            </w:r>
          </w:p>
        </w:tc>
        <w:tc>
          <w:tcPr>
            <w:tcW w:w="8280"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hideMark/>
          </w:tcPr>
          <w:p w:rsidR="00EE36B0" w:rsidRPr="00E23C68" w:rsidRDefault="00EE36B0">
            <w:pPr>
              <w:rPr>
                <w:b/>
                <w:bCs/>
                <w:color w:val="FFFFFF" w:themeColor="background1"/>
                <w:sz w:val="20"/>
                <w:szCs w:val="20"/>
              </w:rPr>
            </w:pPr>
            <w:r w:rsidRPr="00E23C68">
              <w:rPr>
                <w:b/>
                <w:bCs/>
                <w:color w:val="FFFFFF" w:themeColor="background1"/>
                <w:sz w:val="20"/>
                <w:szCs w:val="20"/>
              </w:rPr>
              <w:t>DESCRIPTION</w:t>
            </w:r>
          </w:p>
        </w:tc>
        <w:tc>
          <w:tcPr>
            <w:tcW w:w="990"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hideMark/>
          </w:tcPr>
          <w:p w:rsidR="00EE36B0" w:rsidRPr="00E23C68" w:rsidRDefault="00EE36B0">
            <w:pPr>
              <w:jc w:val="center"/>
              <w:rPr>
                <w:b/>
                <w:bCs/>
                <w:color w:val="FFFFFF" w:themeColor="background1"/>
                <w:sz w:val="20"/>
                <w:szCs w:val="20"/>
              </w:rPr>
            </w:pPr>
            <w:r w:rsidRPr="00E23C68">
              <w:rPr>
                <w:b/>
                <w:bCs/>
                <w:color w:val="FFFFFF" w:themeColor="background1"/>
                <w:sz w:val="20"/>
                <w:szCs w:val="20"/>
              </w:rPr>
              <w:t>URGENT</w:t>
            </w:r>
          </w:p>
        </w:tc>
        <w:tc>
          <w:tcPr>
            <w:tcW w:w="3600"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hideMark/>
          </w:tcPr>
          <w:p w:rsidR="00EE36B0" w:rsidRPr="00E23C68" w:rsidRDefault="00EE36B0">
            <w:pPr>
              <w:rPr>
                <w:b/>
                <w:bCs/>
                <w:color w:val="FFFFFF" w:themeColor="background1"/>
                <w:sz w:val="20"/>
                <w:szCs w:val="20"/>
              </w:rPr>
            </w:pPr>
            <w:r w:rsidRPr="00E23C68">
              <w:rPr>
                <w:b/>
                <w:bCs/>
                <w:color w:val="FFFFFF" w:themeColor="background1"/>
                <w:sz w:val="20"/>
                <w:szCs w:val="20"/>
              </w:rPr>
              <w:t>ERCOT Opinion</w:t>
            </w:r>
          </w:p>
        </w:tc>
      </w:tr>
      <w:tr w:rsidR="00E23C68" w:rsidTr="00E23C68">
        <w:trPr>
          <w:trHeight w:val="1275"/>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654NPRR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 xml:space="preserve">Discontinue Ancillary Service Requirement Methodology Assessment Report. </w:t>
            </w:r>
            <w:r w:rsidRPr="00C4252A">
              <w:rPr>
                <w:color w:val="000000" w:themeColor="text1"/>
              </w:rPr>
              <w:t>This Nodal Protocol Revision Request (NPRR) proposes the discontinuation of the posting requirement for the Ancillary Service Requirement Methodology Assessment Report, ERCOT Market Information List (EMIL) ID, NP3-783-M.  [MISUG]</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rsidP="00716B9F">
            <w:pPr>
              <w:rPr>
                <w:color w:val="000000" w:themeColor="text1"/>
              </w:rPr>
            </w:pPr>
            <w:r w:rsidRPr="00C4252A">
              <w:rPr>
                <w:color w:val="000000" w:themeColor="text1"/>
              </w:rPr>
              <w:t xml:space="preserve">ERCOT supports approval of NPRR654 as it removes </w:t>
            </w:r>
            <w:r w:rsidR="00716B9F">
              <w:rPr>
                <w:color w:val="000000" w:themeColor="text1"/>
              </w:rPr>
              <w:t>a non-essential</w:t>
            </w:r>
            <w:r w:rsidRPr="00C4252A">
              <w:rPr>
                <w:color w:val="000000" w:themeColor="text1"/>
              </w:rPr>
              <w:t xml:space="preserve"> posting requirement.</w:t>
            </w:r>
          </w:p>
        </w:tc>
      </w:tr>
      <w:tr w:rsidR="00E23C68" w:rsidTr="00E23C68">
        <w:trPr>
          <w:trHeight w:val="1275"/>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655NPRR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 xml:space="preserve">Discontinue Contingency List Changes Due to Weather Report. </w:t>
            </w:r>
            <w:r w:rsidRPr="00C4252A">
              <w:rPr>
                <w:color w:val="000000" w:themeColor="text1"/>
              </w:rPr>
              <w:t>This Nodal Protocol Revision Request (NPRR) proposes the discontinuation of the posting requirement for the Contingency List Changes Due to Weather Report, ERCOT Market Information List (EMIL) ID, ZP4-724-M.  [MISUG]</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color w:val="000000" w:themeColor="text1"/>
              </w:rPr>
            </w:pPr>
            <w:r w:rsidRPr="00C4252A">
              <w:rPr>
                <w:color w:val="000000" w:themeColor="text1"/>
              </w:rPr>
              <w:t xml:space="preserve">ERCOT supports approval of NPRR655 as it removes </w:t>
            </w:r>
            <w:r w:rsidR="00716B9F">
              <w:rPr>
                <w:color w:val="000000" w:themeColor="text1"/>
              </w:rPr>
              <w:t>a non-essential</w:t>
            </w:r>
            <w:r w:rsidR="00716B9F" w:rsidRPr="00C4252A">
              <w:rPr>
                <w:color w:val="000000" w:themeColor="text1"/>
              </w:rPr>
              <w:t xml:space="preserve"> </w:t>
            </w:r>
            <w:r w:rsidRPr="00C4252A">
              <w:rPr>
                <w:color w:val="000000" w:themeColor="text1"/>
              </w:rPr>
              <w:t>posting requirement.</w:t>
            </w:r>
          </w:p>
        </w:tc>
      </w:tr>
      <w:tr w:rsidR="00E23C68" w:rsidTr="00E23C68">
        <w:trPr>
          <w:trHeight w:val="1785"/>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657NPRR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Discontinue Backup Control Plan Sub</w:t>
            </w:r>
            <w:bookmarkStart w:id="0" w:name="_GoBack"/>
            <w:bookmarkEnd w:id="0"/>
            <w:r w:rsidRPr="00C4252A">
              <w:rPr>
                <w:b/>
                <w:bCs/>
                <w:color w:val="000000" w:themeColor="text1"/>
              </w:rPr>
              <w:t xml:space="preserve">mittal Results, Dispatch Instructions Compliance Metrics, and Backup Control Plan Test Dates and Results Summary Reports. </w:t>
            </w:r>
            <w:r w:rsidRPr="00C4252A">
              <w:rPr>
                <w:color w:val="000000" w:themeColor="text1"/>
              </w:rPr>
              <w:t>This Nodal Protocol Revision Request (NPRR) proposes the discontinuation of the posting requirement for Discontinue Backup Control Plan Submittal Results, Dispatch Instructions Compliance Metrics, ERCOT Market Information List (EMIL) ID, NP8-510M and Backup Control Plan Test Dates and Results Summary Reports, EMIL ID NP8-922-M.  [MISUG]</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color w:val="000000" w:themeColor="text1"/>
              </w:rPr>
            </w:pPr>
            <w:r w:rsidRPr="00C4252A">
              <w:rPr>
                <w:color w:val="000000" w:themeColor="text1"/>
              </w:rPr>
              <w:t xml:space="preserve">ERCOT supports approval of NPRR657 as it removes </w:t>
            </w:r>
            <w:r w:rsidR="00716B9F">
              <w:rPr>
                <w:color w:val="000000" w:themeColor="text1"/>
              </w:rPr>
              <w:t>a non-essential</w:t>
            </w:r>
            <w:r w:rsidR="00716B9F" w:rsidRPr="00C4252A">
              <w:rPr>
                <w:color w:val="000000" w:themeColor="text1"/>
              </w:rPr>
              <w:t xml:space="preserve"> </w:t>
            </w:r>
            <w:r w:rsidRPr="00C4252A">
              <w:rPr>
                <w:color w:val="000000" w:themeColor="text1"/>
              </w:rPr>
              <w:t>posting requirement.</w:t>
            </w:r>
          </w:p>
        </w:tc>
      </w:tr>
      <w:tr w:rsidR="00E23C68" w:rsidTr="00E23C68">
        <w:trPr>
          <w:trHeight w:val="102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661NPRR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color w:val="000000" w:themeColor="text1"/>
              </w:rPr>
            </w:pPr>
            <w:r w:rsidRPr="00C4252A">
              <w:rPr>
                <w:b/>
                <w:bCs/>
                <w:color w:val="000000" w:themeColor="text1"/>
              </w:rPr>
              <w:t>Discontinue Posting Profile Data Evaluation Report.</w:t>
            </w:r>
            <w:r w:rsidRPr="00C4252A">
              <w:rPr>
                <w:color w:val="000000" w:themeColor="text1"/>
              </w:rPr>
              <w:t xml:space="preserve"> This Nodal Protocol Revision Request (NPRR) proposes the discontinuation of the posting requirement for the Profile Data Evaluation Report, ERCOT Market Information List (EMIL) ID, ZP18-432-M.   [MISUG]</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color w:val="000000" w:themeColor="text1"/>
              </w:rPr>
            </w:pPr>
            <w:r w:rsidRPr="00C4252A">
              <w:rPr>
                <w:color w:val="000000" w:themeColor="text1"/>
              </w:rPr>
              <w:t xml:space="preserve">ERCOT supports approval of NPRR661 as it removes </w:t>
            </w:r>
            <w:r w:rsidR="00716B9F">
              <w:rPr>
                <w:color w:val="000000" w:themeColor="text1"/>
              </w:rPr>
              <w:t>a non-essential</w:t>
            </w:r>
            <w:r w:rsidR="00716B9F" w:rsidRPr="00C4252A">
              <w:rPr>
                <w:color w:val="000000" w:themeColor="text1"/>
              </w:rPr>
              <w:t xml:space="preserve"> </w:t>
            </w:r>
            <w:r w:rsidRPr="00C4252A">
              <w:rPr>
                <w:color w:val="000000" w:themeColor="text1"/>
              </w:rPr>
              <w:t>posting requirement.</w:t>
            </w:r>
          </w:p>
        </w:tc>
      </w:tr>
      <w:tr w:rsidR="00E23C68" w:rsidTr="00E23C68">
        <w:trPr>
          <w:trHeight w:val="102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668NPRR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 xml:space="preserve">Updates to Texas SET Implementation Guide Process. </w:t>
            </w:r>
            <w:r w:rsidRPr="00C4252A">
              <w:rPr>
                <w:color w:val="000000" w:themeColor="text1"/>
              </w:rPr>
              <w:t xml:space="preserve">This Nodal Protocol Revision Request (NPRR) updates the Texas SET Change Control process for the Texas SET Implementation Guides to clarify classification of change requests and to remove redundant and outdated language. [Texas SET]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EE36B0" w:rsidRPr="00C4252A" w:rsidRDefault="00EE36B0" w:rsidP="00EE36B0">
            <w:pPr>
              <w:rPr>
                <w:color w:val="000000" w:themeColor="text1"/>
              </w:rPr>
            </w:pPr>
            <w:r w:rsidRPr="00C4252A">
              <w:rPr>
                <w:color w:val="000000" w:themeColor="text1"/>
              </w:rPr>
              <w:t>ERCOT supports approval of NPRR668 as it removes redundant and outdated language.</w:t>
            </w:r>
          </w:p>
          <w:p w:rsidR="00EE36B0" w:rsidRPr="00C4252A" w:rsidRDefault="00EE36B0">
            <w:pPr>
              <w:rPr>
                <w:color w:val="000000" w:themeColor="text1"/>
              </w:rPr>
            </w:pPr>
          </w:p>
        </w:tc>
      </w:tr>
      <w:tr w:rsidR="00E23C68" w:rsidTr="00E23C68">
        <w:trPr>
          <w:trHeight w:val="102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676NPRR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 xml:space="preserve">Emergency Response Service (ERS) Offer Disclosure.  </w:t>
            </w:r>
            <w:r w:rsidRPr="00C4252A">
              <w:rPr>
                <w:color w:val="000000" w:themeColor="text1"/>
              </w:rPr>
              <w:t>This Nodal Protocol Revision Request (NPRR) requires ERCOT to post Emergency Response Service (ERS) offer data once per auction after the 60-day confidentiality period expires.  Note that ERCOT is currently providing this information on an as-requested basis.  [TXU Energy]</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EE36B0" w:rsidRPr="00C4252A" w:rsidRDefault="00EE36B0" w:rsidP="00EE36B0">
            <w:pPr>
              <w:rPr>
                <w:color w:val="000000" w:themeColor="text1"/>
              </w:rPr>
            </w:pPr>
            <w:r w:rsidRPr="00C4252A">
              <w:rPr>
                <w:color w:val="000000" w:themeColor="text1"/>
              </w:rPr>
              <w:t>ERCOT supports approval of NPRR676 as it improves data transparency and access.</w:t>
            </w:r>
          </w:p>
          <w:p w:rsidR="00EE36B0" w:rsidRPr="00C4252A" w:rsidRDefault="00EE36B0">
            <w:pPr>
              <w:rPr>
                <w:color w:val="000000" w:themeColor="text1"/>
              </w:rPr>
            </w:pPr>
          </w:p>
        </w:tc>
      </w:tr>
      <w:tr w:rsidR="00E23C68" w:rsidTr="00E23C68">
        <w:trPr>
          <w:trHeight w:val="765"/>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677NPRR</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rPr>
                <w:b/>
                <w:bCs/>
                <w:color w:val="000000" w:themeColor="text1"/>
              </w:rPr>
            </w:pPr>
            <w:r w:rsidRPr="00C4252A">
              <w:rPr>
                <w:b/>
                <w:bCs/>
                <w:color w:val="000000" w:themeColor="text1"/>
              </w:rPr>
              <w:t xml:space="preserve">Remove Outdated NERC Reference. </w:t>
            </w:r>
            <w:r w:rsidRPr="00C4252A">
              <w:rPr>
                <w:color w:val="000000" w:themeColor="text1"/>
              </w:rPr>
              <w:t> This Nodal Protocol Revision Request (NPRR) removes outdated language from this section that references back to North American Electric Reliability Corporation (NERC) information that no longer exists.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pPr>
              <w:jc w:val="center"/>
              <w:rPr>
                <w:color w:val="000000" w:themeColor="text1"/>
              </w:rPr>
            </w:pPr>
            <w:r w:rsidRPr="00C4252A">
              <w:rPr>
                <w:color w:val="000000" w:themeColor="text1"/>
              </w:rPr>
              <w:t>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EE36B0" w:rsidRPr="00C4252A" w:rsidRDefault="00EE36B0" w:rsidP="00716B9F">
            <w:pPr>
              <w:rPr>
                <w:color w:val="000000" w:themeColor="text1"/>
              </w:rPr>
            </w:pPr>
            <w:r w:rsidRPr="00C4252A">
              <w:rPr>
                <w:color w:val="000000" w:themeColor="text1"/>
              </w:rPr>
              <w:t>ERCOT supports approval of N</w:t>
            </w:r>
            <w:r w:rsidR="00716B9F">
              <w:rPr>
                <w:color w:val="000000" w:themeColor="text1"/>
              </w:rPr>
              <w:t>PRR677.</w:t>
            </w:r>
            <w:r w:rsidR="00B62638">
              <w:rPr>
                <w:color w:val="000000" w:themeColor="text1"/>
              </w:rPr>
              <w:t xml:space="preserve">  (ERCOT submitted NPRR)</w:t>
            </w:r>
          </w:p>
        </w:tc>
      </w:tr>
    </w:tbl>
    <w:p w:rsidR="00723F4B" w:rsidRDefault="00723F4B" w:rsidP="00723F4B"/>
    <w:sectPr w:rsidR="00723F4B" w:rsidSect="00551D7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75" w:rsidRDefault="00551D75" w:rsidP="00551D75">
      <w:r>
        <w:separator/>
      </w:r>
    </w:p>
  </w:endnote>
  <w:endnote w:type="continuationSeparator" w:id="0">
    <w:p w:rsidR="00551D75" w:rsidRDefault="00551D75" w:rsidP="005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75" w:rsidRDefault="00551D75" w:rsidP="00551D75">
      <w:r>
        <w:separator/>
      </w:r>
    </w:p>
  </w:footnote>
  <w:footnote w:type="continuationSeparator" w:id="0">
    <w:p w:rsidR="00551D75" w:rsidRDefault="00551D75" w:rsidP="0055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75" w:rsidRPr="00B62638" w:rsidRDefault="00551D75" w:rsidP="00E23C68">
    <w:pPr>
      <w:pStyle w:val="Header"/>
      <w:ind w:left="-360"/>
      <w:rPr>
        <w:b/>
        <w:u w:val="single"/>
      </w:rPr>
    </w:pPr>
    <w:r w:rsidRPr="00B62638">
      <w:rPr>
        <w:b/>
        <w:u w:val="single"/>
      </w:rPr>
      <w:t xml:space="preserve">ERCOT Opinions – </w:t>
    </w:r>
    <w:r w:rsidR="00716B9F" w:rsidRPr="00B62638">
      <w:rPr>
        <w:b/>
        <w:u w:val="single"/>
      </w:rPr>
      <w:t>February 26</w:t>
    </w:r>
    <w:r w:rsidR="00B62638" w:rsidRPr="00B62638">
      <w:rPr>
        <w:b/>
        <w:u w:val="single"/>
      </w:rPr>
      <w:t>, 2015</w:t>
    </w:r>
    <w:r w:rsidRPr="00B62638">
      <w:rPr>
        <w:b/>
        <w:u w:val="single"/>
      </w:rPr>
      <w:t xml:space="preserve"> TAC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B5"/>
    <w:rsid w:val="002423EA"/>
    <w:rsid w:val="003C4AF0"/>
    <w:rsid w:val="00440D77"/>
    <w:rsid w:val="00450F64"/>
    <w:rsid w:val="00507AD2"/>
    <w:rsid w:val="00551D75"/>
    <w:rsid w:val="00595FA1"/>
    <w:rsid w:val="00716B9F"/>
    <w:rsid w:val="00723F4B"/>
    <w:rsid w:val="009770B5"/>
    <w:rsid w:val="00B62638"/>
    <w:rsid w:val="00BA690B"/>
    <w:rsid w:val="00BD5B49"/>
    <w:rsid w:val="00BE7005"/>
    <w:rsid w:val="00C4252A"/>
    <w:rsid w:val="00CF43F0"/>
    <w:rsid w:val="00E23C68"/>
    <w:rsid w:val="00EE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75"/>
    <w:pPr>
      <w:tabs>
        <w:tab w:val="center" w:pos="4680"/>
        <w:tab w:val="right" w:pos="9360"/>
      </w:tabs>
    </w:pPr>
  </w:style>
  <w:style w:type="character" w:customStyle="1" w:styleId="HeaderChar">
    <w:name w:val="Header Char"/>
    <w:basedOn w:val="DefaultParagraphFont"/>
    <w:link w:val="Header"/>
    <w:uiPriority w:val="99"/>
    <w:rsid w:val="00551D75"/>
    <w:rPr>
      <w:rFonts w:ascii="Calibri" w:hAnsi="Calibri" w:cs="Times New Roman"/>
    </w:rPr>
  </w:style>
  <w:style w:type="paragraph" w:styleId="Footer">
    <w:name w:val="footer"/>
    <w:basedOn w:val="Normal"/>
    <w:link w:val="FooterChar"/>
    <w:uiPriority w:val="99"/>
    <w:unhideWhenUsed/>
    <w:rsid w:val="00551D75"/>
    <w:pPr>
      <w:tabs>
        <w:tab w:val="center" w:pos="4680"/>
        <w:tab w:val="right" w:pos="9360"/>
      </w:tabs>
    </w:pPr>
  </w:style>
  <w:style w:type="character" w:customStyle="1" w:styleId="FooterChar">
    <w:name w:val="Footer Char"/>
    <w:basedOn w:val="DefaultParagraphFont"/>
    <w:link w:val="Footer"/>
    <w:uiPriority w:val="99"/>
    <w:rsid w:val="00551D75"/>
    <w:rPr>
      <w:rFonts w:ascii="Calibri" w:hAnsi="Calibri" w:cs="Times New Roman"/>
    </w:rPr>
  </w:style>
  <w:style w:type="paragraph" w:styleId="NormalWeb">
    <w:name w:val="Normal (Web)"/>
    <w:basedOn w:val="Normal"/>
    <w:uiPriority w:val="99"/>
    <w:semiHidden/>
    <w:unhideWhenUsed/>
    <w:rsid w:val="00440D7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75"/>
    <w:pPr>
      <w:tabs>
        <w:tab w:val="center" w:pos="4680"/>
        <w:tab w:val="right" w:pos="9360"/>
      </w:tabs>
    </w:pPr>
  </w:style>
  <w:style w:type="character" w:customStyle="1" w:styleId="HeaderChar">
    <w:name w:val="Header Char"/>
    <w:basedOn w:val="DefaultParagraphFont"/>
    <w:link w:val="Header"/>
    <w:uiPriority w:val="99"/>
    <w:rsid w:val="00551D75"/>
    <w:rPr>
      <w:rFonts w:ascii="Calibri" w:hAnsi="Calibri" w:cs="Times New Roman"/>
    </w:rPr>
  </w:style>
  <w:style w:type="paragraph" w:styleId="Footer">
    <w:name w:val="footer"/>
    <w:basedOn w:val="Normal"/>
    <w:link w:val="FooterChar"/>
    <w:uiPriority w:val="99"/>
    <w:unhideWhenUsed/>
    <w:rsid w:val="00551D75"/>
    <w:pPr>
      <w:tabs>
        <w:tab w:val="center" w:pos="4680"/>
        <w:tab w:val="right" w:pos="9360"/>
      </w:tabs>
    </w:pPr>
  </w:style>
  <w:style w:type="character" w:customStyle="1" w:styleId="FooterChar">
    <w:name w:val="Footer Char"/>
    <w:basedOn w:val="DefaultParagraphFont"/>
    <w:link w:val="Footer"/>
    <w:uiPriority w:val="99"/>
    <w:rsid w:val="00551D75"/>
    <w:rPr>
      <w:rFonts w:ascii="Calibri" w:hAnsi="Calibri" w:cs="Times New Roman"/>
    </w:rPr>
  </w:style>
  <w:style w:type="paragraph" w:styleId="NormalWeb">
    <w:name w:val="Normal (Web)"/>
    <w:basedOn w:val="Normal"/>
    <w:uiPriority w:val="99"/>
    <w:semiHidden/>
    <w:unhideWhenUsed/>
    <w:rsid w:val="00440D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3557">
      <w:bodyDiv w:val="1"/>
      <w:marLeft w:val="0"/>
      <w:marRight w:val="0"/>
      <w:marTop w:val="0"/>
      <w:marBottom w:val="0"/>
      <w:divBdr>
        <w:top w:val="none" w:sz="0" w:space="0" w:color="auto"/>
        <w:left w:val="none" w:sz="0" w:space="0" w:color="auto"/>
        <w:bottom w:val="none" w:sz="0" w:space="0" w:color="auto"/>
        <w:right w:val="none" w:sz="0" w:space="0" w:color="auto"/>
      </w:divBdr>
    </w:div>
    <w:div w:id="832915982">
      <w:bodyDiv w:val="1"/>
      <w:marLeft w:val="0"/>
      <w:marRight w:val="0"/>
      <w:marTop w:val="0"/>
      <w:marBottom w:val="0"/>
      <w:divBdr>
        <w:top w:val="none" w:sz="0" w:space="0" w:color="auto"/>
        <w:left w:val="none" w:sz="0" w:space="0" w:color="auto"/>
        <w:bottom w:val="none" w:sz="0" w:space="0" w:color="auto"/>
        <w:right w:val="none" w:sz="0" w:space="0" w:color="auto"/>
      </w:divBdr>
    </w:div>
    <w:div w:id="1124274842">
      <w:bodyDiv w:val="1"/>
      <w:marLeft w:val="0"/>
      <w:marRight w:val="0"/>
      <w:marTop w:val="0"/>
      <w:marBottom w:val="0"/>
      <w:divBdr>
        <w:top w:val="none" w:sz="0" w:space="0" w:color="auto"/>
        <w:left w:val="none" w:sz="0" w:space="0" w:color="auto"/>
        <w:bottom w:val="none" w:sz="0" w:space="0" w:color="auto"/>
        <w:right w:val="none" w:sz="0" w:space="0" w:color="auto"/>
      </w:divBdr>
    </w:div>
    <w:div w:id="1215461284">
      <w:bodyDiv w:val="1"/>
      <w:marLeft w:val="0"/>
      <w:marRight w:val="0"/>
      <w:marTop w:val="0"/>
      <w:marBottom w:val="0"/>
      <w:divBdr>
        <w:top w:val="none" w:sz="0" w:space="0" w:color="auto"/>
        <w:left w:val="none" w:sz="0" w:space="0" w:color="auto"/>
        <w:bottom w:val="none" w:sz="0" w:space="0" w:color="auto"/>
        <w:right w:val="none" w:sz="0" w:space="0" w:color="auto"/>
      </w:divBdr>
    </w:div>
    <w:div w:id="1335956468">
      <w:bodyDiv w:val="1"/>
      <w:marLeft w:val="0"/>
      <w:marRight w:val="0"/>
      <w:marTop w:val="0"/>
      <w:marBottom w:val="0"/>
      <w:divBdr>
        <w:top w:val="none" w:sz="0" w:space="0" w:color="auto"/>
        <w:left w:val="none" w:sz="0" w:space="0" w:color="auto"/>
        <w:bottom w:val="none" w:sz="0" w:space="0" w:color="auto"/>
        <w:right w:val="none" w:sz="0" w:space="0" w:color="auto"/>
      </w:divBdr>
    </w:div>
    <w:div w:id="1931506515">
      <w:bodyDiv w:val="1"/>
      <w:marLeft w:val="0"/>
      <w:marRight w:val="0"/>
      <w:marTop w:val="0"/>
      <w:marBottom w:val="0"/>
      <w:divBdr>
        <w:top w:val="none" w:sz="0" w:space="0" w:color="auto"/>
        <w:left w:val="none" w:sz="0" w:space="0" w:color="auto"/>
        <w:bottom w:val="none" w:sz="0" w:space="0" w:color="auto"/>
        <w:right w:val="none" w:sz="0" w:space="0" w:color="auto"/>
      </w:divBdr>
    </w:div>
    <w:div w:id="21067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Albracht, Brittney</dc:creator>
  <cp:lastModifiedBy>A. Boren</cp:lastModifiedBy>
  <cp:revision>2</cp:revision>
  <dcterms:created xsi:type="dcterms:W3CDTF">2015-02-19T14:48:00Z</dcterms:created>
  <dcterms:modified xsi:type="dcterms:W3CDTF">2015-02-19T14:48:00Z</dcterms:modified>
</cp:coreProperties>
</file>