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40" w:rsidRPr="00C65250" w:rsidRDefault="009B69FA" w:rsidP="009B69FA">
      <w:pPr>
        <w:ind w:left="360"/>
        <w:rPr>
          <w:rFonts w:ascii="Arial" w:hAnsi="Arial" w:cs="Arial"/>
          <w:color w:val="000000"/>
          <w:sz w:val="22"/>
          <w:szCs w:val="22"/>
        </w:rPr>
      </w:pPr>
      <w:r w:rsidRPr="00C65250">
        <w:rPr>
          <w:rFonts w:ascii="Arial" w:hAnsi="Arial" w:cs="Arial"/>
          <w:sz w:val="22"/>
          <w:szCs w:val="22"/>
        </w:rPr>
        <w:t>TX SET MEETING</w:t>
      </w:r>
      <w:r w:rsidRPr="00C65250">
        <w:rPr>
          <w:rFonts w:ascii="Arial" w:hAnsi="Arial" w:cs="Arial"/>
          <w:color w:val="000000"/>
          <w:sz w:val="22"/>
          <w:szCs w:val="22"/>
        </w:rPr>
        <w:t xml:space="preserve"> Day 1</w:t>
      </w:r>
    </w:p>
    <w:p w:rsidR="009B69FA" w:rsidRPr="00C65250" w:rsidRDefault="009B69FA" w:rsidP="009B69FA">
      <w:pPr>
        <w:ind w:left="360"/>
        <w:rPr>
          <w:rFonts w:ascii="Arial" w:hAnsi="Arial" w:cs="Arial"/>
          <w:color w:val="000000"/>
          <w:sz w:val="22"/>
          <w:szCs w:val="22"/>
        </w:rPr>
      </w:pPr>
      <w:r w:rsidRPr="00C65250">
        <w:rPr>
          <w:rFonts w:ascii="Arial" w:hAnsi="Arial" w:cs="Arial"/>
          <w:color w:val="000000"/>
          <w:sz w:val="22"/>
          <w:szCs w:val="22"/>
        </w:rPr>
        <w:t xml:space="preserve">ERCOT MET Center Room </w:t>
      </w:r>
      <w:r w:rsidR="0031181A" w:rsidRPr="00C65250">
        <w:rPr>
          <w:rFonts w:ascii="Arial" w:hAnsi="Arial" w:cs="Arial"/>
          <w:color w:val="000000"/>
          <w:sz w:val="22"/>
          <w:szCs w:val="22"/>
        </w:rPr>
        <w:t>168</w:t>
      </w:r>
    </w:p>
    <w:p w:rsidR="009B69FA" w:rsidRPr="00C65250" w:rsidRDefault="00E95B08" w:rsidP="009B69FA">
      <w:pPr>
        <w:ind w:left="360"/>
        <w:rPr>
          <w:rFonts w:ascii="Arial" w:hAnsi="Arial" w:cs="Arial"/>
          <w:color w:val="000000"/>
          <w:sz w:val="22"/>
          <w:szCs w:val="22"/>
        </w:rPr>
      </w:pPr>
      <w:r>
        <w:rPr>
          <w:rFonts w:ascii="Arial" w:hAnsi="Arial" w:cs="Arial"/>
          <w:color w:val="000000"/>
          <w:sz w:val="22"/>
          <w:szCs w:val="22"/>
        </w:rPr>
        <w:t>February</w:t>
      </w:r>
      <w:r w:rsidR="00701A11" w:rsidRPr="00C65250">
        <w:rPr>
          <w:rFonts w:ascii="Arial" w:hAnsi="Arial" w:cs="Arial"/>
          <w:color w:val="000000"/>
          <w:sz w:val="22"/>
          <w:szCs w:val="22"/>
        </w:rPr>
        <w:t xml:space="preserve"> </w:t>
      </w:r>
      <w:r>
        <w:rPr>
          <w:rFonts w:ascii="Arial" w:hAnsi="Arial" w:cs="Arial"/>
          <w:color w:val="000000"/>
          <w:sz w:val="22"/>
          <w:szCs w:val="22"/>
        </w:rPr>
        <w:t>18</w:t>
      </w:r>
      <w:r w:rsidR="009B69FA" w:rsidRPr="00C65250">
        <w:rPr>
          <w:rFonts w:ascii="Arial" w:hAnsi="Arial" w:cs="Arial"/>
          <w:color w:val="000000"/>
          <w:sz w:val="22"/>
          <w:szCs w:val="22"/>
        </w:rPr>
        <w:t xml:space="preserve">, </w:t>
      </w:r>
      <w:r w:rsidR="0042688B" w:rsidRPr="00C65250">
        <w:rPr>
          <w:rFonts w:ascii="Arial" w:hAnsi="Arial" w:cs="Arial"/>
          <w:color w:val="000000"/>
          <w:sz w:val="22"/>
          <w:szCs w:val="22"/>
        </w:rPr>
        <w:t>2014</w:t>
      </w:r>
      <w:r w:rsidR="009B69FA" w:rsidRPr="00C65250">
        <w:rPr>
          <w:rFonts w:ascii="Arial" w:hAnsi="Arial" w:cs="Arial"/>
          <w:color w:val="000000"/>
          <w:sz w:val="22"/>
          <w:szCs w:val="22"/>
        </w:rPr>
        <w:t xml:space="preserve">; </w:t>
      </w:r>
      <w:r w:rsidR="00E02258" w:rsidRPr="00C65250">
        <w:rPr>
          <w:rFonts w:ascii="Arial" w:hAnsi="Arial" w:cs="Arial"/>
          <w:color w:val="000000"/>
          <w:sz w:val="22"/>
          <w:szCs w:val="22"/>
        </w:rPr>
        <w:t>10 AM</w:t>
      </w:r>
      <w:r w:rsidR="009B69FA" w:rsidRPr="00C65250">
        <w:rPr>
          <w:rFonts w:ascii="Arial" w:hAnsi="Arial" w:cs="Arial"/>
          <w:color w:val="000000"/>
          <w:sz w:val="22"/>
          <w:szCs w:val="22"/>
        </w:rPr>
        <w:t xml:space="preserve"> – 4 pm</w:t>
      </w:r>
    </w:p>
    <w:p w:rsidR="00DF4940" w:rsidRPr="00C65250" w:rsidRDefault="00DF4940" w:rsidP="00BC6AED">
      <w:pPr>
        <w:pStyle w:val="PlainText"/>
        <w:ind w:left="360"/>
        <w:rPr>
          <w:rFonts w:ascii="Arial" w:hAnsi="Arial" w:cs="Arial"/>
        </w:rPr>
      </w:pPr>
      <w:r w:rsidRPr="00C65250">
        <w:rPr>
          <w:rFonts w:ascii="Arial" w:hAnsi="Arial" w:cs="Arial"/>
        </w:rPr>
        <w:t>WebEx Information</w:t>
      </w:r>
    </w:p>
    <w:p w:rsidR="00347F75" w:rsidRPr="00C65250" w:rsidRDefault="00141FF5" w:rsidP="00347F75">
      <w:pPr>
        <w:pStyle w:val="PlainText"/>
        <w:ind w:left="360"/>
        <w:rPr>
          <w:rFonts w:ascii="Arial" w:hAnsi="Arial" w:cs="Arial"/>
        </w:rPr>
      </w:pPr>
      <w:hyperlink r:id="rId9" w:history="1">
        <w:r w:rsidR="00347F75" w:rsidRPr="00C65250">
          <w:rPr>
            <w:rStyle w:val="Hyperlink"/>
            <w:rFonts w:ascii="Arial" w:hAnsi="Arial" w:cs="Arial"/>
          </w:rPr>
          <w:t>http://ercot.webex.com</w:t>
        </w:r>
      </w:hyperlink>
    </w:p>
    <w:p w:rsidR="00701A11" w:rsidRPr="00C65250" w:rsidRDefault="00701A11" w:rsidP="00701A11">
      <w:pPr>
        <w:pStyle w:val="PlainText"/>
        <w:ind w:left="360"/>
        <w:rPr>
          <w:rFonts w:ascii="Arial" w:hAnsi="Arial" w:cs="Arial"/>
        </w:rPr>
      </w:pPr>
      <w:r w:rsidRPr="00C65250">
        <w:rPr>
          <w:rFonts w:ascii="Arial" w:hAnsi="Arial" w:cs="Arial"/>
        </w:rPr>
        <w:t xml:space="preserve">Meeting Number: </w:t>
      </w:r>
      <w:r w:rsidRPr="00C65250">
        <w:rPr>
          <w:rFonts w:ascii="Arial" w:hAnsi="Arial" w:cs="Arial"/>
          <w:sz w:val="20"/>
          <w:szCs w:val="20"/>
        </w:rPr>
        <w:t>  </w:t>
      </w:r>
      <w:r w:rsidR="00E95B08">
        <w:rPr>
          <w:rFonts w:ascii="Arial" w:hAnsi="Arial" w:cs="Arial"/>
          <w:sz w:val="20"/>
          <w:szCs w:val="20"/>
        </w:rPr>
        <w:t>652 577 437</w:t>
      </w:r>
    </w:p>
    <w:p w:rsidR="00701A11" w:rsidRPr="00C65250" w:rsidRDefault="00701A11" w:rsidP="00701A11">
      <w:pPr>
        <w:pStyle w:val="PlainText"/>
        <w:ind w:left="360"/>
        <w:rPr>
          <w:rFonts w:ascii="Arial" w:hAnsi="Arial" w:cs="Arial"/>
        </w:rPr>
      </w:pPr>
      <w:r w:rsidRPr="00C65250">
        <w:rPr>
          <w:rFonts w:ascii="Arial" w:hAnsi="Arial" w:cs="Arial"/>
        </w:rPr>
        <w:t xml:space="preserve">Meeting Password: </w:t>
      </w:r>
      <w:r w:rsidRPr="00C65250">
        <w:rPr>
          <w:rFonts w:ascii="Arial" w:hAnsi="Arial" w:cs="Arial"/>
          <w:sz w:val="20"/>
          <w:szCs w:val="20"/>
        </w:rPr>
        <w:t> </w:t>
      </w:r>
      <w:proofErr w:type="spellStart"/>
      <w:r w:rsidR="00706142">
        <w:rPr>
          <w:rFonts w:ascii="Arial" w:hAnsi="Arial" w:cs="Arial"/>
          <w:sz w:val="20"/>
          <w:szCs w:val="20"/>
        </w:rPr>
        <w:t>TXset</w:t>
      </w:r>
      <w:proofErr w:type="spellEnd"/>
    </w:p>
    <w:p w:rsidR="00347F75" w:rsidRPr="00C65250" w:rsidRDefault="00347F75" w:rsidP="00347F75">
      <w:pPr>
        <w:pStyle w:val="PlainText"/>
        <w:ind w:left="360"/>
        <w:rPr>
          <w:rFonts w:ascii="Arial" w:hAnsi="Arial" w:cs="Arial"/>
        </w:rPr>
      </w:pPr>
      <w:r w:rsidRPr="00C65250">
        <w:rPr>
          <w:rFonts w:ascii="Arial" w:hAnsi="Arial" w:cs="Arial"/>
        </w:rPr>
        <w:t>Audio Dial-In: 1.877.668.4493</w:t>
      </w:r>
    </w:p>
    <w:p w:rsidR="00142440" w:rsidRPr="00C65250" w:rsidRDefault="00EF0A46" w:rsidP="00AC0D53">
      <w:pPr>
        <w:ind w:left="360"/>
        <w:rPr>
          <w:rFonts w:ascii="Arial" w:hAnsi="Arial" w:cs="Arial"/>
          <w:sz w:val="20"/>
          <w:szCs w:val="20"/>
        </w:rPr>
      </w:pPr>
      <w:r w:rsidRPr="00C65250">
        <w:rPr>
          <w:rFonts w:ascii="Arial" w:hAnsi="Arial" w:cs="Arial"/>
          <w:sz w:val="20"/>
          <w:szCs w:val="20"/>
        </w:rPr>
        <w:t xml:space="preserve">Global call-in numbers: </w:t>
      </w:r>
      <w:hyperlink r:id="rId10" w:tgtFrame="_blank" w:history="1">
        <w:r w:rsidRPr="00C65250">
          <w:rPr>
            <w:rStyle w:val="Hyperlink"/>
            <w:rFonts w:ascii="Arial" w:hAnsi="Arial" w:cs="Arial"/>
            <w:sz w:val="20"/>
            <w:szCs w:val="20"/>
          </w:rPr>
          <w:t>https://ercot.webex.com/ercot/globalcallin.php?serviceType=MC&amp;ED=214078362&amp;tollFree=1</w:t>
        </w:r>
      </w:hyperlink>
      <w:r w:rsidRPr="00C65250">
        <w:rPr>
          <w:rFonts w:ascii="Arial" w:hAnsi="Arial" w:cs="Arial"/>
          <w:sz w:val="20"/>
          <w:szCs w:val="20"/>
        </w:rPr>
        <w:t xml:space="preserve"> </w:t>
      </w:r>
      <w:r w:rsidRPr="00C65250">
        <w:rPr>
          <w:rFonts w:ascii="Arial" w:hAnsi="Arial" w:cs="Arial"/>
          <w:sz w:val="20"/>
          <w:szCs w:val="20"/>
        </w:rPr>
        <w:br/>
        <w:t xml:space="preserve">Toll-free dialing restrictions: </w:t>
      </w:r>
      <w:hyperlink r:id="rId11" w:tgtFrame="_blank" w:history="1">
        <w:r w:rsidRPr="00C65250">
          <w:rPr>
            <w:rStyle w:val="Hyperlink"/>
            <w:rFonts w:ascii="Arial" w:hAnsi="Arial" w:cs="Arial"/>
            <w:sz w:val="20"/>
            <w:szCs w:val="20"/>
          </w:rPr>
          <w:t>http://www.webex.com/pdf/tollfree_restrictions.pdf</w:t>
        </w:r>
      </w:hyperlink>
      <w:r w:rsidRPr="00C65250">
        <w:rPr>
          <w:rFonts w:ascii="Arial" w:hAnsi="Arial" w:cs="Arial"/>
          <w:sz w:val="20"/>
          <w:szCs w:val="20"/>
        </w:rPr>
        <w:t xml:space="preserve"> </w:t>
      </w:r>
    </w:p>
    <w:tbl>
      <w:tblPr>
        <w:tblW w:w="13280" w:type="dxa"/>
        <w:tblInd w:w="-162" w:type="dxa"/>
        <w:tblLook w:val="01E0" w:firstRow="1" w:lastRow="1" w:firstColumn="1" w:lastColumn="1" w:noHBand="0" w:noVBand="0"/>
      </w:tblPr>
      <w:tblGrid>
        <w:gridCol w:w="89"/>
        <w:gridCol w:w="462"/>
        <w:gridCol w:w="125"/>
        <w:gridCol w:w="5251"/>
        <w:gridCol w:w="2122"/>
        <w:gridCol w:w="893"/>
        <w:gridCol w:w="1940"/>
        <w:gridCol w:w="1384"/>
        <w:gridCol w:w="1014"/>
      </w:tblGrid>
      <w:tr w:rsidR="00142440" w:rsidRPr="00C65250" w:rsidTr="002075DB">
        <w:trPr>
          <w:gridBefore w:val="1"/>
          <w:wBefore w:w="89" w:type="dxa"/>
          <w:trHeight w:val="540"/>
        </w:trPr>
        <w:tc>
          <w:tcPr>
            <w:tcW w:w="587" w:type="dxa"/>
            <w:gridSpan w:val="2"/>
          </w:tcPr>
          <w:p w:rsidR="00142440" w:rsidRPr="00C65250" w:rsidRDefault="00142440" w:rsidP="004D6892">
            <w:pPr>
              <w:rPr>
                <w:rFonts w:ascii="Arial" w:hAnsi="Arial" w:cs="Arial"/>
                <w:sz w:val="22"/>
                <w:szCs w:val="22"/>
              </w:rPr>
            </w:pPr>
            <w:r w:rsidRPr="00C65250">
              <w:rPr>
                <w:rFonts w:ascii="Arial" w:hAnsi="Arial" w:cs="Arial"/>
                <w:sz w:val="22"/>
                <w:szCs w:val="22"/>
              </w:rPr>
              <w:t>1.</w:t>
            </w:r>
          </w:p>
        </w:tc>
        <w:tc>
          <w:tcPr>
            <w:tcW w:w="10206" w:type="dxa"/>
            <w:gridSpan w:val="4"/>
          </w:tcPr>
          <w:p w:rsidR="00BE30A9" w:rsidRPr="00C65250" w:rsidRDefault="00142440" w:rsidP="00021663">
            <w:pPr>
              <w:jc w:val="both"/>
              <w:rPr>
                <w:rFonts w:ascii="Arial" w:hAnsi="Arial" w:cs="Arial"/>
                <w:sz w:val="23"/>
                <w:szCs w:val="23"/>
              </w:rPr>
            </w:pPr>
            <w:r w:rsidRPr="00A165BE">
              <w:rPr>
                <w:rFonts w:ascii="Arial" w:hAnsi="Arial" w:cs="Arial"/>
                <w:b/>
                <w:sz w:val="22"/>
                <w:szCs w:val="22"/>
              </w:rPr>
              <w:t>Antitrust Admonition</w:t>
            </w:r>
            <w:r w:rsidR="007172C0" w:rsidRPr="00A165BE">
              <w:rPr>
                <w:rFonts w:ascii="Arial" w:hAnsi="Arial" w:cs="Arial"/>
                <w:b/>
                <w:sz w:val="22"/>
                <w:szCs w:val="22"/>
              </w:rPr>
              <w:t>:</w:t>
            </w:r>
            <w:r w:rsidR="007172C0" w:rsidRPr="00C65250">
              <w:rPr>
                <w:rFonts w:ascii="Arial" w:hAnsi="Arial" w:cs="Arial"/>
                <w:sz w:val="22"/>
                <w:szCs w:val="22"/>
              </w:rPr>
              <w:t xml:space="preserve"> </w:t>
            </w:r>
            <w:r w:rsidR="00BE30A9" w:rsidRPr="00C65250">
              <w:rPr>
                <w:rFonts w:ascii="Arial" w:hAnsi="Arial" w:cs="Arial"/>
                <w:sz w:val="23"/>
                <w:szCs w:val="23"/>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12" w:history="1">
              <w:r w:rsidR="00BE30A9" w:rsidRPr="00C65250">
                <w:rPr>
                  <w:rStyle w:val="Hyperlink"/>
                  <w:rFonts w:ascii="Arial" w:hAnsi="Arial" w:cs="Arial"/>
                  <w:spacing w:val="1"/>
                  <w:sz w:val="23"/>
                  <w:szCs w:val="23"/>
                </w:rPr>
                <w:t>http://www.ercot.com/about/governance/index.html</w:t>
              </w:r>
            </w:hyperlink>
            <w:r w:rsidR="00BE30A9" w:rsidRPr="00C65250">
              <w:rPr>
                <w:rFonts w:ascii="Arial" w:hAnsi="Arial" w:cs="Arial"/>
                <w:spacing w:val="1"/>
                <w:sz w:val="23"/>
                <w:szCs w:val="23"/>
              </w:rPr>
              <w:t>.</w:t>
            </w:r>
            <w:r w:rsidR="00BE30A9" w:rsidRPr="00C65250">
              <w:rPr>
                <w:rFonts w:ascii="Arial" w:hAnsi="Arial" w:cs="Arial"/>
                <w:sz w:val="23"/>
                <w:szCs w:val="23"/>
              </w:rPr>
              <w:t xml:space="preserve"> Please remember your ongoing obligation to comply with all applicable laws, including the antitrust laws.</w:t>
            </w:r>
          </w:p>
          <w:p w:rsidR="00BE30A9" w:rsidRPr="00A165BE" w:rsidRDefault="00142440" w:rsidP="00A165BE">
            <w:pPr>
              <w:rPr>
                <w:rFonts w:ascii="Arial" w:hAnsi="Arial" w:cs="Arial"/>
                <w:b/>
                <w:sz w:val="23"/>
                <w:szCs w:val="23"/>
              </w:rPr>
            </w:pPr>
            <w:r w:rsidRPr="00A165BE">
              <w:rPr>
                <w:rFonts w:ascii="Arial" w:hAnsi="Arial" w:cs="Arial"/>
                <w:b/>
                <w:sz w:val="22"/>
                <w:szCs w:val="22"/>
              </w:rPr>
              <w:t xml:space="preserve">Disclaimer: </w:t>
            </w:r>
          </w:p>
          <w:p w:rsidR="00142440" w:rsidRPr="00C65250" w:rsidRDefault="00BE30A9" w:rsidP="00021663">
            <w:pPr>
              <w:rPr>
                <w:rFonts w:ascii="Arial" w:hAnsi="Arial" w:cs="Arial"/>
                <w:sz w:val="22"/>
                <w:szCs w:val="22"/>
              </w:rPr>
            </w:pPr>
            <w:r w:rsidRPr="00C65250">
              <w:rPr>
                <w:rFonts w:ascii="Arial" w:hAnsi="Arial" w:cs="Arial"/>
                <w:sz w:val="23"/>
                <w:szCs w:val="23"/>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c>
        <w:tc>
          <w:tcPr>
            <w:tcW w:w="1384" w:type="dxa"/>
          </w:tcPr>
          <w:p w:rsidR="00142440" w:rsidRPr="00C65250" w:rsidRDefault="00142440" w:rsidP="004D6892">
            <w:pPr>
              <w:rPr>
                <w:rFonts w:ascii="Arial" w:hAnsi="Arial" w:cs="Arial"/>
                <w:sz w:val="22"/>
                <w:szCs w:val="22"/>
              </w:rPr>
            </w:pPr>
          </w:p>
        </w:tc>
        <w:tc>
          <w:tcPr>
            <w:tcW w:w="1014" w:type="dxa"/>
          </w:tcPr>
          <w:p w:rsidR="00142440" w:rsidRPr="00C65250" w:rsidRDefault="00142440" w:rsidP="004D6892">
            <w:pPr>
              <w:rPr>
                <w:rFonts w:ascii="Arial" w:hAnsi="Arial" w:cs="Arial"/>
                <w:sz w:val="22"/>
                <w:szCs w:val="22"/>
              </w:rPr>
            </w:pPr>
            <w:r w:rsidRPr="00C65250">
              <w:rPr>
                <w:rFonts w:ascii="Arial" w:hAnsi="Arial" w:cs="Arial"/>
                <w:sz w:val="22"/>
                <w:szCs w:val="22"/>
              </w:rPr>
              <w:t>9:30 a.m.</w:t>
            </w:r>
          </w:p>
        </w:tc>
      </w:tr>
      <w:tr w:rsidR="00142440" w:rsidRPr="00C65250" w:rsidTr="007E0D98">
        <w:trPr>
          <w:gridAfter w:val="3"/>
          <w:wAfter w:w="4338" w:type="dxa"/>
          <w:trHeight w:val="270"/>
        </w:trPr>
        <w:tc>
          <w:tcPr>
            <w:tcW w:w="551" w:type="dxa"/>
            <w:gridSpan w:val="2"/>
          </w:tcPr>
          <w:p w:rsidR="00142440" w:rsidRPr="00C65250" w:rsidRDefault="00142440" w:rsidP="006F566E">
            <w:pPr>
              <w:rPr>
                <w:rFonts w:ascii="Arial" w:hAnsi="Arial" w:cs="Arial"/>
                <w:sz w:val="22"/>
                <w:szCs w:val="22"/>
              </w:rPr>
            </w:pPr>
            <w:r w:rsidRPr="00C65250">
              <w:rPr>
                <w:rFonts w:ascii="Arial" w:hAnsi="Arial" w:cs="Arial"/>
                <w:sz w:val="22"/>
                <w:szCs w:val="22"/>
              </w:rPr>
              <w:t>2.</w:t>
            </w:r>
          </w:p>
        </w:tc>
        <w:tc>
          <w:tcPr>
            <w:tcW w:w="5376" w:type="dxa"/>
            <w:gridSpan w:val="2"/>
          </w:tcPr>
          <w:p w:rsidR="00D80961" w:rsidRPr="00C65250" w:rsidRDefault="00142440" w:rsidP="006F566E">
            <w:pPr>
              <w:rPr>
                <w:rFonts w:ascii="Arial" w:hAnsi="Arial" w:cs="Arial"/>
                <w:sz w:val="22"/>
                <w:szCs w:val="22"/>
              </w:rPr>
            </w:pPr>
            <w:r w:rsidRPr="00C65250">
              <w:rPr>
                <w:rFonts w:ascii="Arial" w:hAnsi="Arial" w:cs="Arial"/>
                <w:sz w:val="22"/>
                <w:szCs w:val="22"/>
              </w:rPr>
              <w:t>Introductions</w:t>
            </w:r>
          </w:p>
        </w:tc>
        <w:tc>
          <w:tcPr>
            <w:tcW w:w="2122" w:type="dxa"/>
          </w:tcPr>
          <w:p w:rsidR="00142440" w:rsidRPr="00C65250" w:rsidRDefault="005D4DC4" w:rsidP="006F566E">
            <w:pPr>
              <w:rPr>
                <w:rFonts w:ascii="Arial" w:hAnsi="Arial" w:cs="Arial"/>
                <w:sz w:val="22"/>
                <w:szCs w:val="22"/>
              </w:rPr>
            </w:pPr>
            <w:r w:rsidRPr="00C65250">
              <w:rPr>
                <w:rFonts w:ascii="Arial" w:hAnsi="Arial" w:cs="Arial"/>
                <w:sz w:val="22"/>
                <w:szCs w:val="22"/>
              </w:rPr>
              <w:t>Leadership</w:t>
            </w:r>
          </w:p>
        </w:tc>
        <w:tc>
          <w:tcPr>
            <w:tcW w:w="893" w:type="dxa"/>
          </w:tcPr>
          <w:p w:rsidR="00142440" w:rsidRPr="00C65250" w:rsidRDefault="00142440" w:rsidP="006F566E">
            <w:pPr>
              <w:rPr>
                <w:rFonts w:ascii="Arial" w:hAnsi="Arial" w:cs="Arial"/>
                <w:sz w:val="22"/>
                <w:szCs w:val="22"/>
              </w:rPr>
            </w:pPr>
          </w:p>
        </w:tc>
      </w:tr>
      <w:tr w:rsidR="00142440" w:rsidRPr="00C65250" w:rsidTr="007E0D98">
        <w:trPr>
          <w:gridAfter w:val="3"/>
          <w:wAfter w:w="4338" w:type="dxa"/>
          <w:trHeight w:val="270"/>
        </w:trPr>
        <w:tc>
          <w:tcPr>
            <w:tcW w:w="551" w:type="dxa"/>
            <w:gridSpan w:val="2"/>
          </w:tcPr>
          <w:p w:rsidR="00142440" w:rsidRPr="00C65250" w:rsidRDefault="00F1798C" w:rsidP="006F566E">
            <w:pPr>
              <w:rPr>
                <w:rFonts w:ascii="Arial" w:hAnsi="Arial" w:cs="Arial"/>
                <w:sz w:val="22"/>
                <w:szCs w:val="22"/>
              </w:rPr>
            </w:pPr>
            <w:r>
              <w:rPr>
                <w:rFonts w:ascii="Arial" w:hAnsi="Arial" w:cs="Arial"/>
                <w:sz w:val="22"/>
                <w:szCs w:val="22"/>
              </w:rPr>
              <w:t>3</w:t>
            </w:r>
            <w:r w:rsidR="00142440" w:rsidRPr="00C65250">
              <w:rPr>
                <w:rFonts w:ascii="Arial" w:hAnsi="Arial" w:cs="Arial"/>
                <w:sz w:val="22"/>
                <w:szCs w:val="22"/>
              </w:rPr>
              <w:t xml:space="preserve">. </w:t>
            </w:r>
          </w:p>
        </w:tc>
        <w:tc>
          <w:tcPr>
            <w:tcW w:w="5376" w:type="dxa"/>
            <w:gridSpan w:val="2"/>
          </w:tcPr>
          <w:p w:rsidR="00142440" w:rsidRPr="00C65250" w:rsidRDefault="00A1700F" w:rsidP="006F566E">
            <w:pPr>
              <w:rPr>
                <w:rFonts w:ascii="Arial" w:hAnsi="Arial" w:cs="Arial"/>
                <w:sz w:val="22"/>
                <w:szCs w:val="22"/>
              </w:rPr>
            </w:pPr>
            <w:r w:rsidRPr="00C65250">
              <w:rPr>
                <w:rFonts w:ascii="Arial" w:hAnsi="Arial" w:cs="Arial"/>
                <w:sz w:val="22"/>
                <w:szCs w:val="22"/>
              </w:rPr>
              <w:t>Last Month Meeting Notes-updates if any</w:t>
            </w:r>
          </w:p>
        </w:tc>
        <w:tc>
          <w:tcPr>
            <w:tcW w:w="2122" w:type="dxa"/>
          </w:tcPr>
          <w:p w:rsidR="00142440" w:rsidRPr="00C65250" w:rsidRDefault="00A1700F" w:rsidP="006F566E">
            <w:pPr>
              <w:rPr>
                <w:rFonts w:ascii="Arial" w:hAnsi="Arial" w:cs="Arial"/>
                <w:sz w:val="22"/>
                <w:szCs w:val="22"/>
              </w:rPr>
            </w:pPr>
            <w:r w:rsidRPr="00C65250">
              <w:rPr>
                <w:rFonts w:ascii="Arial" w:hAnsi="Arial" w:cs="Arial"/>
                <w:sz w:val="22"/>
                <w:szCs w:val="22"/>
              </w:rPr>
              <w:t>Leadership</w:t>
            </w:r>
          </w:p>
        </w:tc>
        <w:tc>
          <w:tcPr>
            <w:tcW w:w="893" w:type="dxa"/>
          </w:tcPr>
          <w:p w:rsidR="00142440" w:rsidRPr="00C65250" w:rsidRDefault="00142440" w:rsidP="006F566E">
            <w:pPr>
              <w:rPr>
                <w:rFonts w:ascii="Arial" w:hAnsi="Arial" w:cs="Arial"/>
                <w:sz w:val="22"/>
                <w:szCs w:val="22"/>
              </w:rPr>
            </w:pPr>
          </w:p>
        </w:tc>
      </w:tr>
      <w:tr w:rsidR="007E0D98" w:rsidRPr="00C65250" w:rsidTr="007E0D98">
        <w:trPr>
          <w:gridAfter w:val="3"/>
          <w:wAfter w:w="4338" w:type="dxa"/>
          <w:trHeight w:val="342"/>
        </w:trPr>
        <w:tc>
          <w:tcPr>
            <w:tcW w:w="551" w:type="dxa"/>
            <w:gridSpan w:val="2"/>
          </w:tcPr>
          <w:p w:rsidR="007E0D98" w:rsidRDefault="00F9447E" w:rsidP="009A1361">
            <w:pPr>
              <w:rPr>
                <w:rFonts w:ascii="Arial" w:hAnsi="Arial" w:cs="Arial"/>
                <w:sz w:val="22"/>
                <w:szCs w:val="22"/>
              </w:rPr>
            </w:pPr>
            <w:r>
              <w:rPr>
                <w:rFonts w:ascii="Arial" w:hAnsi="Arial" w:cs="Arial"/>
                <w:sz w:val="22"/>
                <w:szCs w:val="22"/>
              </w:rPr>
              <w:t>4</w:t>
            </w:r>
            <w:r w:rsidR="007E0D98">
              <w:rPr>
                <w:rFonts w:ascii="Arial" w:hAnsi="Arial" w:cs="Arial"/>
                <w:sz w:val="22"/>
                <w:szCs w:val="22"/>
              </w:rPr>
              <w:t>.</w:t>
            </w:r>
          </w:p>
        </w:tc>
        <w:tc>
          <w:tcPr>
            <w:tcW w:w="5376" w:type="dxa"/>
            <w:gridSpan w:val="2"/>
          </w:tcPr>
          <w:p w:rsidR="007E0D98" w:rsidRPr="00C65250" w:rsidRDefault="00F1798C" w:rsidP="00A20D34">
            <w:pPr>
              <w:rPr>
                <w:rFonts w:ascii="Arial" w:hAnsi="Arial" w:cs="Arial"/>
              </w:rPr>
            </w:pPr>
            <w:r w:rsidRPr="00F1798C">
              <w:rPr>
                <w:rFonts w:ascii="Arial" w:hAnsi="Arial" w:cs="Arial"/>
                <w:sz w:val="22"/>
                <w:szCs w:val="22"/>
              </w:rPr>
              <w:t>668NPRR-01 Updates to Texas SET Implementation Guide Process--ERCOT Comments and PRS Review</w:t>
            </w:r>
          </w:p>
        </w:tc>
        <w:tc>
          <w:tcPr>
            <w:tcW w:w="2122" w:type="dxa"/>
          </w:tcPr>
          <w:p w:rsidR="007E0D98" w:rsidRPr="00C65250" w:rsidRDefault="00F1798C" w:rsidP="009A1361">
            <w:pPr>
              <w:rPr>
                <w:rFonts w:ascii="Arial" w:hAnsi="Arial" w:cs="Arial"/>
                <w:sz w:val="22"/>
                <w:szCs w:val="22"/>
              </w:rPr>
            </w:pPr>
            <w:r>
              <w:rPr>
                <w:rFonts w:ascii="Arial" w:hAnsi="Arial" w:cs="Arial"/>
                <w:sz w:val="22"/>
                <w:szCs w:val="22"/>
              </w:rPr>
              <w:t>Leadership</w:t>
            </w:r>
          </w:p>
        </w:tc>
        <w:tc>
          <w:tcPr>
            <w:tcW w:w="893" w:type="dxa"/>
          </w:tcPr>
          <w:p w:rsidR="007E0D98" w:rsidRPr="00C65250" w:rsidRDefault="007E0D98" w:rsidP="009A1361">
            <w:pPr>
              <w:rPr>
                <w:rFonts w:ascii="Arial" w:hAnsi="Arial" w:cs="Arial"/>
                <w:sz w:val="22"/>
                <w:szCs w:val="22"/>
              </w:rPr>
            </w:pPr>
          </w:p>
        </w:tc>
      </w:tr>
      <w:tr w:rsidR="00B1661B" w:rsidRPr="00C65250" w:rsidTr="007E0D98">
        <w:trPr>
          <w:gridAfter w:val="3"/>
          <w:wAfter w:w="4338" w:type="dxa"/>
          <w:trHeight w:val="342"/>
        </w:trPr>
        <w:tc>
          <w:tcPr>
            <w:tcW w:w="551" w:type="dxa"/>
            <w:gridSpan w:val="2"/>
          </w:tcPr>
          <w:p w:rsidR="00B1661B" w:rsidRDefault="00B1661B" w:rsidP="009A1361">
            <w:pPr>
              <w:rPr>
                <w:rFonts w:ascii="Arial" w:hAnsi="Arial" w:cs="Arial"/>
                <w:sz w:val="22"/>
                <w:szCs w:val="22"/>
              </w:rPr>
            </w:pPr>
            <w:r>
              <w:rPr>
                <w:rFonts w:ascii="Arial" w:hAnsi="Arial" w:cs="Arial"/>
                <w:sz w:val="22"/>
                <w:szCs w:val="22"/>
              </w:rPr>
              <w:t>5.</w:t>
            </w:r>
          </w:p>
        </w:tc>
        <w:tc>
          <w:tcPr>
            <w:tcW w:w="5376" w:type="dxa"/>
            <w:gridSpan w:val="2"/>
          </w:tcPr>
          <w:p w:rsidR="00B1661B" w:rsidRPr="002D2CE2" w:rsidRDefault="00B1661B" w:rsidP="002D2CE2">
            <w:pPr>
              <w:rPr>
                <w:rFonts w:ascii="Arial" w:hAnsi="Arial" w:cs="Arial"/>
              </w:rPr>
            </w:pPr>
            <w:r w:rsidRPr="00B1661B">
              <w:rPr>
                <w:rFonts w:ascii="Arial" w:hAnsi="Arial" w:cs="Arial"/>
              </w:rPr>
              <w:t>Texas Standard Electronic Transaction Implementation Guides Change Control Process</w:t>
            </w:r>
            <w:r>
              <w:rPr>
                <w:rFonts w:ascii="Arial" w:hAnsi="Arial" w:cs="Arial"/>
              </w:rPr>
              <w:t xml:space="preserve"> Review</w:t>
            </w:r>
          </w:p>
        </w:tc>
        <w:tc>
          <w:tcPr>
            <w:tcW w:w="2122" w:type="dxa"/>
          </w:tcPr>
          <w:p w:rsidR="00B1661B" w:rsidRPr="00C65250" w:rsidRDefault="00B1661B" w:rsidP="009A1361">
            <w:pPr>
              <w:rPr>
                <w:rFonts w:ascii="Arial" w:hAnsi="Arial" w:cs="Arial"/>
                <w:sz w:val="22"/>
                <w:szCs w:val="22"/>
              </w:rPr>
            </w:pPr>
            <w:r>
              <w:rPr>
                <w:rFonts w:ascii="Arial" w:hAnsi="Arial" w:cs="Arial"/>
                <w:sz w:val="22"/>
                <w:szCs w:val="22"/>
              </w:rPr>
              <w:t>Leadership</w:t>
            </w:r>
          </w:p>
        </w:tc>
        <w:tc>
          <w:tcPr>
            <w:tcW w:w="893" w:type="dxa"/>
          </w:tcPr>
          <w:p w:rsidR="00B1661B" w:rsidRPr="00C65250" w:rsidRDefault="00B1661B" w:rsidP="009A1361">
            <w:pPr>
              <w:rPr>
                <w:rFonts w:ascii="Arial" w:hAnsi="Arial" w:cs="Arial"/>
                <w:sz w:val="22"/>
                <w:szCs w:val="22"/>
              </w:rPr>
            </w:pPr>
          </w:p>
        </w:tc>
      </w:tr>
      <w:tr w:rsidR="00032BB9" w:rsidRPr="00C65250" w:rsidTr="007E0D98">
        <w:trPr>
          <w:gridAfter w:val="3"/>
          <w:wAfter w:w="4338" w:type="dxa"/>
          <w:trHeight w:val="342"/>
        </w:trPr>
        <w:tc>
          <w:tcPr>
            <w:tcW w:w="551" w:type="dxa"/>
            <w:gridSpan w:val="2"/>
          </w:tcPr>
          <w:p w:rsidR="00032BB9" w:rsidRPr="00C65250" w:rsidRDefault="00B1661B" w:rsidP="009A1361">
            <w:pPr>
              <w:rPr>
                <w:rFonts w:ascii="Arial" w:hAnsi="Arial" w:cs="Arial"/>
                <w:sz w:val="22"/>
                <w:szCs w:val="22"/>
              </w:rPr>
            </w:pPr>
            <w:r>
              <w:rPr>
                <w:rFonts w:ascii="Arial" w:hAnsi="Arial" w:cs="Arial"/>
                <w:sz w:val="22"/>
                <w:szCs w:val="22"/>
              </w:rPr>
              <w:t>6</w:t>
            </w:r>
            <w:r w:rsidR="00032BB9" w:rsidRPr="00C65250">
              <w:rPr>
                <w:rFonts w:ascii="Arial" w:hAnsi="Arial" w:cs="Arial"/>
                <w:sz w:val="22"/>
                <w:szCs w:val="22"/>
              </w:rPr>
              <w:t>.</w:t>
            </w:r>
          </w:p>
        </w:tc>
        <w:tc>
          <w:tcPr>
            <w:tcW w:w="5376" w:type="dxa"/>
            <w:gridSpan w:val="2"/>
          </w:tcPr>
          <w:p w:rsidR="001E3337" w:rsidRPr="002D2CE2" w:rsidRDefault="002D2CE2" w:rsidP="002D2CE2">
            <w:pPr>
              <w:rPr>
                <w:rFonts w:ascii="Arial" w:hAnsi="Arial" w:cs="Arial"/>
              </w:rPr>
            </w:pPr>
            <w:r w:rsidRPr="002D2CE2">
              <w:rPr>
                <w:rFonts w:ascii="Arial" w:hAnsi="Arial" w:cs="Arial"/>
              </w:rPr>
              <w:t>RMGRR126, Additional ERCOT Validations for Customer Billing Contact Information File—RMS update;  ERCOT IA to be revised and returned to RMS</w:t>
            </w:r>
            <w:r>
              <w:rPr>
                <w:rFonts w:ascii="Arial" w:hAnsi="Arial" w:cs="Arial"/>
              </w:rPr>
              <w:t xml:space="preserve"> in March</w:t>
            </w:r>
          </w:p>
        </w:tc>
        <w:tc>
          <w:tcPr>
            <w:tcW w:w="2122" w:type="dxa"/>
          </w:tcPr>
          <w:p w:rsidR="00032BB9" w:rsidRPr="00C65250" w:rsidRDefault="00E75704" w:rsidP="009A1361">
            <w:pPr>
              <w:rPr>
                <w:rFonts w:ascii="Arial" w:hAnsi="Arial" w:cs="Arial"/>
                <w:sz w:val="22"/>
                <w:szCs w:val="22"/>
              </w:rPr>
            </w:pPr>
            <w:r w:rsidRPr="00C65250">
              <w:rPr>
                <w:rFonts w:ascii="Arial" w:hAnsi="Arial" w:cs="Arial"/>
                <w:sz w:val="22"/>
                <w:szCs w:val="22"/>
              </w:rPr>
              <w:t>Leadership</w:t>
            </w:r>
          </w:p>
        </w:tc>
        <w:tc>
          <w:tcPr>
            <w:tcW w:w="893" w:type="dxa"/>
          </w:tcPr>
          <w:p w:rsidR="00032BB9" w:rsidRPr="00C65250" w:rsidRDefault="00032BB9" w:rsidP="009A1361">
            <w:pPr>
              <w:rPr>
                <w:rFonts w:ascii="Arial" w:hAnsi="Arial" w:cs="Arial"/>
                <w:sz w:val="22"/>
                <w:szCs w:val="22"/>
              </w:rPr>
            </w:pPr>
          </w:p>
        </w:tc>
      </w:tr>
      <w:tr w:rsidR="004B39B7" w:rsidRPr="00C65250" w:rsidTr="007E0D98">
        <w:trPr>
          <w:gridAfter w:val="3"/>
          <w:wAfter w:w="4338" w:type="dxa"/>
          <w:trHeight w:val="270"/>
        </w:trPr>
        <w:tc>
          <w:tcPr>
            <w:tcW w:w="551" w:type="dxa"/>
            <w:gridSpan w:val="2"/>
          </w:tcPr>
          <w:p w:rsidR="004B39B7" w:rsidRPr="00C65250" w:rsidRDefault="00B1661B" w:rsidP="006F566E">
            <w:pPr>
              <w:rPr>
                <w:rFonts w:ascii="Arial" w:hAnsi="Arial" w:cs="Arial"/>
                <w:sz w:val="22"/>
                <w:szCs w:val="22"/>
              </w:rPr>
            </w:pPr>
            <w:r>
              <w:rPr>
                <w:rFonts w:ascii="Arial" w:hAnsi="Arial" w:cs="Arial"/>
                <w:sz w:val="22"/>
                <w:szCs w:val="22"/>
              </w:rPr>
              <w:t>7</w:t>
            </w:r>
            <w:r w:rsidR="004B39B7" w:rsidRPr="00C65250">
              <w:rPr>
                <w:rFonts w:ascii="Arial" w:hAnsi="Arial" w:cs="Arial"/>
                <w:sz w:val="22"/>
                <w:szCs w:val="22"/>
              </w:rPr>
              <w:t>.</w:t>
            </w:r>
          </w:p>
        </w:tc>
        <w:tc>
          <w:tcPr>
            <w:tcW w:w="5376" w:type="dxa"/>
            <w:gridSpan w:val="2"/>
          </w:tcPr>
          <w:p w:rsidR="004B39B7" w:rsidRPr="00C65250" w:rsidRDefault="002D2CE2" w:rsidP="00C65250">
            <w:pPr>
              <w:rPr>
                <w:rFonts w:ascii="Arial" w:hAnsi="Arial" w:cs="Arial"/>
                <w:sz w:val="22"/>
                <w:szCs w:val="22"/>
              </w:rPr>
            </w:pPr>
            <w:r w:rsidRPr="002D2CE2">
              <w:rPr>
                <w:rFonts w:ascii="Arial" w:hAnsi="Arial" w:cs="Arial"/>
              </w:rPr>
              <w:t>RMGRR128,Reinstate Critical Care Status After Resolution of an Inadvertent Gain (Issue 139)--RMS Update—RMS approved</w:t>
            </w:r>
          </w:p>
        </w:tc>
        <w:tc>
          <w:tcPr>
            <w:tcW w:w="2122" w:type="dxa"/>
          </w:tcPr>
          <w:p w:rsidR="004B39B7" w:rsidRPr="00C65250" w:rsidRDefault="004B39B7" w:rsidP="00E70835">
            <w:pPr>
              <w:rPr>
                <w:rFonts w:ascii="Arial" w:hAnsi="Arial" w:cs="Arial"/>
                <w:sz w:val="22"/>
                <w:szCs w:val="22"/>
              </w:rPr>
            </w:pPr>
            <w:r w:rsidRPr="00C65250">
              <w:rPr>
                <w:rFonts w:ascii="Arial" w:hAnsi="Arial" w:cs="Arial"/>
                <w:sz w:val="22"/>
                <w:szCs w:val="22"/>
              </w:rPr>
              <w:t>Leadership</w:t>
            </w:r>
          </w:p>
        </w:tc>
        <w:tc>
          <w:tcPr>
            <w:tcW w:w="893" w:type="dxa"/>
          </w:tcPr>
          <w:p w:rsidR="004B39B7" w:rsidRPr="00C65250" w:rsidRDefault="004B39B7" w:rsidP="006F566E">
            <w:pPr>
              <w:rPr>
                <w:rFonts w:ascii="Arial" w:hAnsi="Arial" w:cs="Arial"/>
                <w:sz w:val="22"/>
                <w:szCs w:val="22"/>
              </w:rPr>
            </w:pPr>
          </w:p>
        </w:tc>
      </w:tr>
      <w:tr w:rsidR="004B39B7" w:rsidRPr="00C65250" w:rsidTr="007E0D98">
        <w:trPr>
          <w:gridAfter w:val="3"/>
          <w:wAfter w:w="4338" w:type="dxa"/>
          <w:trHeight w:val="270"/>
        </w:trPr>
        <w:tc>
          <w:tcPr>
            <w:tcW w:w="551" w:type="dxa"/>
            <w:gridSpan w:val="2"/>
          </w:tcPr>
          <w:p w:rsidR="004B39B7" w:rsidRPr="00C65250" w:rsidRDefault="00B1661B" w:rsidP="006F566E">
            <w:pPr>
              <w:rPr>
                <w:rFonts w:ascii="Arial" w:hAnsi="Arial" w:cs="Arial"/>
                <w:sz w:val="22"/>
                <w:szCs w:val="22"/>
              </w:rPr>
            </w:pPr>
            <w:r>
              <w:rPr>
                <w:rFonts w:ascii="Arial" w:hAnsi="Arial" w:cs="Arial"/>
                <w:sz w:val="22"/>
                <w:szCs w:val="22"/>
              </w:rPr>
              <w:t>8</w:t>
            </w:r>
            <w:r w:rsidR="004B39B7" w:rsidRPr="00C65250">
              <w:rPr>
                <w:rFonts w:ascii="Arial" w:hAnsi="Arial" w:cs="Arial"/>
                <w:sz w:val="22"/>
                <w:szCs w:val="22"/>
              </w:rPr>
              <w:t>.</w:t>
            </w:r>
          </w:p>
        </w:tc>
        <w:tc>
          <w:tcPr>
            <w:tcW w:w="5376" w:type="dxa"/>
            <w:gridSpan w:val="2"/>
          </w:tcPr>
          <w:p w:rsidR="004B39B7" w:rsidRPr="00C65250" w:rsidRDefault="004B39B7" w:rsidP="00C65250">
            <w:pPr>
              <w:rPr>
                <w:rFonts w:ascii="Arial" w:hAnsi="Arial" w:cs="Arial"/>
                <w:sz w:val="22"/>
                <w:szCs w:val="22"/>
              </w:rPr>
            </w:pPr>
            <w:r w:rsidRPr="00C65250">
              <w:rPr>
                <w:rFonts w:ascii="Arial" w:hAnsi="Arial" w:cs="Arial"/>
                <w:sz w:val="22"/>
                <w:szCs w:val="22"/>
              </w:rPr>
              <w:t xml:space="preserve">Flight </w:t>
            </w:r>
            <w:r w:rsidR="00C65250" w:rsidRPr="00C65250">
              <w:rPr>
                <w:rFonts w:ascii="Arial" w:hAnsi="Arial" w:cs="Arial"/>
                <w:sz w:val="22"/>
                <w:szCs w:val="22"/>
              </w:rPr>
              <w:t>0215</w:t>
            </w:r>
            <w:r w:rsidRPr="00C65250">
              <w:rPr>
                <w:rFonts w:ascii="Arial" w:hAnsi="Arial" w:cs="Arial"/>
                <w:sz w:val="22"/>
                <w:szCs w:val="22"/>
              </w:rPr>
              <w:t xml:space="preserve"> Update</w:t>
            </w:r>
          </w:p>
        </w:tc>
        <w:tc>
          <w:tcPr>
            <w:tcW w:w="2122" w:type="dxa"/>
          </w:tcPr>
          <w:p w:rsidR="004B39B7" w:rsidRPr="00C65250" w:rsidRDefault="004B39B7" w:rsidP="00E70835">
            <w:pPr>
              <w:rPr>
                <w:rFonts w:ascii="Arial" w:hAnsi="Arial" w:cs="Arial"/>
                <w:sz w:val="22"/>
                <w:szCs w:val="22"/>
              </w:rPr>
            </w:pPr>
            <w:r w:rsidRPr="00C65250">
              <w:rPr>
                <w:rFonts w:ascii="Arial" w:hAnsi="Arial" w:cs="Arial"/>
                <w:sz w:val="22"/>
                <w:szCs w:val="22"/>
              </w:rPr>
              <w:t>ERCOT</w:t>
            </w:r>
          </w:p>
        </w:tc>
        <w:tc>
          <w:tcPr>
            <w:tcW w:w="893" w:type="dxa"/>
          </w:tcPr>
          <w:p w:rsidR="004B39B7" w:rsidRPr="00C65250" w:rsidRDefault="004B39B7" w:rsidP="006F566E">
            <w:pPr>
              <w:rPr>
                <w:rFonts w:ascii="Arial" w:hAnsi="Arial" w:cs="Arial"/>
                <w:sz w:val="22"/>
                <w:szCs w:val="22"/>
              </w:rPr>
            </w:pPr>
          </w:p>
        </w:tc>
      </w:tr>
      <w:tr w:rsidR="004B39B7" w:rsidRPr="00C65250" w:rsidTr="007E0D98">
        <w:trPr>
          <w:gridAfter w:val="3"/>
          <w:wAfter w:w="4338" w:type="dxa"/>
          <w:trHeight w:val="270"/>
        </w:trPr>
        <w:tc>
          <w:tcPr>
            <w:tcW w:w="551" w:type="dxa"/>
            <w:gridSpan w:val="2"/>
          </w:tcPr>
          <w:p w:rsidR="004B39B7" w:rsidRPr="00C65250" w:rsidRDefault="00B1661B" w:rsidP="006F566E">
            <w:pPr>
              <w:rPr>
                <w:rFonts w:ascii="Arial" w:hAnsi="Arial" w:cs="Arial"/>
                <w:sz w:val="22"/>
                <w:szCs w:val="22"/>
              </w:rPr>
            </w:pPr>
            <w:r>
              <w:rPr>
                <w:rFonts w:ascii="Arial" w:hAnsi="Arial" w:cs="Arial"/>
                <w:sz w:val="22"/>
                <w:szCs w:val="22"/>
              </w:rPr>
              <w:t>9</w:t>
            </w:r>
            <w:r w:rsidR="004B39B7" w:rsidRPr="00C65250">
              <w:rPr>
                <w:rFonts w:ascii="Arial" w:hAnsi="Arial" w:cs="Arial"/>
                <w:sz w:val="22"/>
                <w:szCs w:val="22"/>
              </w:rPr>
              <w:t>.</w:t>
            </w:r>
          </w:p>
        </w:tc>
        <w:tc>
          <w:tcPr>
            <w:tcW w:w="5376" w:type="dxa"/>
            <w:gridSpan w:val="2"/>
          </w:tcPr>
          <w:p w:rsidR="002D2CE2" w:rsidRDefault="002D2CE2" w:rsidP="002D2CE2">
            <w:pPr>
              <w:rPr>
                <w:rFonts w:ascii="Arial" w:hAnsi="Arial" w:cs="Arial"/>
              </w:rPr>
            </w:pPr>
            <w:r w:rsidRPr="002D2CE2">
              <w:rPr>
                <w:rFonts w:ascii="Arial" w:hAnsi="Arial" w:cs="Arial"/>
              </w:rPr>
              <w:t>Tariff Project 41121--RMG Section 7 Market Processes updates related to TDSP tariff changes effective Jan 2015</w:t>
            </w:r>
          </w:p>
          <w:p w:rsidR="002D2CE2" w:rsidRDefault="002D2CE2" w:rsidP="002D2CE2">
            <w:pPr>
              <w:pStyle w:val="ListParagraph"/>
              <w:numPr>
                <w:ilvl w:val="0"/>
                <w:numId w:val="7"/>
              </w:numPr>
              <w:rPr>
                <w:rFonts w:ascii="Arial" w:hAnsi="Arial" w:cs="Arial"/>
              </w:rPr>
            </w:pPr>
            <w:r w:rsidRPr="002D2CE2">
              <w:rPr>
                <w:rFonts w:ascii="Arial" w:hAnsi="Arial" w:cs="Arial"/>
              </w:rPr>
              <w:t>Action items</w:t>
            </w:r>
          </w:p>
          <w:p w:rsidR="002D2CE2" w:rsidRDefault="002D2CE2" w:rsidP="002D2CE2">
            <w:pPr>
              <w:pStyle w:val="ListParagraph"/>
              <w:numPr>
                <w:ilvl w:val="1"/>
                <w:numId w:val="7"/>
              </w:numPr>
              <w:rPr>
                <w:rFonts w:ascii="Arial" w:hAnsi="Arial" w:cs="Arial"/>
              </w:rPr>
            </w:pPr>
            <w:r w:rsidRPr="002D2CE2">
              <w:rPr>
                <w:rFonts w:ascii="Arial" w:hAnsi="Arial" w:cs="Arial"/>
              </w:rPr>
              <w:t>TDSPs to verify each TDSP specific information</w:t>
            </w:r>
          </w:p>
          <w:p w:rsidR="002D2CE2" w:rsidRDefault="002D2CE2" w:rsidP="002D2CE2">
            <w:pPr>
              <w:pStyle w:val="ListParagraph"/>
              <w:numPr>
                <w:ilvl w:val="2"/>
                <w:numId w:val="7"/>
              </w:numPr>
              <w:rPr>
                <w:rFonts w:ascii="Arial" w:hAnsi="Arial" w:cs="Arial"/>
              </w:rPr>
            </w:pPr>
            <w:r w:rsidRPr="002D2CE2">
              <w:rPr>
                <w:rFonts w:ascii="Arial" w:hAnsi="Arial" w:cs="Arial"/>
              </w:rPr>
              <w:t>DNP meter seal color</w:t>
            </w:r>
          </w:p>
          <w:p w:rsidR="002D2CE2" w:rsidRDefault="002D2CE2" w:rsidP="002D2CE2">
            <w:pPr>
              <w:pStyle w:val="ListParagraph"/>
              <w:numPr>
                <w:ilvl w:val="2"/>
                <w:numId w:val="7"/>
              </w:numPr>
              <w:rPr>
                <w:rFonts w:ascii="Arial" w:hAnsi="Arial" w:cs="Arial"/>
              </w:rPr>
            </w:pPr>
            <w:r w:rsidRPr="002D2CE2">
              <w:rPr>
                <w:rFonts w:ascii="Arial" w:hAnsi="Arial" w:cs="Arial"/>
              </w:rPr>
              <w:t>TNMP to verify the tariff language for Self-Selected Switch charges</w:t>
            </w:r>
          </w:p>
          <w:p w:rsidR="004B39B7" w:rsidRPr="002D2CE2" w:rsidRDefault="002D2CE2" w:rsidP="002D2CE2">
            <w:pPr>
              <w:pStyle w:val="ListParagraph"/>
              <w:numPr>
                <w:ilvl w:val="0"/>
                <w:numId w:val="7"/>
              </w:numPr>
              <w:rPr>
                <w:rFonts w:ascii="Arial" w:hAnsi="Arial" w:cs="Arial"/>
              </w:rPr>
            </w:pPr>
            <w:r w:rsidRPr="002D2CE2">
              <w:rPr>
                <w:rFonts w:ascii="Arial" w:hAnsi="Arial" w:cs="Arial"/>
              </w:rPr>
              <w:t>Safety Net timelines—On Hold</w:t>
            </w:r>
          </w:p>
        </w:tc>
        <w:tc>
          <w:tcPr>
            <w:tcW w:w="2122" w:type="dxa"/>
          </w:tcPr>
          <w:p w:rsidR="004B39B7" w:rsidRPr="00C65250" w:rsidRDefault="004B39B7" w:rsidP="006F566E">
            <w:pPr>
              <w:rPr>
                <w:rFonts w:ascii="Arial" w:hAnsi="Arial" w:cs="Arial"/>
                <w:sz w:val="22"/>
                <w:szCs w:val="22"/>
              </w:rPr>
            </w:pPr>
            <w:r w:rsidRPr="00C65250">
              <w:rPr>
                <w:rFonts w:ascii="Arial" w:hAnsi="Arial" w:cs="Arial"/>
                <w:sz w:val="22"/>
                <w:szCs w:val="22"/>
              </w:rPr>
              <w:t>Leadership</w:t>
            </w:r>
          </w:p>
        </w:tc>
        <w:tc>
          <w:tcPr>
            <w:tcW w:w="893" w:type="dxa"/>
          </w:tcPr>
          <w:p w:rsidR="004B39B7" w:rsidRPr="00C65250" w:rsidRDefault="004B39B7" w:rsidP="006F566E">
            <w:pPr>
              <w:rPr>
                <w:rFonts w:ascii="Arial" w:hAnsi="Arial" w:cs="Arial"/>
                <w:sz w:val="22"/>
                <w:szCs w:val="22"/>
              </w:rPr>
            </w:pPr>
          </w:p>
        </w:tc>
      </w:tr>
      <w:tr w:rsidR="004B39B7" w:rsidRPr="00C65250" w:rsidTr="007E0D98">
        <w:trPr>
          <w:gridAfter w:val="3"/>
          <w:wAfter w:w="4338" w:type="dxa"/>
          <w:trHeight w:val="270"/>
        </w:trPr>
        <w:tc>
          <w:tcPr>
            <w:tcW w:w="551" w:type="dxa"/>
            <w:gridSpan w:val="2"/>
          </w:tcPr>
          <w:p w:rsidR="004B39B7" w:rsidRPr="00C65250" w:rsidRDefault="00B1661B" w:rsidP="00B1661B">
            <w:pPr>
              <w:rPr>
                <w:rFonts w:ascii="Arial" w:hAnsi="Arial" w:cs="Arial"/>
                <w:sz w:val="22"/>
                <w:szCs w:val="22"/>
              </w:rPr>
            </w:pPr>
            <w:r>
              <w:rPr>
                <w:rFonts w:ascii="Arial" w:hAnsi="Arial" w:cs="Arial"/>
                <w:sz w:val="22"/>
                <w:szCs w:val="22"/>
              </w:rPr>
              <w:lastRenderedPageBreak/>
              <w:t>10</w:t>
            </w:r>
            <w:r w:rsidR="004B39B7" w:rsidRPr="00C65250">
              <w:rPr>
                <w:rFonts w:ascii="Arial" w:hAnsi="Arial" w:cs="Arial"/>
                <w:sz w:val="22"/>
                <w:szCs w:val="22"/>
              </w:rPr>
              <w:t>.</w:t>
            </w:r>
          </w:p>
        </w:tc>
        <w:tc>
          <w:tcPr>
            <w:tcW w:w="5376" w:type="dxa"/>
            <w:gridSpan w:val="2"/>
          </w:tcPr>
          <w:p w:rsidR="004B39B7" w:rsidRPr="002D2CE2" w:rsidRDefault="002D2CE2" w:rsidP="002D2CE2">
            <w:pPr>
              <w:rPr>
                <w:rFonts w:ascii="Arial" w:hAnsi="Arial" w:cs="Arial"/>
              </w:rPr>
            </w:pPr>
            <w:r w:rsidRPr="002D2CE2">
              <w:rPr>
                <w:rFonts w:ascii="Arial" w:hAnsi="Arial" w:cs="Arial"/>
              </w:rPr>
              <w:t>Texas Market Test Plan Review</w:t>
            </w:r>
          </w:p>
        </w:tc>
        <w:tc>
          <w:tcPr>
            <w:tcW w:w="2122" w:type="dxa"/>
          </w:tcPr>
          <w:p w:rsidR="004B39B7" w:rsidRPr="00C65250" w:rsidRDefault="003C2EF8" w:rsidP="006F566E">
            <w:pPr>
              <w:rPr>
                <w:rFonts w:ascii="Arial" w:hAnsi="Arial" w:cs="Arial"/>
                <w:sz w:val="22"/>
                <w:szCs w:val="22"/>
              </w:rPr>
            </w:pPr>
            <w:r w:rsidRPr="00C65250">
              <w:rPr>
                <w:rFonts w:ascii="Arial" w:hAnsi="Arial" w:cs="Arial"/>
                <w:sz w:val="22"/>
                <w:szCs w:val="22"/>
              </w:rPr>
              <w:t>Leadership</w:t>
            </w:r>
          </w:p>
        </w:tc>
        <w:tc>
          <w:tcPr>
            <w:tcW w:w="893" w:type="dxa"/>
          </w:tcPr>
          <w:p w:rsidR="004B39B7" w:rsidRPr="00C65250" w:rsidRDefault="004B39B7" w:rsidP="006F566E">
            <w:pPr>
              <w:rPr>
                <w:rFonts w:ascii="Arial" w:hAnsi="Arial" w:cs="Arial"/>
                <w:sz w:val="22"/>
                <w:szCs w:val="22"/>
              </w:rPr>
            </w:pPr>
          </w:p>
        </w:tc>
      </w:tr>
      <w:tr w:rsidR="002D2CE2" w:rsidRPr="00C65250" w:rsidTr="007E0D98">
        <w:trPr>
          <w:gridAfter w:val="3"/>
          <w:wAfter w:w="4338" w:type="dxa"/>
          <w:trHeight w:val="270"/>
        </w:trPr>
        <w:tc>
          <w:tcPr>
            <w:tcW w:w="551" w:type="dxa"/>
            <w:gridSpan w:val="2"/>
          </w:tcPr>
          <w:p w:rsidR="002D2CE2" w:rsidRDefault="00B1661B" w:rsidP="00B1661B">
            <w:pPr>
              <w:rPr>
                <w:rFonts w:ascii="Arial" w:hAnsi="Arial" w:cs="Arial"/>
                <w:sz w:val="22"/>
                <w:szCs w:val="22"/>
              </w:rPr>
            </w:pPr>
            <w:r>
              <w:rPr>
                <w:rFonts w:ascii="Arial" w:hAnsi="Arial" w:cs="Arial"/>
                <w:sz w:val="22"/>
                <w:szCs w:val="22"/>
              </w:rPr>
              <w:t>11</w:t>
            </w:r>
            <w:r w:rsidR="002D2CE2">
              <w:rPr>
                <w:rFonts w:ascii="Arial" w:hAnsi="Arial" w:cs="Arial"/>
                <w:sz w:val="22"/>
                <w:szCs w:val="22"/>
              </w:rPr>
              <w:t>.</w:t>
            </w:r>
          </w:p>
        </w:tc>
        <w:tc>
          <w:tcPr>
            <w:tcW w:w="5376" w:type="dxa"/>
            <w:gridSpan w:val="2"/>
          </w:tcPr>
          <w:p w:rsidR="002D2CE2" w:rsidRPr="002D2CE2" w:rsidRDefault="002D2CE2" w:rsidP="002D2CE2">
            <w:pPr>
              <w:rPr>
                <w:rFonts w:ascii="Arial" w:hAnsi="Arial" w:cs="Arial"/>
              </w:rPr>
            </w:pPr>
            <w:r w:rsidRPr="002D2CE2">
              <w:rPr>
                <w:rFonts w:ascii="Arial" w:hAnsi="Arial" w:cs="Arial"/>
              </w:rPr>
              <w:t>Texas SET Procedures Document Review</w:t>
            </w:r>
          </w:p>
        </w:tc>
        <w:tc>
          <w:tcPr>
            <w:tcW w:w="2122" w:type="dxa"/>
          </w:tcPr>
          <w:p w:rsidR="002D2CE2" w:rsidRPr="00C65250" w:rsidRDefault="002D2CE2" w:rsidP="006F566E">
            <w:pPr>
              <w:rPr>
                <w:rFonts w:ascii="Arial" w:hAnsi="Arial" w:cs="Arial"/>
                <w:sz w:val="22"/>
                <w:szCs w:val="22"/>
              </w:rPr>
            </w:pPr>
            <w:r>
              <w:rPr>
                <w:rFonts w:ascii="Arial" w:hAnsi="Arial" w:cs="Arial"/>
                <w:sz w:val="22"/>
                <w:szCs w:val="22"/>
              </w:rPr>
              <w:t>Leadership</w:t>
            </w:r>
          </w:p>
        </w:tc>
        <w:tc>
          <w:tcPr>
            <w:tcW w:w="893" w:type="dxa"/>
          </w:tcPr>
          <w:p w:rsidR="002D2CE2" w:rsidRPr="00C65250" w:rsidRDefault="002D2CE2" w:rsidP="006F566E">
            <w:pPr>
              <w:rPr>
                <w:rFonts w:ascii="Arial" w:hAnsi="Arial" w:cs="Arial"/>
                <w:sz w:val="22"/>
                <w:szCs w:val="22"/>
              </w:rPr>
            </w:pPr>
          </w:p>
        </w:tc>
      </w:tr>
    </w:tbl>
    <w:p w:rsidR="001B735D" w:rsidRDefault="001B735D" w:rsidP="00A165BE">
      <w:pPr>
        <w:ind w:left="360"/>
        <w:rPr>
          <w:rFonts w:ascii="Arial" w:hAnsi="Arial" w:cs="Arial"/>
          <w:sz w:val="22"/>
          <w:szCs w:val="22"/>
        </w:rPr>
      </w:pPr>
    </w:p>
    <w:p w:rsidR="00DF38AF" w:rsidRPr="00C65250" w:rsidRDefault="00DF38AF" w:rsidP="00A165BE">
      <w:pPr>
        <w:ind w:left="360"/>
        <w:rPr>
          <w:rFonts w:ascii="Arial" w:hAnsi="Arial" w:cs="Arial"/>
          <w:color w:val="000000"/>
          <w:sz w:val="22"/>
          <w:szCs w:val="22"/>
        </w:rPr>
      </w:pPr>
      <w:r w:rsidRPr="00C65250">
        <w:rPr>
          <w:rFonts w:ascii="Arial" w:hAnsi="Arial" w:cs="Arial"/>
          <w:sz w:val="22"/>
          <w:szCs w:val="22"/>
        </w:rPr>
        <w:t>TX SET MEETING</w:t>
      </w:r>
      <w:r w:rsidRPr="00C65250">
        <w:rPr>
          <w:rFonts w:ascii="Arial" w:hAnsi="Arial" w:cs="Arial"/>
          <w:color w:val="000000"/>
          <w:sz w:val="22"/>
          <w:szCs w:val="22"/>
        </w:rPr>
        <w:t xml:space="preserve"> Day 2</w:t>
      </w:r>
      <w:r w:rsidR="00701343" w:rsidRPr="00C65250">
        <w:rPr>
          <w:rFonts w:ascii="Arial" w:hAnsi="Arial" w:cs="Arial"/>
          <w:color w:val="000000"/>
          <w:sz w:val="22"/>
          <w:szCs w:val="22"/>
        </w:rPr>
        <w:t xml:space="preserve"> </w:t>
      </w:r>
    </w:p>
    <w:p w:rsidR="00DF38AF" w:rsidRPr="00C65250" w:rsidRDefault="00DF38AF" w:rsidP="00DF38AF">
      <w:pPr>
        <w:ind w:left="360"/>
        <w:rPr>
          <w:rFonts w:ascii="Arial" w:hAnsi="Arial" w:cs="Arial"/>
          <w:color w:val="000000"/>
          <w:sz w:val="22"/>
          <w:szCs w:val="22"/>
        </w:rPr>
      </w:pPr>
      <w:r w:rsidRPr="00C65250">
        <w:rPr>
          <w:rFonts w:ascii="Arial" w:hAnsi="Arial" w:cs="Arial"/>
          <w:color w:val="000000"/>
          <w:sz w:val="22"/>
          <w:szCs w:val="22"/>
        </w:rPr>
        <w:t xml:space="preserve">ERCOT MET Center Room </w:t>
      </w:r>
      <w:r w:rsidR="003D02B2">
        <w:rPr>
          <w:rFonts w:ascii="Arial" w:hAnsi="Arial" w:cs="Arial"/>
          <w:color w:val="000000"/>
          <w:sz w:val="22"/>
          <w:szCs w:val="22"/>
        </w:rPr>
        <w:t>211</w:t>
      </w:r>
    </w:p>
    <w:p w:rsidR="00DF38AF" w:rsidRPr="00C65250" w:rsidRDefault="00CF0772" w:rsidP="00DF38AF">
      <w:pPr>
        <w:ind w:left="360"/>
        <w:rPr>
          <w:rFonts w:ascii="Arial" w:hAnsi="Arial" w:cs="Arial"/>
          <w:color w:val="000000"/>
          <w:sz w:val="22"/>
          <w:szCs w:val="22"/>
        </w:rPr>
      </w:pPr>
      <w:r>
        <w:rPr>
          <w:rFonts w:ascii="Arial" w:hAnsi="Arial" w:cs="Arial"/>
          <w:color w:val="000000"/>
          <w:sz w:val="22"/>
          <w:szCs w:val="22"/>
        </w:rPr>
        <w:t>February</w:t>
      </w:r>
      <w:r w:rsidR="00777CB6" w:rsidRPr="00C65250">
        <w:rPr>
          <w:rFonts w:ascii="Arial" w:hAnsi="Arial" w:cs="Arial"/>
          <w:color w:val="000000"/>
          <w:sz w:val="22"/>
          <w:szCs w:val="22"/>
        </w:rPr>
        <w:t xml:space="preserve"> </w:t>
      </w:r>
      <w:r w:rsidR="00165A86" w:rsidRPr="00C65250">
        <w:rPr>
          <w:rFonts w:ascii="Arial" w:hAnsi="Arial" w:cs="Arial"/>
          <w:color w:val="000000"/>
          <w:sz w:val="22"/>
          <w:szCs w:val="22"/>
        </w:rPr>
        <w:t>1</w:t>
      </w:r>
      <w:r>
        <w:rPr>
          <w:rFonts w:ascii="Arial" w:hAnsi="Arial" w:cs="Arial"/>
          <w:color w:val="000000"/>
          <w:sz w:val="22"/>
          <w:szCs w:val="22"/>
        </w:rPr>
        <w:t>9</w:t>
      </w:r>
      <w:r w:rsidR="00DF38AF" w:rsidRPr="00C65250">
        <w:rPr>
          <w:rFonts w:ascii="Arial" w:hAnsi="Arial" w:cs="Arial"/>
          <w:color w:val="000000"/>
          <w:sz w:val="22"/>
          <w:szCs w:val="22"/>
        </w:rPr>
        <w:t>, 2014; 9:30 AM – 4 pm</w:t>
      </w:r>
    </w:p>
    <w:p w:rsidR="00165A86" w:rsidRPr="00C65250" w:rsidRDefault="00165A86" w:rsidP="00165A86">
      <w:pPr>
        <w:pStyle w:val="PlainText"/>
        <w:ind w:left="360"/>
        <w:rPr>
          <w:rFonts w:ascii="Arial" w:hAnsi="Arial" w:cs="Arial"/>
        </w:rPr>
      </w:pPr>
      <w:r w:rsidRPr="00C65250">
        <w:rPr>
          <w:rFonts w:ascii="Arial" w:hAnsi="Arial" w:cs="Arial"/>
        </w:rPr>
        <w:t>WebEx Information</w:t>
      </w:r>
    </w:p>
    <w:p w:rsidR="00165A86" w:rsidRPr="00C65250" w:rsidRDefault="00141FF5" w:rsidP="00165A86">
      <w:pPr>
        <w:pStyle w:val="PlainText"/>
        <w:ind w:left="360"/>
        <w:rPr>
          <w:rFonts w:ascii="Arial" w:hAnsi="Arial" w:cs="Arial"/>
        </w:rPr>
      </w:pPr>
      <w:hyperlink r:id="rId13" w:history="1">
        <w:r w:rsidR="00165A86" w:rsidRPr="00C65250">
          <w:rPr>
            <w:rStyle w:val="Hyperlink"/>
            <w:rFonts w:ascii="Arial" w:hAnsi="Arial" w:cs="Arial"/>
          </w:rPr>
          <w:t>http://ercot.webex.com</w:t>
        </w:r>
      </w:hyperlink>
    </w:p>
    <w:p w:rsidR="00701A11" w:rsidRPr="00C65250" w:rsidRDefault="00701A11" w:rsidP="00701A11">
      <w:pPr>
        <w:pStyle w:val="PlainText"/>
        <w:ind w:left="360"/>
        <w:rPr>
          <w:rFonts w:ascii="Arial" w:hAnsi="Arial" w:cs="Arial"/>
        </w:rPr>
      </w:pPr>
      <w:r w:rsidRPr="00C65250">
        <w:rPr>
          <w:rFonts w:ascii="Arial" w:hAnsi="Arial" w:cs="Arial"/>
        </w:rPr>
        <w:t xml:space="preserve">Meeting Number: </w:t>
      </w:r>
      <w:r w:rsidRPr="00C65250">
        <w:rPr>
          <w:rFonts w:ascii="Arial" w:hAnsi="Arial" w:cs="Arial"/>
          <w:sz w:val="20"/>
          <w:szCs w:val="20"/>
        </w:rPr>
        <w:t>  </w:t>
      </w:r>
      <w:r w:rsidR="00CF0772">
        <w:rPr>
          <w:rFonts w:ascii="Arial" w:hAnsi="Arial" w:cs="Arial"/>
          <w:sz w:val="20"/>
          <w:szCs w:val="20"/>
        </w:rPr>
        <w:t>658 366 809</w:t>
      </w:r>
    </w:p>
    <w:p w:rsidR="0031181A" w:rsidRPr="00C65250" w:rsidRDefault="00701A11" w:rsidP="00701A11">
      <w:pPr>
        <w:shd w:val="clear" w:color="auto" w:fill="FCFBF5"/>
        <w:ind w:left="360"/>
        <w:rPr>
          <w:rFonts w:ascii="Arial" w:hAnsi="Arial" w:cs="Arial"/>
          <w:color w:val="000000"/>
          <w:sz w:val="20"/>
          <w:szCs w:val="20"/>
        </w:rPr>
      </w:pPr>
      <w:r w:rsidRPr="00C65250">
        <w:rPr>
          <w:rFonts w:ascii="Arial" w:hAnsi="Arial" w:cs="Arial"/>
        </w:rPr>
        <w:t xml:space="preserve">Meeting Password: </w:t>
      </w:r>
      <w:r w:rsidRPr="00C65250">
        <w:rPr>
          <w:rFonts w:ascii="Arial" w:hAnsi="Arial" w:cs="Arial"/>
          <w:sz w:val="20"/>
          <w:szCs w:val="20"/>
        </w:rPr>
        <w:t> </w:t>
      </w:r>
      <w:proofErr w:type="spellStart"/>
      <w:r w:rsidR="00706142">
        <w:rPr>
          <w:rFonts w:ascii="Arial" w:hAnsi="Arial" w:cs="Arial"/>
          <w:sz w:val="20"/>
          <w:szCs w:val="20"/>
        </w:rPr>
        <w:t>TXset</w:t>
      </w:r>
      <w:proofErr w:type="spellEnd"/>
    </w:p>
    <w:p w:rsidR="00165A86" w:rsidRPr="00C65250" w:rsidRDefault="00165A86" w:rsidP="00165A86">
      <w:pPr>
        <w:pStyle w:val="PlainText"/>
        <w:ind w:left="360"/>
        <w:rPr>
          <w:rFonts w:ascii="Arial" w:hAnsi="Arial" w:cs="Arial"/>
        </w:rPr>
      </w:pPr>
      <w:r w:rsidRPr="00C65250">
        <w:rPr>
          <w:rFonts w:ascii="Arial" w:hAnsi="Arial" w:cs="Arial"/>
        </w:rPr>
        <w:t>Audio Dial-In: 1.877.668.4493</w:t>
      </w:r>
    </w:p>
    <w:p w:rsidR="00165A86" w:rsidRPr="004C671A" w:rsidRDefault="00165A86" w:rsidP="004C671A">
      <w:pPr>
        <w:ind w:left="360"/>
        <w:rPr>
          <w:rFonts w:ascii="Arial" w:hAnsi="Arial" w:cs="Arial"/>
          <w:sz w:val="20"/>
          <w:szCs w:val="20"/>
        </w:rPr>
      </w:pPr>
      <w:r w:rsidRPr="00C65250">
        <w:rPr>
          <w:rFonts w:ascii="Arial" w:hAnsi="Arial" w:cs="Arial"/>
          <w:sz w:val="20"/>
          <w:szCs w:val="20"/>
        </w:rPr>
        <w:t xml:space="preserve">Global call-in numbers: </w:t>
      </w:r>
      <w:hyperlink r:id="rId14" w:tgtFrame="_blank" w:history="1">
        <w:r w:rsidRPr="00C65250">
          <w:rPr>
            <w:rStyle w:val="Hyperlink"/>
            <w:rFonts w:ascii="Arial" w:hAnsi="Arial" w:cs="Arial"/>
            <w:sz w:val="20"/>
            <w:szCs w:val="20"/>
          </w:rPr>
          <w:t>https://ercot.webex.com/ercot/globalcallin.php?serviceType=MC&amp;ED=214078362&amp;tollFree=1</w:t>
        </w:r>
      </w:hyperlink>
      <w:r w:rsidRPr="00C65250">
        <w:rPr>
          <w:rFonts w:ascii="Arial" w:hAnsi="Arial" w:cs="Arial"/>
          <w:sz w:val="20"/>
          <w:szCs w:val="20"/>
        </w:rPr>
        <w:t xml:space="preserve"> </w:t>
      </w:r>
      <w:r w:rsidRPr="00C65250">
        <w:rPr>
          <w:rFonts w:ascii="Arial" w:hAnsi="Arial" w:cs="Arial"/>
          <w:sz w:val="20"/>
          <w:szCs w:val="20"/>
        </w:rPr>
        <w:br/>
        <w:t xml:space="preserve">Toll-free dialing restrictions: </w:t>
      </w:r>
      <w:hyperlink r:id="rId15" w:tgtFrame="_blank" w:history="1">
        <w:r w:rsidRPr="00C65250">
          <w:rPr>
            <w:rStyle w:val="Hyperlink"/>
            <w:rFonts w:ascii="Arial" w:hAnsi="Arial" w:cs="Arial"/>
            <w:sz w:val="20"/>
            <w:szCs w:val="20"/>
          </w:rPr>
          <w:t>http://www.webex.com/pdf/tollfree_restrictions.pdf</w:t>
        </w:r>
      </w:hyperlink>
      <w:r w:rsidRPr="00C65250">
        <w:rPr>
          <w:rFonts w:ascii="Arial" w:hAnsi="Arial" w:cs="Arial"/>
          <w:sz w:val="20"/>
          <w:szCs w:val="20"/>
        </w:rPr>
        <w:t xml:space="preserve"> </w:t>
      </w:r>
    </w:p>
    <w:tbl>
      <w:tblPr>
        <w:tblW w:w="9018" w:type="dxa"/>
        <w:tblInd w:w="-162" w:type="dxa"/>
        <w:tblLook w:val="01E0" w:firstRow="1" w:lastRow="1" w:firstColumn="1" w:lastColumn="1" w:noHBand="0" w:noVBand="0"/>
      </w:tblPr>
      <w:tblGrid>
        <w:gridCol w:w="523"/>
        <w:gridCol w:w="6047"/>
        <w:gridCol w:w="1350"/>
        <w:gridCol w:w="1098"/>
      </w:tblGrid>
      <w:tr w:rsidR="00DF38AF" w:rsidRPr="00C65250" w:rsidTr="007E0000">
        <w:trPr>
          <w:trHeight w:val="270"/>
        </w:trPr>
        <w:tc>
          <w:tcPr>
            <w:tcW w:w="523" w:type="dxa"/>
          </w:tcPr>
          <w:p w:rsidR="00DF38AF" w:rsidRPr="00C65250" w:rsidRDefault="00771DEC" w:rsidP="006F566E">
            <w:pPr>
              <w:rPr>
                <w:rFonts w:ascii="Arial" w:hAnsi="Arial" w:cs="Arial"/>
                <w:sz w:val="22"/>
                <w:szCs w:val="22"/>
              </w:rPr>
            </w:pPr>
            <w:r>
              <w:rPr>
                <w:rFonts w:ascii="Arial" w:hAnsi="Arial" w:cs="Arial"/>
                <w:sz w:val="22"/>
                <w:szCs w:val="22"/>
              </w:rPr>
              <w:t>1</w:t>
            </w:r>
            <w:r w:rsidR="00DF38AF" w:rsidRPr="00C65250">
              <w:rPr>
                <w:rFonts w:ascii="Arial" w:hAnsi="Arial" w:cs="Arial"/>
                <w:sz w:val="22"/>
                <w:szCs w:val="22"/>
              </w:rPr>
              <w:t>.</w:t>
            </w:r>
          </w:p>
        </w:tc>
        <w:tc>
          <w:tcPr>
            <w:tcW w:w="6047" w:type="dxa"/>
          </w:tcPr>
          <w:p w:rsidR="00DF38AF" w:rsidRPr="00C65250" w:rsidRDefault="00771DEC" w:rsidP="00771DEC">
            <w:pPr>
              <w:rPr>
                <w:rFonts w:ascii="Arial" w:hAnsi="Arial" w:cs="Arial"/>
                <w:sz w:val="22"/>
                <w:szCs w:val="22"/>
              </w:rPr>
            </w:pPr>
            <w:r>
              <w:rPr>
                <w:rFonts w:ascii="Arial" w:hAnsi="Arial" w:cs="Arial"/>
                <w:sz w:val="22"/>
                <w:szCs w:val="22"/>
              </w:rPr>
              <w:t>Antitrust Admonition and Disclaimer</w:t>
            </w:r>
          </w:p>
        </w:tc>
        <w:tc>
          <w:tcPr>
            <w:tcW w:w="1350" w:type="dxa"/>
          </w:tcPr>
          <w:p w:rsidR="00DF38AF" w:rsidRPr="00C65250" w:rsidRDefault="00771DEC" w:rsidP="006F566E">
            <w:pPr>
              <w:rPr>
                <w:rFonts w:ascii="Arial" w:hAnsi="Arial" w:cs="Arial"/>
                <w:sz w:val="22"/>
                <w:szCs w:val="22"/>
              </w:rPr>
            </w:pPr>
            <w:r>
              <w:rPr>
                <w:rFonts w:ascii="Arial" w:hAnsi="Arial" w:cs="Arial"/>
                <w:sz w:val="22"/>
                <w:szCs w:val="22"/>
              </w:rPr>
              <w:t>Leadership</w:t>
            </w:r>
          </w:p>
        </w:tc>
        <w:tc>
          <w:tcPr>
            <w:tcW w:w="1098" w:type="dxa"/>
          </w:tcPr>
          <w:p w:rsidR="00DF38AF" w:rsidRPr="00C65250" w:rsidRDefault="00DF38AF" w:rsidP="006F566E">
            <w:pPr>
              <w:rPr>
                <w:rFonts w:ascii="Arial" w:hAnsi="Arial" w:cs="Arial"/>
                <w:sz w:val="22"/>
                <w:szCs w:val="22"/>
              </w:rPr>
            </w:pPr>
          </w:p>
        </w:tc>
      </w:tr>
      <w:tr w:rsidR="00771DEC" w:rsidRPr="00C65250" w:rsidTr="007E0000">
        <w:trPr>
          <w:trHeight w:val="360"/>
        </w:trPr>
        <w:tc>
          <w:tcPr>
            <w:tcW w:w="523" w:type="dxa"/>
          </w:tcPr>
          <w:p w:rsidR="00771DEC" w:rsidRPr="00C65250" w:rsidRDefault="00771DEC" w:rsidP="006F566E">
            <w:pPr>
              <w:rPr>
                <w:rFonts w:ascii="Arial" w:hAnsi="Arial" w:cs="Arial"/>
                <w:sz w:val="22"/>
                <w:szCs w:val="22"/>
              </w:rPr>
            </w:pPr>
            <w:r>
              <w:rPr>
                <w:rFonts w:ascii="Arial" w:hAnsi="Arial" w:cs="Arial"/>
                <w:sz w:val="22"/>
                <w:szCs w:val="22"/>
              </w:rPr>
              <w:t>2.</w:t>
            </w:r>
          </w:p>
        </w:tc>
        <w:tc>
          <w:tcPr>
            <w:tcW w:w="6047" w:type="dxa"/>
          </w:tcPr>
          <w:p w:rsidR="00771DEC" w:rsidRPr="00C65250" w:rsidRDefault="00771DEC" w:rsidP="006F566E">
            <w:pPr>
              <w:rPr>
                <w:rFonts w:ascii="Arial" w:hAnsi="Arial" w:cs="Arial"/>
                <w:sz w:val="22"/>
                <w:szCs w:val="22"/>
              </w:rPr>
            </w:pPr>
            <w:r>
              <w:rPr>
                <w:rFonts w:ascii="Arial" w:hAnsi="Arial" w:cs="Arial"/>
                <w:sz w:val="22"/>
                <w:szCs w:val="22"/>
              </w:rPr>
              <w:t>Introductions</w:t>
            </w:r>
          </w:p>
        </w:tc>
        <w:tc>
          <w:tcPr>
            <w:tcW w:w="1350" w:type="dxa"/>
          </w:tcPr>
          <w:p w:rsidR="00771DEC" w:rsidRDefault="00771DEC" w:rsidP="006F566E">
            <w:pPr>
              <w:rPr>
                <w:rFonts w:ascii="Arial" w:hAnsi="Arial" w:cs="Arial"/>
                <w:sz w:val="22"/>
                <w:szCs w:val="22"/>
              </w:rPr>
            </w:pPr>
            <w:r>
              <w:rPr>
                <w:rFonts w:ascii="Arial" w:hAnsi="Arial" w:cs="Arial"/>
                <w:sz w:val="22"/>
                <w:szCs w:val="22"/>
              </w:rPr>
              <w:t>Leadership</w:t>
            </w:r>
          </w:p>
        </w:tc>
        <w:tc>
          <w:tcPr>
            <w:tcW w:w="1098" w:type="dxa"/>
          </w:tcPr>
          <w:p w:rsidR="00771DEC" w:rsidRPr="00C65250" w:rsidRDefault="00771DEC" w:rsidP="006F566E">
            <w:pPr>
              <w:rPr>
                <w:rFonts w:ascii="Arial" w:hAnsi="Arial" w:cs="Arial"/>
                <w:sz w:val="22"/>
                <w:szCs w:val="22"/>
              </w:rPr>
            </w:pPr>
          </w:p>
        </w:tc>
      </w:tr>
      <w:tr w:rsidR="006F566E" w:rsidRPr="00C65250" w:rsidTr="007E0000">
        <w:trPr>
          <w:trHeight w:val="360"/>
        </w:trPr>
        <w:tc>
          <w:tcPr>
            <w:tcW w:w="523" w:type="dxa"/>
          </w:tcPr>
          <w:p w:rsidR="006F566E" w:rsidRPr="00C65250" w:rsidRDefault="006F566E" w:rsidP="006F566E">
            <w:pPr>
              <w:rPr>
                <w:rFonts w:ascii="Arial" w:hAnsi="Arial" w:cs="Arial"/>
                <w:sz w:val="22"/>
                <w:szCs w:val="22"/>
              </w:rPr>
            </w:pPr>
            <w:r w:rsidRPr="00C65250">
              <w:rPr>
                <w:rFonts w:ascii="Arial" w:hAnsi="Arial" w:cs="Arial"/>
                <w:sz w:val="22"/>
                <w:szCs w:val="22"/>
              </w:rPr>
              <w:t>3.</w:t>
            </w:r>
          </w:p>
        </w:tc>
        <w:tc>
          <w:tcPr>
            <w:tcW w:w="6047" w:type="dxa"/>
          </w:tcPr>
          <w:p w:rsidR="006F566E" w:rsidRPr="00C65250" w:rsidRDefault="006F566E" w:rsidP="006F566E">
            <w:pPr>
              <w:rPr>
                <w:rFonts w:ascii="Arial" w:hAnsi="Arial" w:cs="Arial"/>
                <w:sz w:val="22"/>
                <w:szCs w:val="22"/>
              </w:rPr>
            </w:pPr>
            <w:r w:rsidRPr="00C65250">
              <w:rPr>
                <w:rFonts w:ascii="Arial" w:hAnsi="Arial" w:cs="Arial"/>
                <w:sz w:val="22"/>
                <w:szCs w:val="22"/>
              </w:rPr>
              <w:t>Overflow from Day 1</w:t>
            </w:r>
          </w:p>
        </w:tc>
        <w:tc>
          <w:tcPr>
            <w:tcW w:w="1350" w:type="dxa"/>
          </w:tcPr>
          <w:p w:rsidR="006F566E" w:rsidRPr="00C65250" w:rsidRDefault="00771DEC" w:rsidP="006F566E">
            <w:pPr>
              <w:rPr>
                <w:rFonts w:ascii="Arial" w:hAnsi="Arial" w:cs="Arial"/>
                <w:sz w:val="22"/>
                <w:szCs w:val="22"/>
              </w:rPr>
            </w:pPr>
            <w:r>
              <w:rPr>
                <w:rFonts w:ascii="Arial" w:hAnsi="Arial" w:cs="Arial"/>
                <w:sz w:val="22"/>
                <w:szCs w:val="22"/>
              </w:rPr>
              <w:t>Leadership</w:t>
            </w:r>
          </w:p>
        </w:tc>
        <w:tc>
          <w:tcPr>
            <w:tcW w:w="1098" w:type="dxa"/>
          </w:tcPr>
          <w:p w:rsidR="006F566E" w:rsidRPr="00C65250" w:rsidRDefault="006F566E" w:rsidP="006F566E">
            <w:pPr>
              <w:rPr>
                <w:rFonts w:ascii="Arial" w:hAnsi="Arial" w:cs="Arial"/>
                <w:sz w:val="22"/>
                <w:szCs w:val="22"/>
              </w:rPr>
            </w:pPr>
          </w:p>
        </w:tc>
      </w:tr>
      <w:tr w:rsidR="00CF0772" w:rsidRPr="00C65250" w:rsidTr="007E0000">
        <w:trPr>
          <w:trHeight w:val="360"/>
        </w:trPr>
        <w:tc>
          <w:tcPr>
            <w:tcW w:w="523" w:type="dxa"/>
          </w:tcPr>
          <w:p w:rsidR="00CF0772" w:rsidRPr="00C65250" w:rsidRDefault="00CF0772" w:rsidP="006F566E">
            <w:pPr>
              <w:rPr>
                <w:rFonts w:ascii="Arial" w:hAnsi="Arial" w:cs="Arial"/>
                <w:sz w:val="22"/>
                <w:szCs w:val="22"/>
              </w:rPr>
            </w:pPr>
            <w:r>
              <w:rPr>
                <w:rFonts w:ascii="Arial" w:hAnsi="Arial" w:cs="Arial"/>
                <w:sz w:val="22"/>
                <w:szCs w:val="22"/>
              </w:rPr>
              <w:t>4.</w:t>
            </w:r>
          </w:p>
        </w:tc>
        <w:tc>
          <w:tcPr>
            <w:tcW w:w="6047" w:type="dxa"/>
          </w:tcPr>
          <w:p w:rsidR="00CF0772" w:rsidRPr="00CF0772" w:rsidRDefault="00CF0772" w:rsidP="00CF0772">
            <w:pPr>
              <w:rPr>
                <w:rFonts w:ascii="Arial" w:hAnsi="Arial" w:cs="Arial"/>
              </w:rPr>
            </w:pPr>
            <w:r w:rsidRPr="00CF0772">
              <w:rPr>
                <w:rFonts w:ascii="Arial" w:hAnsi="Arial" w:cs="Arial"/>
              </w:rPr>
              <w:t>RMS assignments--Discuss Approach and Requirements</w:t>
            </w:r>
          </w:p>
          <w:p w:rsidR="00CF0772" w:rsidRPr="002266F2" w:rsidRDefault="00CF0772" w:rsidP="00CF0772">
            <w:pPr>
              <w:pStyle w:val="ListParagraph"/>
              <w:numPr>
                <w:ilvl w:val="0"/>
                <w:numId w:val="3"/>
              </w:numPr>
              <w:rPr>
                <w:rFonts w:ascii="Arial" w:hAnsi="Arial" w:cs="Arial"/>
              </w:rPr>
            </w:pPr>
            <w:r w:rsidRPr="002266F2">
              <w:rPr>
                <w:rFonts w:ascii="Arial" w:hAnsi="Arial" w:cs="Arial"/>
              </w:rPr>
              <w:t>New Entrant Documentation—Procedures and Documentation Location</w:t>
            </w:r>
          </w:p>
          <w:p w:rsidR="00CF0772" w:rsidRPr="002266F2" w:rsidRDefault="00CF0772" w:rsidP="00CF0772">
            <w:pPr>
              <w:pStyle w:val="ListParagraph"/>
              <w:numPr>
                <w:ilvl w:val="1"/>
                <w:numId w:val="3"/>
              </w:numPr>
              <w:rPr>
                <w:rFonts w:ascii="Arial" w:hAnsi="Arial" w:cs="Arial"/>
              </w:rPr>
            </w:pPr>
            <w:r w:rsidRPr="002266F2">
              <w:rPr>
                <w:rFonts w:ascii="Arial" w:hAnsi="Arial" w:cs="Arial"/>
              </w:rPr>
              <w:t>Method used to create ESI IDs</w:t>
            </w:r>
          </w:p>
          <w:p w:rsidR="00CF0772" w:rsidRPr="002266F2" w:rsidRDefault="00CF0772" w:rsidP="00CF0772">
            <w:pPr>
              <w:pStyle w:val="ListParagraph"/>
              <w:numPr>
                <w:ilvl w:val="1"/>
                <w:numId w:val="3"/>
              </w:numPr>
              <w:rPr>
                <w:rFonts w:ascii="Arial" w:hAnsi="Arial" w:cs="Arial"/>
              </w:rPr>
            </w:pPr>
            <w:r w:rsidRPr="002266F2">
              <w:rPr>
                <w:rFonts w:ascii="Arial" w:hAnsi="Arial" w:cs="Arial"/>
              </w:rPr>
              <w:t>Method used to create 867_03 data for unmetered services</w:t>
            </w:r>
          </w:p>
          <w:p w:rsidR="00CF0772" w:rsidRPr="002266F2" w:rsidRDefault="00CF0772" w:rsidP="00CF0772">
            <w:pPr>
              <w:pStyle w:val="ListParagraph"/>
              <w:numPr>
                <w:ilvl w:val="1"/>
                <w:numId w:val="3"/>
              </w:numPr>
              <w:rPr>
                <w:rFonts w:ascii="Arial" w:hAnsi="Arial" w:cs="Arial"/>
              </w:rPr>
            </w:pPr>
            <w:r w:rsidRPr="002266F2">
              <w:rPr>
                <w:rFonts w:ascii="Arial" w:hAnsi="Arial" w:cs="Arial"/>
              </w:rPr>
              <w:t>Difference between methods to update Premise Type and POLR Class in ERCOT system</w:t>
            </w:r>
          </w:p>
          <w:p w:rsidR="00CF0772" w:rsidRPr="002266F2" w:rsidRDefault="00CF0772" w:rsidP="00CF0772">
            <w:pPr>
              <w:pStyle w:val="ListParagraph"/>
              <w:numPr>
                <w:ilvl w:val="1"/>
                <w:numId w:val="3"/>
              </w:numPr>
              <w:rPr>
                <w:rFonts w:ascii="Arial" w:hAnsi="Arial" w:cs="Arial"/>
              </w:rPr>
            </w:pPr>
            <w:r w:rsidRPr="002266F2">
              <w:rPr>
                <w:rFonts w:ascii="Arial" w:hAnsi="Arial" w:cs="Arial"/>
              </w:rPr>
              <w:t>Cycle assignments for unmetered services</w:t>
            </w:r>
          </w:p>
          <w:p w:rsidR="00CF0772" w:rsidRPr="002266F2" w:rsidRDefault="00CF0772" w:rsidP="00CF0772">
            <w:pPr>
              <w:pStyle w:val="ListParagraph"/>
              <w:numPr>
                <w:ilvl w:val="1"/>
                <w:numId w:val="3"/>
              </w:numPr>
              <w:rPr>
                <w:rFonts w:ascii="Arial" w:hAnsi="Arial" w:cs="Arial"/>
              </w:rPr>
            </w:pPr>
            <w:r w:rsidRPr="002266F2">
              <w:rPr>
                <w:rFonts w:ascii="Arial" w:hAnsi="Arial" w:cs="Arial"/>
              </w:rPr>
              <w:t>Data updates required to align with loaded read dates at ERCOT</w:t>
            </w:r>
          </w:p>
          <w:p w:rsidR="00CF0772" w:rsidRDefault="00CF0772" w:rsidP="00CF0772">
            <w:pPr>
              <w:pStyle w:val="ListParagraph"/>
              <w:numPr>
                <w:ilvl w:val="1"/>
                <w:numId w:val="3"/>
              </w:numPr>
              <w:rPr>
                <w:rFonts w:ascii="Arial" w:hAnsi="Arial" w:cs="Arial"/>
              </w:rPr>
            </w:pPr>
            <w:r w:rsidRPr="002266F2">
              <w:rPr>
                <w:rFonts w:ascii="Arial" w:hAnsi="Arial" w:cs="Arial"/>
              </w:rPr>
              <w:t>Use of TDSP supplemental address field</w:t>
            </w:r>
          </w:p>
          <w:p w:rsidR="00CF0772" w:rsidRDefault="00CF0772" w:rsidP="00CF0772">
            <w:pPr>
              <w:pStyle w:val="ListParagraph"/>
              <w:numPr>
                <w:ilvl w:val="0"/>
                <w:numId w:val="3"/>
              </w:numPr>
              <w:rPr>
                <w:rFonts w:ascii="Arial" w:hAnsi="Arial" w:cs="Arial"/>
              </w:rPr>
            </w:pPr>
            <w:r w:rsidRPr="002266F2">
              <w:rPr>
                <w:rFonts w:ascii="Arial" w:hAnsi="Arial" w:cs="Arial"/>
              </w:rPr>
              <w:t>Add STTF Transition Documents (Lessons Learned)  to key documents</w:t>
            </w:r>
          </w:p>
          <w:p w:rsidR="00CF0772" w:rsidRPr="00771DEC" w:rsidRDefault="00CF0772" w:rsidP="006F566E">
            <w:pPr>
              <w:pStyle w:val="ListParagraph"/>
              <w:numPr>
                <w:ilvl w:val="0"/>
                <w:numId w:val="3"/>
              </w:numPr>
              <w:rPr>
                <w:rFonts w:ascii="Arial" w:hAnsi="Arial" w:cs="Arial"/>
              </w:rPr>
            </w:pPr>
            <w:r w:rsidRPr="002266F2">
              <w:rPr>
                <w:rFonts w:ascii="Arial" w:hAnsi="Arial" w:cs="Arial"/>
              </w:rPr>
              <w:t>Add Master Customer List (MCL) guide back to the Texas SET Guides</w:t>
            </w:r>
          </w:p>
        </w:tc>
        <w:tc>
          <w:tcPr>
            <w:tcW w:w="1350" w:type="dxa"/>
          </w:tcPr>
          <w:p w:rsidR="00CF0772" w:rsidRPr="00C65250" w:rsidRDefault="00CF0772" w:rsidP="006F566E">
            <w:pPr>
              <w:rPr>
                <w:rFonts w:ascii="Arial" w:hAnsi="Arial" w:cs="Arial"/>
                <w:sz w:val="22"/>
                <w:szCs w:val="22"/>
              </w:rPr>
            </w:pPr>
            <w:r>
              <w:rPr>
                <w:rFonts w:ascii="Arial" w:hAnsi="Arial" w:cs="Arial"/>
                <w:sz w:val="22"/>
                <w:szCs w:val="22"/>
              </w:rPr>
              <w:t>Leadership</w:t>
            </w:r>
          </w:p>
        </w:tc>
        <w:tc>
          <w:tcPr>
            <w:tcW w:w="1098" w:type="dxa"/>
          </w:tcPr>
          <w:p w:rsidR="00CF0772" w:rsidRPr="00C65250" w:rsidRDefault="00CF0772" w:rsidP="006F566E">
            <w:pPr>
              <w:rPr>
                <w:rFonts w:ascii="Arial" w:hAnsi="Arial" w:cs="Arial"/>
                <w:sz w:val="22"/>
                <w:szCs w:val="22"/>
              </w:rPr>
            </w:pPr>
          </w:p>
        </w:tc>
      </w:tr>
      <w:tr w:rsidR="0024030B" w:rsidRPr="00C65250" w:rsidTr="007E0000">
        <w:trPr>
          <w:trHeight w:val="360"/>
        </w:trPr>
        <w:tc>
          <w:tcPr>
            <w:tcW w:w="523" w:type="dxa"/>
          </w:tcPr>
          <w:p w:rsidR="0024030B" w:rsidRPr="00C65250" w:rsidRDefault="00A60258" w:rsidP="006F566E">
            <w:pPr>
              <w:rPr>
                <w:rFonts w:ascii="Arial" w:hAnsi="Arial" w:cs="Arial"/>
                <w:sz w:val="22"/>
                <w:szCs w:val="22"/>
              </w:rPr>
            </w:pPr>
            <w:r>
              <w:rPr>
                <w:rFonts w:ascii="Arial" w:hAnsi="Arial" w:cs="Arial"/>
                <w:sz w:val="22"/>
                <w:szCs w:val="22"/>
              </w:rPr>
              <w:t>5</w:t>
            </w:r>
            <w:r w:rsidR="0024030B" w:rsidRPr="00C65250">
              <w:rPr>
                <w:rFonts w:ascii="Arial" w:hAnsi="Arial" w:cs="Arial"/>
                <w:sz w:val="22"/>
                <w:szCs w:val="22"/>
              </w:rPr>
              <w:t>.</w:t>
            </w:r>
          </w:p>
          <w:p w:rsidR="0024030B" w:rsidRPr="00C65250" w:rsidDel="00B32631" w:rsidRDefault="0024030B" w:rsidP="006F566E">
            <w:pPr>
              <w:rPr>
                <w:rFonts w:ascii="Arial" w:hAnsi="Arial" w:cs="Arial"/>
                <w:sz w:val="22"/>
                <w:szCs w:val="22"/>
              </w:rPr>
            </w:pPr>
          </w:p>
        </w:tc>
        <w:tc>
          <w:tcPr>
            <w:tcW w:w="6047" w:type="dxa"/>
          </w:tcPr>
          <w:p w:rsidR="000300DB" w:rsidRDefault="0024030B" w:rsidP="006F566E">
            <w:pPr>
              <w:rPr>
                <w:rFonts w:ascii="Arial" w:hAnsi="Arial" w:cs="Arial"/>
                <w:sz w:val="22"/>
                <w:szCs w:val="22"/>
              </w:rPr>
            </w:pPr>
            <w:r w:rsidRPr="00C65250">
              <w:rPr>
                <w:rFonts w:ascii="Arial" w:hAnsi="Arial" w:cs="Arial"/>
                <w:sz w:val="22"/>
                <w:szCs w:val="22"/>
              </w:rPr>
              <w:t>Other Business</w:t>
            </w:r>
          </w:p>
          <w:p w:rsidR="00A60258" w:rsidRDefault="00A60258" w:rsidP="00A60258">
            <w:pPr>
              <w:pStyle w:val="ListParagraph"/>
              <w:numPr>
                <w:ilvl w:val="0"/>
                <w:numId w:val="6"/>
              </w:numPr>
              <w:rPr>
                <w:rFonts w:ascii="Arial" w:hAnsi="Arial" w:cs="Arial"/>
              </w:rPr>
            </w:pPr>
            <w:r w:rsidRPr="00A60258">
              <w:rPr>
                <w:rFonts w:ascii="Arial" w:hAnsi="Arial" w:cs="Arial"/>
              </w:rPr>
              <w:t>Issue 140--Requesting review of MVOs and how they interact with CSAs—CSA relationship cancelled prior to MVO to CSA completion--NRG update</w:t>
            </w:r>
          </w:p>
          <w:p w:rsidR="003D3D1E" w:rsidRDefault="003D3D1E" w:rsidP="003D3D1E">
            <w:pPr>
              <w:pStyle w:val="ListParagraph"/>
              <w:numPr>
                <w:ilvl w:val="0"/>
                <w:numId w:val="6"/>
              </w:numPr>
              <w:rPr>
                <w:rFonts w:ascii="Arial" w:hAnsi="Arial" w:cs="Arial"/>
              </w:rPr>
            </w:pPr>
            <w:r w:rsidRPr="003D3D1E">
              <w:rPr>
                <w:rFonts w:ascii="Arial" w:hAnsi="Arial" w:cs="Arial"/>
              </w:rPr>
              <w:t>2015 Goals updated</w:t>
            </w:r>
            <w:bookmarkStart w:id="0" w:name="_GoBack"/>
            <w:bookmarkEnd w:id="0"/>
          </w:p>
          <w:p w:rsidR="002266F2" w:rsidRDefault="002266F2" w:rsidP="00A60258">
            <w:pPr>
              <w:pStyle w:val="ListParagraph"/>
              <w:numPr>
                <w:ilvl w:val="0"/>
                <w:numId w:val="6"/>
              </w:numPr>
              <w:rPr>
                <w:rFonts w:ascii="Arial" w:hAnsi="Arial" w:cs="Arial"/>
              </w:rPr>
            </w:pPr>
            <w:r w:rsidRPr="00CF0772">
              <w:rPr>
                <w:rFonts w:ascii="Arial" w:hAnsi="Arial" w:cs="Arial"/>
              </w:rPr>
              <w:t>Texas SET Release Discussion</w:t>
            </w:r>
            <w:r w:rsidR="00CF0772">
              <w:rPr>
                <w:rFonts w:ascii="Arial" w:hAnsi="Arial" w:cs="Arial"/>
              </w:rPr>
              <w:t>—On Hold</w:t>
            </w:r>
          </w:p>
          <w:p w:rsidR="0024030B" w:rsidRPr="00A60258" w:rsidRDefault="00CF0772" w:rsidP="00A60258">
            <w:pPr>
              <w:pStyle w:val="ListParagraph"/>
              <w:numPr>
                <w:ilvl w:val="0"/>
                <w:numId w:val="3"/>
              </w:numPr>
              <w:rPr>
                <w:rFonts w:ascii="Arial" w:hAnsi="Arial" w:cs="Arial"/>
              </w:rPr>
            </w:pPr>
            <w:r w:rsidRPr="00C65250">
              <w:rPr>
                <w:rFonts w:ascii="Arial" w:hAnsi="Arial" w:cs="Arial"/>
              </w:rPr>
              <w:t>REP Certification Matrix—Long-term solution—on hol</w:t>
            </w:r>
            <w:r w:rsidR="00A60258">
              <w:rPr>
                <w:rFonts w:ascii="Arial" w:hAnsi="Arial" w:cs="Arial"/>
              </w:rPr>
              <w:t>d</w:t>
            </w:r>
          </w:p>
        </w:tc>
        <w:tc>
          <w:tcPr>
            <w:tcW w:w="1350" w:type="dxa"/>
          </w:tcPr>
          <w:p w:rsidR="0024030B" w:rsidRPr="00C65250" w:rsidRDefault="0024030B" w:rsidP="006F566E">
            <w:pPr>
              <w:rPr>
                <w:rFonts w:ascii="Arial" w:hAnsi="Arial" w:cs="Arial"/>
                <w:sz w:val="22"/>
                <w:szCs w:val="22"/>
              </w:rPr>
            </w:pPr>
          </w:p>
        </w:tc>
        <w:tc>
          <w:tcPr>
            <w:tcW w:w="1098" w:type="dxa"/>
          </w:tcPr>
          <w:p w:rsidR="0024030B" w:rsidRPr="00C65250" w:rsidRDefault="0024030B" w:rsidP="006F566E">
            <w:pPr>
              <w:rPr>
                <w:rFonts w:ascii="Arial" w:hAnsi="Arial" w:cs="Arial"/>
                <w:sz w:val="22"/>
                <w:szCs w:val="22"/>
              </w:rPr>
            </w:pPr>
          </w:p>
        </w:tc>
      </w:tr>
      <w:tr w:rsidR="007E0000" w:rsidRPr="00C65250" w:rsidTr="007E0000">
        <w:trPr>
          <w:trHeight w:val="360"/>
        </w:trPr>
        <w:tc>
          <w:tcPr>
            <w:tcW w:w="523" w:type="dxa"/>
          </w:tcPr>
          <w:p w:rsidR="007E0000" w:rsidRDefault="007E0000" w:rsidP="006F566E">
            <w:pPr>
              <w:rPr>
                <w:rFonts w:ascii="Arial" w:hAnsi="Arial" w:cs="Arial"/>
                <w:sz w:val="22"/>
                <w:szCs w:val="22"/>
              </w:rPr>
            </w:pPr>
            <w:r>
              <w:rPr>
                <w:rFonts w:ascii="Arial" w:hAnsi="Arial" w:cs="Arial"/>
                <w:sz w:val="22"/>
                <w:szCs w:val="22"/>
              </w:rPr>
              <w:t>6.</w:t>
            </w:r>
          </w:p>
        </w:tc>
        <w:tc>
          <w:tcPr>
            <w:tcW w:w="6047" w:type="dxa"/>
          </w:tcPr>
          <w:p w:rsidR="007E0000" w:rsidRDefault="007E0000" w:rsidP="006F566E">
            <w:pPr>
              <w:rPr>
                <w:rFonts w:ascii="Arial" w:hAnsi="Arial" w:cs="Arial"/>
              </w:rPr>
            </w:pPr>
            <w:r w:rsidRPr="00C65250">
              <w:rPr>
                <w:rFonts w:ascii="Arial" w:hAnsi="Arial" w:cs="Arial"/>
              </w:rPr>
              <w:t>Next Meeting Dates</w:t>
            </w:r>
          </w:p>
          <w:p w:rsidR="007E0000" w:rsidRPr="00C65250" w:rsidRDefault="007E0000" w:rsidP="007E0000">
            <w:pPr>
              <w:pStyle w:val="ListParagraph"/>
              <w:numPr>
                <w:ilvl w:val="0"/>
                <w:numId w:val="3"/>
              </w:numPr>
              <w:rPr>
                <w:rFonts w:ascii="Arial" w:hAnsi="Arial" w:cs="Arial"/>
              </w:rPr>
            </w:pPr>
            <w:r>
              <w:rPr>
                <w:rFonts w:ascii="Arial" w:hAnsi="Arial" w:cs="Arial"/>
              </w:rPr>
              <w:t>March</w:t>
            </w:r>
            <w:r w:rsidRPr="00C65250">
              <w:rPr>
                <w:rFonts w:ascii="Arial" w:hAnsi="Arial" w:cs="Arial"/>
              </w:rPr>
              <w:t xml:space="preserve"> </w:t>
            </w:r>
            <w:r>
              <w:rPr>
                <w:rFonts w:ascii="Arial" w:hAnsi="Arial" w:cs="Arial"/>
              </w:rPr>
              <w:t>9</w:t>
            </w:r>
            <w:r w:rsidRPr="002266F2">
              <w:rPr>
                <w:rFonts w:ascii="Arial" w:hAnsi="Arial" w:cs="Arial"/>
                <w:vertAlign w:val="superscript"/>
              </w:rPr>
              <w:t>th</w:t>
            </w:r>
            <w:r>
              <w:rPr>
                <w:rFonts w:ascii="Arial" w:hAnsi="Arial" w:cs="Arial"/>
              </w:rPr>
              <w:t xml:space="preserve"> RM 168</w:t>
            </w:r>
            <w:r w:rsidRPr="00C65250">
              <w:rPr>
                <w:rFonts w:ascii="Arial" w:hAnsi="Arial" w:cs="Arial"/>
              </w:rPr>
              <w:t xml:space="preserve"> &amp; </w:t>
            </w:r>
            <w:r>
              <w:rPr>
                <w:rFonts w:ascii="Arial" w:hAnsi="Arial" w:cs="Arial"/>
              </w:rPr>
              <w:t>10th</w:t>
            </w:r>
            <w:r w:rsidRPr="00C65250">
              <w:rPr>
                <w:rFonts w:ascii="Arial" w:hAnsi="Arial" w:cs="Arial"/>
              </w:rPr>
              <w:t xml:space="preserve">  RM</w:t>
            </w:r>
            <w:r>
              <w:rPr>
                <w:rFonts w:ascii="Arial" w:hAnsi="Arial" w:cs="Arial"/>
              </w:rPr>
              <w:t xml:space="preserve"> 211</w:t>
            </w:r>
            <w:r w:rsidRPr="00C65250">
              <w:rPr>
                <w:rFonts w:ascii="Arial" w:hAnsi="Arial" w:cs="Arial"/>
              </w:rPr>
              <w:t xml:space="preserve"> ERCOT MET Center</w:t>
            </w:r>
          </w:p>
          <w:p w:rsidR="007E0000" w:rsidRPr="00C65250" w:rsidRDefault="007E0000" w:rsidP="006F566E">
            <w:pPr>
              <w:rPr>
                <w:rFonts w:ascii="Arial" w:hAnsi="Arial" w:cs="Arial"/>
                <w:sz w:val="22"/>
                <w:szCs w:val="22"/>
              </w:rPr>
            </w:pPr>
          </w:p>
        </w:tc>
        <w:tc>
          <w:tcPr>
            <w:tcW w:w="1350" w:type="dxa"/>
          </w:tcPr>
          <w:p w:rsidR="007E0000" w:rsidRPr="00C65250" w:rsidRDefault="007E0000" w:rsidP="006F566E">
            <w:pPr>
              <w:rPr>
                <w:rFonts w:ascii="Arial" w:hAnsi="Arial" w:cs="Arial"/>
                <w:sz w:val="22"/>
                <w:szCs w:val="22"/>
              </w:rPr>
            </w:pPr>
          </w:p>
        </w:tc>
        <w:tc>
          <w:tcPr>
            <w:tcW w:w="1098" w:type="dxa"/>
          </w:tcPr>
          <w:p w:rsidR="007E0000" w:rsidRPr="00C65250" w:rsidRDefault="007E0000" w:rsidP="006F566E">
            <w:pPr>
              <w:rPr>
                <w:rFonts w:ascii="Arial" w:hAnsi="Arial" w:cs="Arial"/>
                <w:sz w:val="22"/>
                <w:szCs w:val="22"/>
              </w:rPr>
            </w:pPr>
          </w:p>
        </w:tc>
      </w:tr>
    </w:tbl>
    <w:p w:rsidR="00DF38AF" w:rsidRPr="00C65250" w:rsidRDefault="00DF38AF" w:rsidP="00BF6E38">
      <w:pPr>
        <w:rPr>
          <w:rFonts w:ascii="Arial" w:hAnsi="Arial" w:cs="Arial"/>
          <w:sz w:val="22"/>
          <w:szCs w:val="22"/>
        </w:rPr>
      </w:pPr>
    </w:p>
    <w:sectPr w:rsidR="00DF38AF" w:rsidRPr="00C65250" w:rsidSect="00771DEC">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F5" w:rsidRDefault="00141FF5">
      <w:r>
        <w:separator/>
      </w:r>
    </w:p>
  </w:endnote>
  <w:endnote w:type="continuationSeparator" w:id="0">
    <w:p w:rsidR="00141FF5" w:rsidRDefault="001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Default="006F566E">
    <w:pPr>
      <w:pStyle w:val="Footer"/>
    </w:pPr>
    <w:r>
      <w:tab/>
    </w:r>
    <w:r>
      <w:rPr>
        <w:rStyle w:val="PageNumber"/>
      </w:rPr>
      <w:fldChar w:fldCharType="begin"/>
    </w:r>
    <w:r>
      <w:rPr>
        <w:rStyle w:val="PageNumber"/>
      </w:rPr>
      <w:instrText xml:space="preserve"> PAGE </w:instrText>
    </w:r>
    <w:r>
      <w:rPr>
        <w:rStyle w:val="PageNumber"/>
      </w:rPr>
      <w:fldChar w:fldCharType="separate"/>
    </w:r>
    <w:r w:rsidR="003D3D1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3D1E">
      <w:rPr>
        <w:rStyle w:val="PageNumber"/>
        <w:noProof/>
      </w:rPr>
      <w:t>2</w:t>
    </w:r>
    <w:r>
      <w:rPr>
        <w:rStyle w:val="PageNumber"/>
      </w:rPr>
      <w:fldChar w:fldCharType="end"/>
    </w:r>
  </w:p>
  <w:p w:rsidR="007E0000" w:rsidRDefault="007E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F5" w:rsidRDefault="00141FF5">
      <w:r>
        <w:separator/>
      </w:r>
    </w:p>
  </w:footnote>
  <w:footnote w:type="continuationSeparator" w:id="0">
    <w:p w:rsidR="00141FF5" w:rsidRDefault="0014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Pr="00BF7B9E" w:rsidRDefault="006F566E" w:rsidP="00BF7B9E">
    <w:pPr>
      <w:pStyle w:val="Header"/>
      <w:jc w:val="center"/>
      <w:rPr>
        <w:b/>
        <w:sz w:val="32"/>
      </w:rPr>
    </w:pPr>
    <w:r>
      <w:rPr>
        <w:b/>
        <w:sz w:val="32"/>
      </w:rPr>
      <w:t>Texas SET</w:t>
    </w:r>
    <w:r w:rsidRPr="00BF7B9E">
      <w:rPr>
        <w:b/>
        <w:sz w:val="32"/>
      </w:rPr>
      <w:t xml:space="preserve"> </w:t>
    </w:r>
    <w:r>
      <w:rPr>
        <w:b/>
        <w:sz w:val="32"/>
      </w:rPr>
      <w:t>Agenda</w:t>
    </w:r>
  </w:p>
  <w:p w:rsidR="006F566E" w:rsidRDefault="006F566E"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2553"/>
    <w:multiLevelType w:val="hybridMultilevel"/>
    <w:tmpl w:val="2C7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0544"/>
    <w:multiLevelType w:val="hybridMultilevel"/>
    <w:tmpl w:val="765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37FC3"/>
    <w:multiLevelType w:val="hybridMultilevel"/>
    <w:tmpl w:val="8DF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205DA5"/>
    <w:multiLevelType w:val="hybridMultilevel"/>
    <w:tmpl w:val="756A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B3446"/>
    <w:multiLevelType w:val="hybridMultilevel"/>
    <w:tmpl w:val="33E2E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4D06BD"/>
    <w:multiLevelType w:val="hybridMultilevel"/>
    <w:tmpl w:val="741009A2"/>
    <w:lvl w:ilvl="0" w:tplc="D756BBBE">
      <w:start w:val="1"/>
      <w:numFmt w:val="bullet"/>
      <w:lvlText w:val="•"/>
      <w:lvlJc w:val="left"/>
      <w:pPr>
        <w:tabs>
          <w:tab w:val="num" w:pos="360"/>
        </w:tabs>
        <w:ind w:left="360" w:hanging="360"/>
      </w:pPr>
      <w:rPr>
        <w:rFonts w:ascii="Arial" w:hAnsi="Arial" w:hint="default"/>
      </w:rPr>
    </w:lvl>
    <w:lvl w:ilvl="1" w:tplc="D906393E">
      <w:start w:val="1"/>
      <w:numFmt w:val="bullet"/>
      <w:lvlText w:val="•"/>
      <w:lvlJc w:val="left"/>
      <w:pPr>
        <w:tabs>
          <w:tab w:val="num" w:pos="1080"/>
        </w:tabs>
        <w:ind w:left="1080" w:hanging="360"/>
      </w:pPr>
      <w:rPr>
        <w:rFonts w:ascii="Arial" w:hAnsi="Arial" w:hint="default"/>
      </w:rPr>
    </w:lvl>
    <w:lvl w:ilvl="2" w:tplc="6C80E2A8">
      <w:start w:val="1"/>
      <w:numFmt w:val="bullet"/>
      <w:lvlText w:val="•"/>
      <w:lvlJc w:val="left"/>
      <w:pPr>
        <w:tabs>
          <w:tab w:val="num" w:pos="1800"/>
        </w:tabs>
        <w:ind w:left="1800" w:hanging="360"/>
      </w:pPr>
      <w:rPr>
        <w:rFonts w:ascii="Arial" w:hAnsi="Arial" w:hint="default"/>
      </w:rPr>
    </w:lvl>
    <w:lvl w:ilvl="3" w:tplc="DBEED46E">
      <w:start w:val="1"/>
      <w:numFmt w:val="bullet"/>
      <w:lvlText w:val="•"/>
      <w:lvlJc w:val="left"/>
      <w:pPr>
        <w:tabs>
          <w:tab w:val="num" w:pos="2520"/>
        </w:tabs>
        <w:ind w:left="2520" w:hanging="360"/>
      </w:pPr>
      <w:rPr>
        <w:rFonts w:ascii="Arial" w:hAnsi="Arial" w:hint="default"/>
      </w:rPr>
    </w:lvl>
    <w:lvl w:ilvl="4" w:tplc="1EECADE6">
      <w:start w:val="1"/>
      <w:numFmt w:val="bullet"/>
      <w:lvlText w:val="•"/>
      <w:lvlJc w:val="left"/>
      <w:pPr>
        <w:tabs>
          <w:tab w:val="num" w:pos="3240"/>
        </w:tabs>
        <w:ind w:left="3240" w:hanging="360"/>
      </w:pPr>
      <w:rPr>
        <w:rFonts w:ascii="Arial" w:hAnsi="Arial" w:hint="default"/>
      </w:rPr>
    </w:lvl>
    <w:lvl w:ilvl="5" w:tplc="F0B6FE3E" w:tentative="1">
      <w:start w:val="1"/>
      <w:numFmt w:val="bullet"/>
      <w:lvlText w:val="•"/>
      <w:lvlJc w:val="left"/>
      <w:pPr>
        <w:tabs>
          <w:tab w:val="num" w:pos="3960"/>
        </w:tabs>
        <w:ind w:left="3960" w:hanging="360"/>
      </w:pPr>
      <w:rPr>
        <w:rFonts w:ascii="Arial" w:hAnsi="Arial" w:hint="default"/>
      </w:rPr>
    </w:lvl>
    <w:lvl w:ilvl="6" w:tplc="309650EC" w:tentative="1">
      <w:start w:val="1"/>
      <w:numFmt w:val="bullet"/>
      <w:lvlText w:val="•"/>
      <w:lvlJc w:val="left"/>
      <w:pPr>
        <w:tabs>
          <w:tab w:val="num" w:pos="4680"/>
        </w:tabs>
        <w:ind w:left="4680" w:hanging="360"/>
      </w:pPr>
      <w:rPr>
        <w:rFonts w:ascii="Arial" w:hAnsi="Arial" w:hint="default"/>
      </w:rPr>
    </w:lvl>
    <w:lvl w:ilvl="7" w:tplc="BECC1ADE" w:tentative="1">
      <w:start w:val="1"/>
      <w:numFmt w:val="bullet"/>
      <w:lvlText w:val="•"/>
      <w:lvlJc w:val="left"/>
      <w:pPr>
        <w:tabs>
          <w:tab w:val="num" w:pos="5400"/>
        </w:tabs>
        <w:ind w:left="5400" w:hanging="360"/>
      </w:pPr>
      <w:rPr>
        <w:rFonts w:ascii="Arial" w:hAnsi="Arial" w:hint="default"/>
      </w:rPr>
    </w:lvl>
    <w:lvl w:ilvl="8" w:tplc="4168B502" w:tentative="1">
      <w:start w:val="1"/>
      <w:numFmt w:val="bullet"/>
      <w:lvlText w:val="•"/>
      <w:lvlJc w:val="left"/>
      <w:pPr>
        <w:tabs>
          <w:tab w:val="num" w:pos="6120"/>
        </w:tabs>
        <w:ind w:left="6120" w:hanging="360"/>
      </w:pPr>
      <w:rPr>
        <w:rFonts w:ascii="Arial" w:hAnsi="Arial" w:hint="default"/>
      </w:rPr>
    </w:lvl>
  </w:abstractNum>
  <w:abstractNum w:abstractNumId="6">
    <w:nsid w:val="7D707B90"/>
    <w:multiLevelType w:val="hybridMultilevel"/>
    <w:tmpl w:val="10784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7A02"/>
    <w:rsid w:val="00021663"/>
    <w:rsid w:val="000300DB"/>
    <w:rsid w:val="00032BB9"/>
    <w:rsid w:val="000367E5"/>
    <w:rsid w:val="00040A3B"/>
    <w:rsid w:val="000633B9"/>
    <w:rsid w:val="000645A1"/>
    <w:rsid w:val="00064AEC"/>
    <w:rsid w:val="00067282"/>
    <w:rsid w:val="00067884"/>
    <w:rsid w:val="00072345"/>
    <w:rsid w:val="00080375"/>
    <w:rsid w:val="000804C4"/>
    <w:rsid w:val="000843A9"/>
    <w:rsid w:val="00084B9A"/>
    <w:rsid w:val="00084CBD"/>
    <w:rsid w:val="000940B1"/>
    <w:rsid w:val="000A0BA8"/>
    <w:rsid w:val="000A2088"/>
    <w:rsid w:val="000B21FE"/>
    <w:rsid w:val="000C0F1A"/>
    <w:rsid w:val="000C5AD9"/>
    <w:rsid w:val="000E116E"/>
    <w:rsid w:val="000E6782"/>
    <w:rsid w:val="000F7C6F"/>
    <w:rsid w:val="00100031"/>
    <w:rsid w:val="001017A6"/>
    <w:rsid w:val="00104876"/>
    <w:rsid w:val="0010740B"/>
    <w:rsid w:val="00112BB2"/>
    <w:rsid w:val="00116C08"/>
    <w:rsid w:val="0011758E"/>
    <w:rsid w:val="00117DA0"/>
    <w:rsid w:val="00121BF6"/>
    <w:rsid w:val="00132E12"/>
    <w:rsid w:val="0013467A"/>
    <w:rsid w:val="00137641"/>
    <w:rsid w:val="00141FF5"/>
    <w:rsid w:val="00142440"/>
    <w:rsid w:val="00142495"/>
    <w:rsid w:val="001456D2"/>
    <w:rsid w:val="00155555"/>
    <w:rsid w:val="00156BA3"/>
    <w:rsid w:val="001578B4"/>
    <w:rsid w:val="00165A86"/>
    <w:rsid w:val="001670AB"/>
    <w:rsid w:val="00176C24"/>
    <w:rsid w:val="00180B4A"/>
    <w:rsid w:val="0018142E"/>
    <w:rsid w:val="001836B1"/>
    <w:rsid w:val="00192F6F"/>
    <w:rsid w:val="00192FFB"/>
    <w:rsid w:val="00195A0A"/>
    <w:rsid w:val="001A23D8"/>
    <w:rsid w:val="001B735D"/>
    <w:rsid w:val="001C5EFF"/>
    <w:rsid w:val="001C6437"/>
    <w:rsid w:val="001D3DFB"/>
    <w:rsid w:val="001D70AF"/>
    <w:rsid w:val="001E3337"/>
    <w:rsid w:val="001E3C8D"/>
    <w:rsid w:val="001F1B3B"/>
    <w:rsid w:val="001F57E1"/>
    <w:rsid w:val="00200C40"/>
    <w:rsid w:val="002075DB"/>
    <w:rsid w:val="00212D7F"/>
    <w:rsid w:val="00213DBC"/>
    <w:rsid w:val="00215905"/>
    <w:rsid w:val="002214ED"/>
    <w:rsid w:val="00225CD7"/>
    <w:rsid w:val="00225E35"/>
    <w:rsid w:val="002266F2"/>
    <w:rsid w:val="002313B5"/>
    <w:rsid w:val="0024020C"/>
    <w:rsid w:val="0024030B"/>
    <w:rsid w:val="002466EE"/>
    <w:rsid w:val="00247311"/>
    <w:rsid w:val="00266827"/>
    <w:rsid w:val="00272257"/>
    <w:rsid w:val="00272279"/>
    <w:rsid w:val="00286A39"/>
    <w:rsid w:val="002A3831"/>
    <w:rsid w:val="002A4754"/>
    <w:rsid w:val="002A75BC"/>
    <w:rsid w:val="002B49CC"/>
    <w:rsid w:val="002B7B6F"/>
    <w:rsid w:val="002C0A80"/>
    <w:rsid w:val="002C1EC0"/>
    <w:rsid w:val="002C5517"/>
    <w:rsid w:val="002C5F12"/>
    <w:rsid w:val="002C74EF"/>
    <w:rsid w:val="002D00D2"/>
    <w:rsid w:val="002D2CE2"/>
    <w:rsid w:val="002E0701"/>
    <w:rsid w:val="002E2AA2"/>
    <w:rsid w:val="002F6B88"/>
    <w:rsid w:val="0031181A"/>
    <w:rsid w:val="003131E9"/>
    <w:rsid w:val="00317445"/>
    <w:rsid w:val="00323149"/>
    <w:rsid w:val="00330EB7"/>
    <w:rsid w:val="00332E4B"/>
    <w:rsid w:val="00344150"/>
    <w:rsid w:val="003446F6"/>
    <w:rsid w:val="00345CF6"/>
    <w:rsid w:val="00347F75"/>
    <w:rsid w:val="00350521"/>
    <w:rsid w:val="00351C9A"/>
    <w:rsid w:val="00360073"/>
    <w:rsid w:val="0036097D"/>
    <w:rsid w:val="00364A89"/>
    <w:rsid w:val="00374BC6"/>
    <w:rsid w:val="00375574"/>
    <w:rsid w:val="00396DE8"/>
    <w:rsid w:val="003B4A44"/>
    <w:rsid w:val="003C0B4E"/>
    <w:rsid w:val="003C2EF8"/>
    <w:rsid w:val="003C3FC2"/>
    <w:rsid w:val="003C5B35"/>
    <w:rsid w:val="003D02B2"/>
    <w:rsid w:val="003D0D23"/>
    <w:rsid w:val="003D3D1E"/>
    <w:rsid w:val="003D7E41"/>
    <w:rsid w:val="003E1A3B"/>
    <w:rsid w:val="004118DF"/>
    <w:rsid w:val="00413ADD"/>
    <w:rsid w:val="00426535"/>
    <w:rsid w:val="0042688B"/>
    <w:rsid w:val="00436B2B"/>
    <w:rsid w:val="00440E2D"/>
    <w:rsid w:val="004476F9"/>
    <w:rsid w:val="00447784"/>
    <w:rsid w:val="0045368C"/>
    <w:rsid w:val="00464DBB"/>
    <w:rsid w:val="0047049D"/>
    <w:rsid w:val="00474D2C"/>
    <w:rsid w:val="00476DD9"/>
    <w:rsid w:val="004779ED"/>
    <w:rsid w:val="00487F64"/>
    <w:rsid w:val="00496766"/>
    <w:rsid w:val="004A3613"/>
    <w:rsid w:val="004A3CFA"/>
    <w:rsid w:val="004B39B7"/>
    <w:rsid w:val="004B4C5E"/>
    <w:rsid w:val="004B51CD"/>
    <w:rsid w:val="004C354E"/>
    <w:rsid w:val="004C671A"/>
    <w:rsid w:val="004D5E1F"/>
    <w:rsid w:val="004D6892"/>
    <w:rsid w:val="004E1E7B"/>
    <w:rsid w:val="004F02E4"/>
    <w:rsid w:val="004F1D55"/>
    <w:rsid w:val="004F330A"/>
    <w:rsid w:val="00503476"/>
    <w:rsid w:val="0050525B"/>
    <w:rsid w:val="005108EC"/>
    <w:rsid w:val="00535121"/>
    <w:rsid w:val="00555771"/>
    <w:rsid w:val="005614D4"/>
    <w:rsid w:val="005639CF"/>
    <w:rsid w:val="005660B8"/>
    <w:rsid w:val="00567CF6"/>
    <w:rsid w:val="0057292F"/>
    <w:rsid w:val="00573180"/>
    <w:rsid w:val="00574501"/>
    <w:rsid w:val="005760AB"/>
    <w:rsid w:val="0059275B"/>
    <w:rsid w:val="005A31D8"/>
    <w:rsid w:val="005B1AEF"/>
    <w:rsid w:val="005D13A3"/>
    <w:rsid w:val="005D185E"/>
    <w:rsid w:val="005D4DC4"/>
    <w:rsid w:val="005D741A"/>
    <w:rsid w:val="005D7D12"/>
    <w:rsid w:val="005E35CC"/>
    <w:rsid w:val="005F1036"/>
    <w:rsid w:val="005F679F"/>
    <w:rsid w:val="006113A7"/>
    <w:rsid w:val="00613D8F"/>
    <w:rsid w:val="00624A7D"/>
    <w:rsid w:val="00624FE0"/>
    <w:rsid w:val="0062558B"/>
    <w:rsid w:val="0065179A"/>
    <w:rsid w:val="006547BE"/>
    <w:rsid w:val="00654D99"/>
    <w:rsid w:val="006600E7"/>
    <w:rsid w:val="0067099B"/>
    <w:rsid w:val="00676016"/>
    <w:rsid w:val="006814AC"/>
    <w:rsid w:val="00686977"/>
    <w:rsid w:val="0069332C"/>
    <w:rsid w:val="006946F8"/>
    <w:rsid w:val="006A5097"/>
    <w:rsid w:val="006B6FA2"/>
    <w:rsid w:val="006C418B"/>
    <w:rsid w:val="006C6605"/>
    <w:rsid w:val="006D0906"/>
    <w:rsid w:val="006D4E74"/>
    <w:rsid w:val="006E48D7"/>
    <w:rsid w:val="006F566E"/>
    <w:rsid w:val="006F69A9"/>
    <w:rsid w:val="006F7484"/>
    <w:rsid w:val="007002A5"/>
    <w:rsid w:val="00701343"/>
    <w:rsid w:val="00701A11"/>
    <w:rsid w:val="00706142"/>
    <w:rsid w:val="00711070"/>
    <w:rsid w:val="00715534"/>
    <w:rsid w:val="007172C0"/>
    <w:rsid w:val="00725C94"/>
    <w:rsid w:val="00750DDC"/>
    <w:rsid w:val="00755A71"/>
    <w:rsid w:val="0076245E"/>
    <w:rsid w:val="00771DEC"/>
    <w:rsid w:val="0077402F"/>
    <w:rsid w:val="00777CB6"/>
    <w:rsid w:val="00780EA2"/>
    <w:rsid w:val="0078186F"/>
    <w:rsid w:val="0078383C"/>
    <w:rsid w:val="007952E5"/>
    <w:rsid w:val="007A1985"/>
    <w:rsid w:val="007A21D0"/>
    <w:rsid w:val="007D3D10"/>
    <w:rsid w:val="007E0000"/>
    <w:rsid w:val="007E04D3"/>
    <w:rsid w:val="007E0D98"/>
    <w:rsid w:val="007F5D27"/>
    <w:rsid w:val="0080579A"/>
    <w:rsid w:val="00822196"/>
    <w:rsid w:val="00822360"/>
    <w:rsid w:val="00825245"/>
    <w:rsid w:val="00826B42"/>
    <w:rsid w:val="008344B5"/>
    <w:rsid w:val="00836132"/>
    <w:rsid w:val="00837869"/>
    <w:rsid w:val="00842FAE"/>
    <w:rsid w:val="0085435B"/>
    <w:rsid w:val="00856C64"/>
    <w:rsid w:val="00873BBE"/>
    <w:rsid w:val="00873E5F"/>
    <w:rsid w:val="008779F8"/>
    <w:rsid w:val="00880845"/>
    <w:rsid w:val="00881FB9"/>
    <w:rsid w:val="00885FF7"/>
    <w:rsid w:val="00891A24"/>
    <w:rsid w:val="008944CD"/>
    <w:rsid w:val="00896080"/>
    <w:rsid w:val="008979F0"/>
    <w:rsid w:val="008A78FB"/>
    <w:rsid w:val="008B4F23"/>
    <w:rsid w:val="008B5BF0"/>
    <w:rsid w:val="008C0916"/>
    <w:rsid w:val="008C39FD"/>
    <w:rsid w:val="008C7E36"/>
    <w:rsid w:val="008D27A1"/>
    <w:rsid w:val="008F2653"/>
    <w:rsid w:val="008F2C29"/>
    <w:rsid w:val="008F6E46"/>
    <w:rsid w:val="009025E4"/>
    <w:rsid w:val="0090314A"/>
    <w:rsid w:val="0090384C"/>
    <w:rsid w:val="00905104"/>
    <w:rsid w:val="0090670B"/>
    <w:rsid w:val="00917B0B"/>
    <w:rsid w:val="009252FA"/>
    <w:rsid w:val="00931AE4"/>
    <w:rsid w:val="00932104"/>
    <w:rsid w:val="00937860"/>
    <w:rsid w:val="0094143C"/>
    <w:rsid w:val="009423DE"/>
    <w:rsid w:val="00943F05"/>
    <w:rsid w:val="0095127C"/>
    <w:rsid w:val="00954727"/>
    <w:rsid w:val="00954C1F"/>
    <w:rsid w:val="00956A2A"/>
    <w:rsid w:val="0096451D"/>
    <w:rsid w:val="00964CBE"/>
    <w:rsid w:val="00967D73"/>
    <w:rsid w:val="00974FEC"/>
    <w:rsid w:val="00980E20"/>
    <w:rsid w:val="0098217F"/>
    <w:rsid w:val="009910FF"/>
    <w:rsid w:val="0099411B"/>
    <w:rsid w:val="009A0584"/>
    <w:rsid w:val="009A1361"/>
    <w:rsid w:val="009A2DFE"/>
    <w:rsid w:val="009B4370"/>
    <w:rsid w:val="009B69FA"/>
    <w:rsid w:val="009C3E37"/>
    <w:rsid w:val="009D27B0"/>
    <w:rsid w:val="009D37D2"/>
    <w:rsid w:val="009D7557"/>
    <w:rsid w:val="009E0D64"/>
    <w:rsid w:val="009E3552"/>
    <w:rsid w:val="009F48F7"/>
    <w:rsid w:val="00A14D11"/>
    <w:rsid w:val="00A165BE"/>
    <w:rsid w:val="00A1700F"/>
    <w:rsid w:val="00A20D34"/>
    <w:rsid w:val="00A239F8"/>
    <w:rsid w:val="00A40DE7"/>
    <w:rsid w:val="00A472B6"/>
    <w:rsid w:val="00A54CFE"/>
    <w:rsid w:val="00A57613"/>
    <w:rsid w:val="00A60258"/>
    <w:rsid w:val="00A73DF7"/>
    <w:rsid w:val="00A81A81"/>
    <w:rsid w:val="00A859A5"/>
    <w:rsid w:val="00A91618"/>
    <w:rsid w:val="00AB156D"/>
    <w:rsid w:val="00AB5E38"/>
    <w:rsid w:val="00AC0D53"/>
    <w:rsid w:val="00AC541E"/>
    <w:rsid w:val="00AC5F9C"/>
    <w:rsid w:val="00AD3F4A"/>
    <w:rsid w:val="00AE6F1F"/>
    <w:rsid w:val="00AE793C"/>
    <w:rsid w:val="00AE7CF5"/>
    <w:rsid w:val="00AF2B5A"/>
    <w:rsid w:val="00AF578E"/>
    <w:rsid w:val="00AF5EDB"/>
    <w:rsid w:val="00AF6E28"/>
    <w:rsid w:val="00B027AE"/>
    <w:rsid w:val="00B02A34"/>
    <w:rsid w:val="00B02F49"/>
    <w:rsid w:val="00B1661B"/>
    <w:rsid w:val="00B209DE"/>
    <w:rsid w:val="00B23198"/>
    <w:rsid w:val="00B2465C"/>
    <w:rsid w:val="00B52223"/>
    <w:rsid w:val="00B6137D"/>
    <w:rsid w:val="00B7060D"/>
    <w:rsid w:val="00B72D04"/>
    <w:rsid w:val="00B92F1A"/>
    <w:rsid w:val="00B9492C"/>
    <w:rsid w:val="00BA0808"/>
    <w:rsid w:val="00BA49EF"/>
    <w:rsid w:val="00BA4F01"/>
    <w:rsid w:val="00BB0A81"/>
    <w:rsid w:val="00BB14EC"/>
    <w:rsid w:val="00BB5D15"/>
    <w:rsid w:val="00BC4D86"/>
    <w:rsid w:val="00BC6AED"/>
    <w:rsid w:val="00BC7FD6"/>
    <w:rsid w:val="00BD578F"/>
    <w:rsid w:val="00BE30A9"/>
    <w:rsid w:val="00BE66D8"/>
    <w:rsid w:val="00BF1111"/>
    <w:rsid w:val="00BF6E38"/>
    <w:rsid w:val="00BF7B9E"/>
    <w:rsid w:val="00C00A52"/>
    <w:rsid w:val="00C030DD"/>
    <w:rsid w:val="00C10FB2"/>
    <w:rsid w:val="00C17D44"/>
    <w:rsid w:val="00C22C39"/>
    <w:rsid w:val="00C25047"/>
    <w:rsid w:val="00C31714"/>
    <w:rsid w:val="00C348D5"/>
    <w:rsid w:val="00C55270"/>
    <w:rsid w:val="00C56CAC"/>
    <w:rsid w:val="00C64FC2"/>
    <w:rsid w:val="00C650EF"/>
    <w:rsid w:val="00C65250"/>
    <w:rsid w:val="00C71DC7"/>
    <w:rsid w:val="00C779E5"/>
    <w:rsid w:val="00C94DE6"/>
    <w:rsid w:val="00C953E7"/>
    <w:rsid w:val="00CA0F00"/>
    <w:rsid w:val="00CA144A"/>
    <w:rsid w:val="00CA2E5E"/>
    <w:rsid w:val="00CA4946"/>
    <w:rsid w:val="00CA4ADF"/>
    <w:rsid w:val="00CB3057"/>
    <w:rsid w:val="00CC11C4"/>
    <w:rsid w:val="00CC26FF"/>
    <w:rsid w:val="00CC3F18"/>
    <w:rsid w:val="00CC777B"/>
    <w:rsid w:val="00CE140C"/>
    <w:rsid w:val="00CE2CE4"/>
    <w:rsid w:val="00CE6590"/>
    <w:rsid w:val="00CF0772"/>
    <w:rsid w:val="00CF3CB9"/>
    <w:rsid w:val="00CF4012"/>
    <w:rsid w:val="00CF5705"/>
    <w:rsid w:val="00D02131"/>
    <w:rsid w:val="00D0430D"/>
    <w:rsid w:val="00D21F97"/>
    <w:rsid w:val="00D24594"/>
    <w:rsid w:val="00D51749"/>
    <w:rsid w:val="00D6099C"/>
    <w:rsid w:val="00D62F71"/>
    <w:rsid w:val="00D67481"/>
    <w:rsid w:val="00D676B0"/>
    <w:rsid w:val="00D71D1D"/>
    <w:rsid w:val="00D76645"/>
    <w:rsid w:val="00D80961"/>
    <w:rsid w:val="00D80EFD"/>
    <w:rsid w:val="00D84546"/>
    <w:rsid w:val="00D87794"/>
    <w:rsid w:val="00D9235D"/>
    <w:rsid w:val="00DA44F5"/>
    <w:rsid w:val="00DA57AB"/>
    <w:rsid w:val="00DB23CC"/>
    <w:rsid w:val="00DC0BE3"/>
    <w:rsid w:val="00DD5730"/>
    <w:rsid w:val="00DE6606"/>
    <w:rsid w:val="00DF38AF"/>
    <w:rsid w:val="00DF4940"/>
    <w:rsid w:val="00DF6946"/>
    <w:rsid w:val="00E02258"/>
    <w:rsid w:val="00E05AAD"/>
    <w:rsid w:val="00E05EFD"/>
    <w:rsid w:val="00E14743"/>
    <w:rsid w:val="00E27B9C"/>
    <w:rsid w:val="00E27F68"/>
    <w:rsid w:val="00E33C77"/>
    <w:rsid w:val="00E3792D"/>
    <w:rsid w:val="00E422BB"/>
    <w:rsid w:val="00E43379"/>
    <w:rsid w:val="00E4371A"/>
    <w:rsid w:val="00E45B99"/>
    <w:rsid w:val="00E50313"/>
    <w:rsid w:val="00E52EDF"/>
    <w:rsid w:val="00E53A6D"/>
    <w:rsid w:val="00E64A89"/>
    <w:rsid w:val="00E6713D"/>
    <w:rsid w:val="00E70835"/>
    <w:rsid w:val="00E73CC8"/>
    <w:rsid w:val="00E75704"/>
    <w:rsid w:val="00E760F1"/>
    <w:rsid w:val="00E76728"/>
    <w:rsid w:val="00E80895"/>
    <w:rsid w:val="00E87411"/>
    <w:rsid w:val="00E95B08"/>
    <w:rsid w:val="00E9650E"/>
    <w:rsid w:val="00EA0BB0"/>
    <w:rsid w:val="00EA7867"/>
    <w:rsid w:val="00EB358C"/>
    <w:rsid w:val="00EC71F8"/>
    <w:rsid w:val="00ED6551"/>
    <w:rsid w:val="00EE1C87"/>
    <w:rsid w:val="00EE3923"/>
    <w:rsid w:val="00EF0A46"/>
    <w:rsid w:val="00EF1E68"/>
    <w:rsid w:val="00EF7B0A"/>
    <w:rsid w:val="00F00F4F"/>
    <w:rsid w:val="00F04D97"/>
    <w:rsid w:val="00F119BE"/>
    <w:rsid w:val="00F13A42"/>
    <w:rsid w:val="00F148BF"/>
    <w:rsid w:val="00F1798C"/>
    <w:rsid w:val="00F22E52"/>
    <w:rsid w:val="00F246A4"/>
    <w:rsid w:val="00F323B8"/>
    <w:rsid w:val="00F334F6"/>
    <w:rsid w:val="00F37470"/>
    <w:rsid w:val="00F473B8"/>
    <w:rsid w:val="00F47B84"/>
    <w:rsid w:val="00F545E8"/>
    <w:rsid w:val="00F62A35"/>
    <w:rsid w:val="00F67B31"/>
    <w:rsid w:val="00F7532B"/>
    <w:rsid w:val="00F8411A"/>
    <w:rsid w:val="00F87198"/>
    <w:rsid w:val="00F939D9"/>
    <w:rsid w:val="00F9447E"/>
    <w:rsid w:val="00FB3E36"/>
    <w:rsid w:val="00FB40A5"/>
    <w:rsid w:val="00FB537D"/>
    <w:rsid w:val="00FC36CA"/>
    <w:rsid w:val="00FC5698"/>
    <w:rsid w:val="00FD1E87"/>
    <w:rsid w:val="00FD7C9C"/>
    <w:rsid w:val="00FE6290"/>
    <w:rsid w:val="00FE63B6"/>
    <w:rsid w:val="00FF223D"/>
    <w:rsid w:val="00FF6151"/>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447">
      <w:bodyDiv w:val="1"/>
      <w:marLeft w:val="0"/>
      <w:marRight w:val="0"/>
      <w:marTop w:val="0"/>
      <w:marBottom w:val="0"/>
      <w:divBdr>
        <w:top w:val="none" w:sz="0" w:space="0" w:color="auto"/>
        <w:left w:val="none" w:sz="0" w:space="0" w:color="auto"/>
        <w:bottom w:val="none" w:sz="0" w:space="0" w:color="auto"/>
        <w:right w:val="none" w:sz="0" w:space="0" w:color="auto"/>
      </w:divBdr>
    </w:div>
    <w:div w:id="93130776">
      <w:bodyDiv w:val="1"/>
      <w:marLeft w:val="0"/>
      <w:marRight w:val="0"/>
      <w:marTop w:val="0"/>
      <w:marBottom w:val="0"/>
      <w:divBdr>
        <w:top w:val="none" w:sz="0" w:space="0" w:color="auto"/>
        <w:left w:val="none" w:sz="0" w:space="0" w:color="auto"/>
        <w:bottom w:val="none" w:sz="0" w:space="0" w:color="auto"/>
        <w:right w:val="none" w:sz="0" w:space="0" w:color="auto"/>
      </w:divBdr>
    </w:div>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971">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578">
      <w:bodyDiv w:val="1"/>
      <w:marLeft w:val="0"/>
      <w:marRight w:val="0"/>
      <w:marTop w:val="0"/>
      <w:marBottom w:val="0"/>
      <w:divBdr>
        <w:top w:val="none" w:sz="0" w:space="0" w:color="auto"/>
        <w:left w:val="none" w:sz="0" w:space="0" w:color="auto"/>
        <w:bottom w:val="none" w:sz="0" w:space="0" w:color="auto"/>
        <w:right w:val="none" w:sz="0" w:space="0" w:color="auto"/>
      </w:divBdr>
      <w:divsChild>
        <w:div w:id="120420188">
          <w:marLeft w:val="0"/>
          <w:marRight w:val="0"/>
          <w:marTop w:val="0"/>
          <w:marBottom w:val="0"/>
          <w:divBdr>
            <w:top w:val="none" w:sz="0" w:space="0" w:color="auto"/>
            <w:left w:val="none" w:sz="0" w:space="0" w:color="auto"/>
            <w:bottom w:val="none" w:sz="0" w:space="0" w:color="auto"/>
            <w:right w:val="none" w:sz="0" w:space="0" w:color="auto"/>
          </w:divBdr>
        </w:div>
        <w:div w:id="780147357">
          <w:marLeft w:val="0"/>
          <w:marRight w:val="0"/>
          <w:marTop w:val="0"/>
          <w:marBottom w:val="0"/>
          <w:divBdr>
            <w:top w:val="none" w:sz="0" w:space="0" w:color="auto"/>
            <w:left w:val="none" w:sz="0" w:space="0" w:color="auto"/>
            <w:bottom w:val="none" w:sz="0" w:space="0" w:color="auto"/>
            <w:right w:val="none" w:sz="0" w:space="0" w:color="auto"/>
          </w:divBdr>
        </w:div>
      </w:divsChild>
    </w:div>
    <w:div w:id="297876341">
      <w:bodyDiv w:val="1"/>
      <w:marLeft w:val="0"/>
      <w:marRight w:val="0"/>
      <w:marTop w:val="0"/>
      <w:marBottom w:val="0"/>
      <w:divBdr>
        <w:top w:val="none" w:sz="0" w:space="0" w:color="auto"/>
        <w:left w:val="none" w:sz="0" w:space="0" w:color="auto"/>
        <w:bottom w:val="none" w:sz="0" w:space="0" w:color="auto"/>
        <w:right w:val="none" w:sz="0" w:space="0" w:color="auto"/>
      </w:divBdr>
    </w:div>
    <w:div w:id="323969229">
      <w:bodyDiv w:val="1"/>
      <w:marLeft w:val="0"/>
      <w:marRight w:val="0"/>
      <w:marTop w:val="0"/>
      <w:marBottom w:val="0"/>
      <w:divBdr>
        <w:top w:val="none" w:sz="0" w:space="0" w:color="auto"/>
        <w:left w:val="none" w:sz="0" w:space="0" w:color="auto"/>
        <w:bottom w:val="none" w:sz="0" w:space="0" w:color="auto"/>
        <w:right w:val="none" w:sz="0" w:space="0" w:color="auto"/>
      </w:divBdr>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397">
      <w:bodyDiv w:val="1"/>
      <w:marLeft w:val="0"/>
      <w:marRight w:val="0"/>
      <w:marTop w:val="0"/>
      <w:marBottom w:val="0"/>
      <w:divBdr>
        <w:top w:val="none" w:sz="0" w:space="0" w:color="auto"/>
        <w:left w:val="none" w:sz="0" w:space="0" w:color="auto"/>
        <w:bottom w:val="none" w:sz="0" w:space="0" w:color="auto"/>
        <w:right w:val="none" w:sz="0" w:space="0" w:color="auto"/>
      </w:divBdr>
    </w:div>
    <w:div w:id="419065454">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062">
      <w:bodyDiv w:val="1"/>
      <w:marLeft w:val="0"/>
      <w:marRight w:val="0"/>
      <w:marTop w:val="0"/>
      <w:marBottom w:val="0"/>
      <w:divBdr>
        <w:top w:val="none" w:sz="0" w:space="0" w:color="auto"/>
        <w:left w:val="none" w:sz="0" w:space="0" w:color="auto"/>
        <w:bottom w:val="none" w:sz="0" w:space="0" w:color="auto"/>
        <w:right w:val="none" w:sz="0" w:space="0" w:color="auto"/>
      </w:divBdr>
    </w:div>
    <w:div w:id="435946850">
      <w:bodyDiv w:val="1"/>
      <w:marLeft w:val="0"/>
      <w:marRight w:val="0"/>
      <w:marTop w:val="0"/>
      <w:marBottom w:val="0"/>
      <w:divBdr>
        <w:top w:val="none" w:sz="0" w:space="0" w:color="auto"/>
        <w:left w:val="none" w:sz="0" w:space="0" w:color="auto"/>
        <w:bottom w:val="none" w:sz="0" w:space="0" w:color="auto"/>
        <w:right w:val="none" w:sz="0" w:space="0" w:color="auto"/>
      </w:divBdr>
    </w:div>
    <w:div w:id="532767387">
      <w:bodyDiv w:val="1"/>
      <w:marLeft w:val="0"/>
      <w:marRight w:val="0"/>
      <w:marTop w:val="0"/>
      <w:marBottom w:val="0"/>
      <w:divBdr>
        <w:top w:val="none" w:sz="0" w:space="0" w:color="auto"/>
        <w:left w:val="none" w:sz="0" w:space="0" w:color="auto"/>
        <w:bottom w:val="none" w:sz="0" w:space="0" w:color="auto"/>
        <w:right w:val="none" w:sz="0" w:space="0" w:color="auto"/>
      </w:divBdr>
    </w:div>
    <w:div w:id="534343356">
      <w:bodyDiv w:val="1"/>
      <w:marLeft w:val="0"/>
      <w:marRight w:val="0"/>
      <w:marTop w:val="0"/>
      <w:marBottom w:val="0"/>
      <w:divBdr>
        <w:top w:val="none" w:sz="0" w:space="0" w:color="auto"/>
        <w:left w:val="none" w:sz="0" w:space="0" w:color="auto"/>
        <w:bottom w:val="none" w:sz="0" w:space="0" w:color="auto"/>
        <w:right w:val="none" w:sz="0" w:space="0" w:color="auto"/>
      </w:divBdr>
    </w:div>
    <w:div w:id="773402682">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2781">
      <w:bodyDiv w:val="1"/>
      <w:marLeft w:val="0"/>
      <w:marRight w:val="0"/>
      <w:marTop w:val="0"/>
      <w:marBottom w:val="0"/>
      <w:divBdr>
        <w:top w:val="none" w:sz="0" w:space="0" w:color="auto"/>
        <w:left w:val="none" w:sz="0" w:space="0" w:color="auto"/>
        <w:bottom w:val="none" w:sz="0" w:space="0" w:color="auto"/>
        <w:right w:val="none" w:sz="0" w:space="0" w:color="auto"/>
      </w:divBdr>
    </w:div>
    <w:div w:id="897470997">
      <w:bodyDiv w:val="1"/>
      <w:marLeft w:val="0"/>
      <w:marRight w:val="0"/>
      <w:marTop w:val="0"/>
      <w:marBottom w:val="0"/>
      <w:divBdr>
        <w:top w:val="none" w:sz="0" w:space="0" w:color="auto"/>
        <w:left w:val="none" w:sz="0" w:space="0" w:color="auto"/>
        <w:bottom w:val="none" w:sz="0" w:space="0" w:color="auto"/>
        <w:right w:val="none" w:sz="0" w:space="0" w:color="auto"/>
      </w:divBdr>
      <w:divsChild>
        <w:div w:id="2057508013">
          <w:marLeft w:val="1987"/>
          <w:marRight w:val="0"/>
          <w:marTop w:val="106"/>
          <w:marBottom w:val="0"/>
          <w:divBdr>
            <w:top w:val="none" w:sz="0" w:space="0" w:color="auto"/>
            <w:left w:val="none" w:sz="0" w:space="0" w:color="auto"/>
            <w:bottom w:val="none" w:sz="0" w:space="0" w:color="auto"/>
            <w:right w:val="none" w:sz="0" w:space="0" w:color="auto"/>
          </w:divBdr>
        </w:div>
      </w:divsChild>
    </w:div>
    <w:div w:id="927930568">
      <w:bodyDiv w:val="1"/>
      <w:marLeft w:val="0"/>
      <w:marRight w:val="0"/>
      <w:marTop w:val="0"/>
      <w:marBottom w:val="0"/>
      <w:divBdr>
        <w:top w:val="none" w:sz="0" w:space="0" w:color="auto"/>
        <w:left w:val="none" w:sz="0" w:space="0" w:color="auto"/>
        <w:bottom w:val="none" w:sz="0" w:space="0" w:color="auto"/>
        <w:right w:val="none" w:sz="0" w:space="0" w:color="auto"/>
      </w:divBdr>
    </w:div>
    <w:div w:id="941961557">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sChild>
        <w:div w:id="707952333">
          <w:marLeft w:val="0"/>
          <w:marRight w:val="0"/>
          <w:marTop w:val="0"/>
          <w:marBottom w:val="0"/>
          <w:divBdr>
            <w:top w:val="none" w:sz="0" w:space="0" w:color="auto"/>
            <w:left w:val="none" w:sz="0" w:space="0" w:color="auto"/>
            <w:bottom w:val="none" w:sz="0" w:space="0" w:color="auto"/>
            <w:right w:val="none" w:sz="0" w:space="0" w:color="auto"/>
          </w:divBdr>
        </w:div>
        <w:div w:id="1605917553">
          <w:marLeft w:val="0"/>
          <w:marRight w:val="0"/>
          <w:marTop w:val="0"/>
          <w:marBottom w:val="0"/>
          <w:divBdr>
            <w:top w:val="none" w:sz="0" w:space="0" w:color="auto"/>
            <w:left w:val="none" w:sz="0" w:space="0" w:color="auto"/>
            <w:bottom w:val="none" w:sz="0" w:space="0" w:color="auto"/>
            <w:right w:val="none" w:sz="0" w:space="0" w:color="auto"/>
          </w:divBdr>
        </w:div>
      </w:divsChild>
    </w:div>
    <w:div w:id="1023166275">
      <w:bodyDiv w:val="1"/>
      <w:marLeft w:val="0"/>
      <w:marRight w:val="0"/>
      <w:marTop w:val="0"/>
      <w:marBottom w:val="0"/>
      <w:divBdr>
        <w:top w:val="none" w:sz="0" w:space="0" w:color="auto"/>
        <w:left w:val="none" w:sz="0" w:space="0" w:color="auto"/>
        <w:bottom w:val="none" w:sz="0" w:space="0" w:color="auto"/>
        <w:right w:val="none" w:sz="0" w:space="0" w:color="auto"/>
      </w:divBdr>
    </w:div>
    <w:div w:id="1024408467">
      <w:bodyDiv w:val="1"/>
      <w:marLeft w:val="0"/>
      <w:marRight w:val="0"/>
      <w:marTop w:val="0"/>
      <w:marBottom w:val="0"/>
      <w:divBdr>
        <w:top w:val="none" w:sz="0" w:space="0" w:color="auto"/>
        <w:left w:val="none" w:sz="0" w:space="0" w:color="auto"/>
        <w:bottom w:val="none" w:sz="0" w:space="0" w:color="auto"/>
        <w:right w:val="none" w:sz="0" w:space="0" w:color="auto"/>
      </w:divBdr>
    </w:div>
    <w:div w:id="1050765286">
      <w:bodyDiv w:val="1"/>
      <w:marLeft w:val="0"/>
      <w:marRight w:val="0"/>
      <w:marTop w:val="0"/>
      <w:marBottom w:val="0"/>
      <w:divBdr>
        <w:top w:val="none" w:sz="0" w:space="0" w:color="auto"/>
        <w:left w:val="none" w:sz="0" w:space="0" w:color="auto"/>
        <w:bottom w:val="none" w:sz="0" w:space="0" w:color="auto"/>
        <w:right w:val="none" w:sz="0" w:space="0" w:color="auto"/>
      </w:divBdr>
    </w:div>
    <w:div w:id="1250772436">
      <w:bodyDiv w:val="1"/>
      <w:marLeft w:val="0"/>
      <w:marRight w:val="0"/>
      <w:marTop w:val="0"/>
      <w:marBottom w:val="0"/>
      <w:divBdr>
        <w:top w:val="none" w:sz="0" w:space="0" w:color="auto"/>
        <w:left w:val="none" w:sz="0" w:space="0" w:color="auto"/>
        <w:bottom w:val="none" w:sz="0" w:space="0" w:color="auto"/>
        <w:right w:val="none" w:sz="0" w:space="0" w:color="auto"/>
      </w:divBdr>
    </w:div>
    <w:div w:id="1293049995">
      <w:bodyDiv w:val="1"/>
      <w:marLeft w:val="0"/>
      <w:marRight w:val="0"/>
      <w:marTop w:val="0"/>
      <w:marBottom w:val="0"/>
      <w:divBdr>
        <w:top w:val="none" w:sz="0" w:space="0" w:color="auto"/>
        <w:left w:val="none" w:sz="0" w:space="0" w:color="auto"/>
        <w:bottom w:val="none" w:sz="0" w:space="0" w:color="auto"/>
        <w:right w:val="none" w:sz="0" w:space="0" w:color="auto"/>
      </w:divBdr>
    </w:div>
    <w:div w:id="1511986736">
      <w:bodyDiv w:val="1"/>
      <w:marLeft w:val="0"/>
      <w:marRight w:val="0"/>
      <w:marTop w:val="0"/>
      <w:marBottom w:val="0"/>
      <w:divBdr>
        <w:top w:val="none" w:sz="0" w:space="0" w:color="auto"/>
        <w:left w:val="none" w:sz="0" w:space="0" w:color="auto"/>
        <w:bottom w:val="none" w:sz="0" w:space="0" w:color="auto"/>
        <w:right w:val="none" w:sz="0" w:space="0" w:color="auto"/>
      </w:divBdr>
      <w:divsChild>
        <w:div w:id="628362583">
          <w:marLeft w:val="1987"/>
          <w:marRight w:val="0"/>
          <w:marTop w:val="106"/>
          <w:marBottom w:val="0"/>
          <w:divBdr>
            <w:top w:val="none" w:sz="0" w:space="0" w:color="auto"/>
            <w:left w:val="none" w:sz="0" w:space="0" w:color="auto"/>
            <w:bottom w:val="none" w:sz="0" w:space="0" w:color="auto"/>
            <w:right w:val="none" w:sz="0" w:space="0" w:color="auto"/>
          </w:divBdr>
        </w:div>
      </w:divsChild>
    </w:div>
    <w:div w:id="1528526226">
      <w:bodyDiv w:val="1"/>
      <w:marLeft w:val="0"/>
      <w:marRight w:val="0"/>
      <w:marTop w:val="0"/>
      <w:marBottom w:val="0"/>
      <w:divBdr>
        <w:top w:val="none" w:sz="0" w:space="0" w:color="auto"/>
        <w:left w:val="none" w:sz="0" w:space="0" w:color="auto"/>
        <w:bottom w:val="none" w:sz="0" w:space="0" w:color="auto"/>
        <w:right w:val="none" w:sz="0" w:space="0" w:color="auto"/>
      </w:divBdr>
    </w:div>
    <w:div w:id="1553230082">
      <w:bodyDiv w:val="1"/>
      <w:marLeft w:val="0"/>
      <w:marRight w:val="0"/>
      <w:marTop w:val="0"/>
      <w:marBottom w:val="0"/>
      <w:divBdr>
        <w:top w:val="none" w:sz="0" w:space="0" w:color="auto"/>
        <w:left w:val="none" w:sz="0" w:space="0" w:color="auto"/>
        <w:bottom w:val="none" w:sz="0" w:space="0" w:color="auto"/>
        <w:right w:val="none" w:sz="0" w:space="0" w:color="auto"/>
      </w:divBdr>
      <w:divsChild>
        <w:div w:id="72513723">
          <w:marLeft w:val="1987"/>
          <w:marRight w:val="0"/>
          <w:marTop w:val="106"/>
          <w:marBottom w:val="0"/>
          <w:divBdr>
            <w:top w:val="none" w:sz="0" w:space="0" w:color="auto"/>
            <w:left w:val="none" w:sz="0" w:space="0" w:color="auto"/>
            <w:bottom w:val="none" w:sz="0" w:space="0" w:color="auto"/>
            <w:right w:val="none" w:sz="0" w:space="0" w:color="auto"/>
          </w:divBdr>
        </w:div>
      </w:divsChild>
    </w:div>
    <w:div w:id="1670130589">
      <w:bodyDiv w:val="1"/>
      <w:marLeft w:val="0"/>
      <w:marRight w:val="0"/>
      <w:marTop w:val="0"/>
      <w:marBottom w:val="0"/>
      <w:divBdr>
        <w:top w:val="none" w:sz="0" w:space="0" w:color="auto"/>
        <w:left w:val="none" w:sz="0" w:space="0" w:color="auto"/>
        <w:bottom w:val="none" w:sz="0" w:space="0" w:color="auto"/>
        <w:right w:val="none" w:sz="0" w:space="0" w:color="auto"/>
      </w:divBdr>
    </w:div>
    <w:div w:id="1778678028">
      <w:bodyDiv w:val="1"/>
      <w:marLeft w:val="0"/>
      <w:marRight w:val="0"/>
      <w:marTop w:val="0"/>
      <w:marBottom w:val="0"/>
      <w:divBdr>
        <w:top w:val="none" w:sz="0" w:space="0" w:color="auto"/>
        <w:left w:val="none" w:sz="0" w:space="0" w:color="auto"/>
        <w:bottom w:val="none" w:sz="0" w:space="0" w:color="auto"/>
        <w:right w:val="none" w:sz="0" w:space="0" w:color="auto"/>
      </w:divBdr>
    </w:div>
    <w:div w:id="1781994974">
      <w:bodyDiv w:val="1"/>
      <w:marLeft w:val="0"/>
      <w:marRight w:val="0"/>
      <w:marTop w:val="0"/>
      <w:marBottom w:val="0"/>
      <w:divBdr>
        <w:top w:val="none" w:sz="0" w:space="0" w:color="auto"/>
        <w:left w:val="none" w:sz="0" w:space="0" w:color="auto"/>
        <w:bottom w:val="none" w:sz="0" w:space="0" w:color="auto"/>
        <w:right w:val="none" w:sz="0" w:space="0" w:color="auto"/>
      </w:divBdr>
    </w:div>
    <w:div w:id="1808665615">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8921">
      <w:bodyDiv w:val="1"/>
      <w:marLeft w:val="0"/>
      <w:marRight w:val="0"/>
      <w:marTop w:val="0"/>
      <w:marBottom w:val="0"/>
      <w:divBdr>
        <w:top w:val="none" w:sz="0" w:space="0" w:color="auto"/>
        <w:left w:val="none" w:sz="0" w:space="0" w:color="auto"/>
        <w:bottom w:val="none" w:sz="0" w:space="0" w:color="auto"/>
        <w:right w:val="none" w:sz="0" w:space="0" w:color="auto"/>
      </w:divBdr>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700">
      <w:bodyDiv w:val="1"/>
      <w:marLeft w:val="0"/>
      <w:marRight w:val="0"/>
      <w:marTop w:val="0"/>
      <w:marBottom w:val="0"/>
      <w:divBdr>
        <w:top w:val="none" w:sz="0" w:space="0" w:color="auto"/>
        <w:left w:val="none" w:sz="0" w:space="0" w:color="auto"/>
        <w:bottom w:val="none" w:sz="0" w:space="0" w:color="auto"/>
        <w:right w:val="none" w:sz="0" w:space="0" w:color="auto"/>
      </w:divBdr>
    </w:div>
    <w:div w:id="21085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cot.web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cot.com/about/governanc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ex.com/pdf/tollfree_restrictions.pdf" TargetMode="External"/><Relationship Id="rId5" Type="http://schemas.openxmlformats.org/officeDocument/2006/relationships/settings" Target="settings.xml"/><Relationship Id="rId15" Type="http://schemas.openxmlformats.org/officeDocument/2006/relationships/hyperlink" Target="http://www.webex.com/pdf/tollfree_restrictions.pdf" TargetMode="External"/><Relationship Id="rId10" Type="http://schemas.openxmlformats.org/officeDocument/2006/relationships/hyperlink" Target="https://ercot.webex.com/ercot/globalcallin.php?serviceType=MC&amp;ED=214078362&amp;tollFree=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rcot.webex.com" TargetMode="External"/><Relationship Id="rId14" Type="http://schemas.openxmlformats.org/officeDocument/2006/relationships/hyperlink" Target="https://ercot.webex.com/ercot/globalcallin.php?serviceType=MC&amp;ED=214078362&amp;tollFr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73FE-62F8-4747-A0D8-5986CDF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4403</CharactersWithSpaces>
  <SharedDoc>false</SharedDoc>
  <HLinks>
    <vt:vector size="54" baseType="variant">
      <vt:variant>
        <vt:i4>5046304</vt:i4>
      </vt:variant>
      <vt:variant>
        <vt:i4>24</vt:i4>
      </vt:variant>
      <vt:variant>
        <vt:i4>0</vt:i4>
      </vt:variant>
      <vt:variant>
        <vt:i4>5</vt:i4>
      </vt:variant>
      <vt:variant>
        <vt:lpwstr>mailto:diana.rehfeldt@tnmp.com</vt:lpwstr>
      </vt:variant>
      <vt:variant>
        <vt:lpwstr/>
      </vt:variant>
      <vt:variant>
        <vt:i4>6160388</vt:i4>
      </vt:variant>
      <vt:variant>
        <vt:i4>21</vt:i4>
      </vt:variant>
      <vt:variant>
        <vt:i4>0</vt:i4>
      </vt:variant>
      <vt:variant>
        <vt:i4>5</vt:i4>
      </vt:variant>
      <vt:variant>
        <vt:lpwstr>http://www.ercot.com/about/governance/index.html</vt:lpwstr>
      </vt:variant>
      <vt:variant>
        <vt:lpwstr/>
      </vt:variant>
      <vt:variant>
        <vt:i4>1835068</vt:i4>
      </vt:variant>
      <vt:variant>
        <vt:i4>18</vt:i4>
      </vt:variant>
      <vt:variant>
        <vt:i4>0</vt:i4>
      </vt:variant>
      <vt:variant>
        <vt:i4>5</vt:i4>
      </vt:variant>
      <vt:variant>
        <vt:lpwstr>http://www.webex.com/pdf/tollfree_restrictions.pdf</vt:lpwstr>
      </vt:variant>
      <vt:variant>
        <vt:lpwstr/>
      </vt:variant>
      <vt:variant>
        <vt:i4>5701658</vt:i4>
      </vt:variant>
      <vt:variant>
        <vt:i4>15</vt:i4>
      </vt:variant>
      <vt:variant>
        <vt:i4>0</vt:i4>
      </vt:variant>
      <vt:variant>
        <vt:i4>5</vt:i4>
      </vt:variant>
      <vt:variant>
        <vt:lpwstr>https://ercot.webex.com/ercot/globalcallin.php?serviceType=MC&amp;ED=214078362&amp;tollFree=1</vt:lpwstr>
      </vt:variant>
      <vt:variant>
        <vt:lpwstr/>
      </vt:variant>
      <vt:variant>
        <vt:i4>3801211</vt:i4>
      </vt:variant>
      <vt:variant>
        <vt:i4>12</vt:i4>
      </vt:variant>
      <vt:variant>
        <vt:i4>0</vt:i4>
      </vt:variant>
      <vt:variant>
        <vt:i4>5</vt:i4>
      </vt:variant>
      <vt:variant>
        <vt:lpwstr>http://ercot.webex.com/</vt:lpwstr>
      </vt:variant>
      <vt:variant>
        <vt:lpwstr/>
      </vt:variant>
      <vt:variant>
        <vt:i4>6160388</vt:i4>
      </vt:variant>
      <vt:variant>
        <vt:i4>9</vt:i4>
      </vt:variant>
      <vt:variant>
        <vt:i4>0</vt:i4>
      </vt:variant>
      <vt:variant>
        <vt:i4>5</vt:i4>
      </vt:variant>
      <vt:variant>
        <vt:lpwstr>http://www.ercot.com/about/governance/index.html</vt:lpwstr>
      </vt:variant>
      <vt:variant>
        <vt:lpwstr/>
      </vt:variant>
      <vt:variant>
        <vt:i4>1835068</vt:i4>
      </vt:variant>
      <vt:variant>
        <vt:i4>6</vt:i4>
      </vt:variant>
      <vt:variant>
        <vt:i4>0</vt:i4>
      </vt:variant>
      <vt:variant>
        <vt:i4>5</vt:i4>
      </vt:variant>
      <vt:variant>
        <vt:lpwstr>http://www.webex.com/pdf/tollfree_restrictions.pdf</vt:lpwstr>
      </vt:variant>
      <vt:variant>
        <vt:lpwstr/>
      </vt:variant>
      <vt:variant>
        <vt:i4>5701658</vt:i4>
      </vt:variant>
      <vt:variant>
        <vt:i4>3</vt:i4>
      </vt:variant>
      <vt:variant>
        <vt:i4>0</vt:i4>
      </vt:variant>
      <vt:variant>
        <vt:i4>5</vt:i4>
      </vt:variant>
      <vt:variant>
        <vt:lpwstr>https://ercot.webex.com/ercot/globalcallin.php?serviceType=MC&amp;ED=214078362&amp;tollFree=1</vt:lpwstr>
      </vt:variant>
      <vt:variant>
        <vt:lpwstr/>
      </vt: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TXSET01222015</cp:lastModifiedBy>
  <cp:revision>17</cp:revision>
  <cp:lastPrinted>2008-03-31T15:56:00Z</cp:lastPrinted>
  <dcterms:created xsi:type="dcterms:W3CDTF">2015-02-11T14:19:00Z</dcterms:created>
  <dcterms:modified xsi:type="dcterms:W3CDTF">2015-02-11T22:20:00Z</dcterms:modified>
</cp:coreProperties>
</file>