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66" w:rsidRPr="009B6AA6" w:rsidRDefault="00A0788C" w:rsidP="00A0788C">
      <w:pPr>
        <w:spacing w:after="0"/>
        <w:jc w:val="center"/>
        <w:rPr>
          <w:rFonts w:ascii="Times New Roman" w:hAnsi="Times New Roman" w:cs="Times New Roman"/>
          <w:sz w:val="28"/>
        </w:rPr>
      </w:pPr>
      <w:r w:rsidRPr="009B6AA6">
        <w:rPr>
          <w:rFonts w:ascii="Times New Roman" w:hAnsi="Times New Roman" w:cs="Times New Roman"/>
          <w:sz w:val="28"/>
        </w:rPr>
        <w:t>Operations Working Group Report</w:t>
      </w:r>
    </w:p>
    <w:p w:rsidR="00A0788C" w:rsidRPr="009B6AA6" w:rsidRDefault="008A7E05" w:rsidP="00A0788C">
      <w:pPr>
        <w:spacing w:after="0"/>
        <w:jc w:val="center"/>
        <w:rPr>
          <w:rFonts w:ascii="Times New Roman" w:hAnsi="Times New Roman" w:cs="Times New Roman"/>
        </w:rPr>
      </w:pPr>
      <w:r>
        <w:rPr>
          <w:rFonts w:ascii="Times New Roman" w:hAnsi="Times New Roman" w:cs="Times New Roman"/>
        </w:rPr>
        <w:t>February, 2015</w:t>
      </w:r>
    </w:p>
    <w:p w:rsidR="00A0788C" w:rsidRPr="009B6AA6" w:rsidRDefault="00A0788C" w:rsidP="00A0788C">
      <w:pPr>
        <w:spacing w:after="0"/>
        <w:jc w:val="center"/>
        <w:rPr>
          <w:rFonts w:ascii="Times New Roman" w:hAnsi="Times New Roman" w:cs="Times New Roman"/>
        </w:rPr>
      </w:pPr>
    </w:p>
    <w:p w:rsidR="00A0788C" w:rsidRPr="009B6AA6" w:rsidRDefault="00A0788C" w:rsidP="00A0788C">
      <w:pPr>
        <w:spacing w:after="0"/>
        <w:rPr>
          <w:rFonts w:ascii="Times New Roman" w:hAnsi="Times New Roman" w:cs="Times New Roman"/>
        </w:rPr>
      </w:pPr>
      <w:r w:rsidRPr="009B6AA6">
        <w:rPr>
          <w:rFonts w:ascii="Times New Roman" w:hAnsi="Times New Roman" w:cs="Times New Roman"/>
        </w:rPr>
        <w:t>The Operations Worki</w:t>
      </w:r>
      <w:r w:rsidR="00C46AA0" w:rsidRPr="009B6AA6">
        <w:rPr>
          <w:rFonts w:ascii="Times New Roman" w:hAnsi="Times New Roman" w:cs="Times New Roman"/>
        </w:rPr>
        <w:t>n</w:t>
      </w:r>
      <w:r w:rsidR="008A7E05">
        <w:rPr>
          <w:rFonts w:ascii="Times New Roman" w:hAnsi="Times New Roman" w:cs="Times New Roman"/>
        </w:rPr>
        <w:t>g Group (OWG) met on January 26, 2015</w:t>
      </w:r>
      <w:r w:rsidRPr="009B6AA6">
        <w:rPr>
          <w:rFonts w:ascii="Times New Roman" w:hAnsi="Times New Roman" w:cs="Times New Roman"/>
        </w:rPr>
        <w:t xml:space="preserve"> an</w:t>
      </w:r>
      <w:r w:rsidR="00BD3F7D" w:rsidRPr="009B6AA6">
        <w:rPr>
          <w:rFonts w:ascii="Times New Roman" w:hAnsi="Times New Roman" w:cs="Times New Roman"/>
        </w:rPr>
        <w:t>d considered the following</w:t>
      </w:r>
      <w:r w:rsidRPr="009B6AA6">
        <w:rPr>
          <w:rFonts w:ascii="Times New Roman" w:hAnsi="Times New Roman" w:cs="Times New Roman"/>
        </w:rPr>
        <w:t>:</w:t>
      </w:r>
    </w:p>
    <w:p w:rsidR="00A0788C" w:rsidRPr="009B6AA6" w:rsidRDefault="00A0788C" w:rsidP="00A0788C">
      <w:pPr>
        <w:spacing w:after="0"/>
        <w:rPr>
          <w:rFonts w:ascii="Times New Roman" w:hAnsi="Times New Roman" w:cs="Times New Roman"/>
        </w:rPr>
      </w:pPr>
    </w:p>
    <w:p w:rsidR="00A0788C" w:rsidRPr="009B6AA6" w:rsidRDefault="003F08E7" w:rsidP="00A0788C">
      <w:pPr>
        <w:spacing w:after="0"/>
        <w:rPr>
          <w:rFonts w:ascii="Times New Roman" w:hAnsi="Times New Roman" w:cs="Times New Roman"/>
          <w:b/>
          <w:sz w:val="24"/>
        </w:rPr>
      </w:pPr>
      <w:r>
        <w:rPr>
          <w:rFonts w:ascii="Times New Roman" w:hAnsi="Times New Roman" w:cs="Times New Roman"/>
          <w:b/>
          <w:sz w:val="24"/>
        </w:rPr>
        <w:t>OWG Meeting Notes</w:t>
      </w:r>
      <w:r w:rsidR="00DC08A7" w:rsidRPr="009B6AA6">
        <w:rPr>
          <w:rFonts w:ascii="Times New Roman" w:hAnsi="Times New Roman" w:cs="Times New Roman"/>
          <w:b/>
          <w:sz w:val="24"/>
        </w:rPr>
        <w:t xml:space="preserve"> Review – </w:t>
      </w:r>
    </w:p>
    <w:p w:rsidR="00DC08A7" w:rsidRPr="009B6AA6" w:rsidRDefault="00DC08A7" w:rsidP="00A0788C">
      <w:pPr>
        <w:spacing w:after="0"/>
        <w:rPr>
          <w:rFonts w:ascii="Times New Roman" w:hAnsi="Times New Roman" w:cs="Times New Roman"/>
        </w:rPr>
      </w:pPr>
      <w:r w:rsidRPr="009B6AA6">
        <w:rPr>
          <w:rFonts w:ascii="Times New Roman" w:hAnsi="Times New Roman" w:cs="Times New Roman"/>
        </w:rPr>
        <w:t>The working group re</w:t>
      </w:r>
      <w:r w:rsidR="008A7E05">
        <w:rPr>
          <w:rFonts w:ascii="Times New Roman" w:hAnsi="Times New Roman" w:cs="Times New Roman"/>
        </w:rPr>
        <w:t>viewed and approved the November</w:t>
      </w:r>
      <w:r w:rsidR="001D6CCA">
        <w:rPr>
          <w:rFonts w:ascii="Times New Roman" w:hAnsi="Times New Roman" w:cs="Times New Roman"/>
        </w:rPr>
        <w:t xml:space="preserve"> 2014</w:t>
      </w:r>
      <w:r w:rsidR="004F1D7B">
        <w:rPr>
          <w:rFonts w:ascii="Times New Roman" w:hAnsi="Times New Roman" w:cs="Times New Roman"/>
        </w:rPr>
        <w:t xml:space="preserve"> meeting notes</w:t>
      </w:r>
      <w:r w:rsidR="008A7E05">
        <w:rPr>
          <w:rFonts w:ascii="Times New Roman" w:hAnsi="Times New Roman" w:cs="Times New Roman"/>
        </w:rPr>
        <w:t xml:space="preserve"> with</w:t>
      </w:r>
      <w:r w:rsidR="007F05A4">
        <w:rPr>
          <w:rFonts w:ascii="Times New Roman" w:hAnsi="Times New Roman" w:cs="Times New Roman"/>
        </w:rPr>
        <w:t xml:space="preserve"> </w:t>
      </w:r>
      <w:r w:rsidR="003A24BE">
        <w:rPr>
          <w:rFonts w:ascii="Times New Roman" w:hAnsi="Times New Roman" w:cs="Times New Roman"/>
        </w:rPr>
        <w:t xml:space="preserve">minor </w:t>
      </w:r>
      <w:r w:rsidR="007F05A4">
        <w:rPr>
          <w:rFonts w:ascii="Times New Roman" w:hAnsi="Times New Roman" w:cs="Times New Roman"/>
        </w:rPr>
        <w:t>change</w:t>
      </w:r>
      <w:r w:rsidR="008A7E05">
        <w:rPr>
          <w:rFonts w:ascii="Times New Roman" w:hAnsi="Times New Roman" w:cs="Times New Roman"/>
        </w:rPr>
        <w:t>s</w:t>
      </w:r>
      <w:r w:rsidRPr="009B6AA6">
        <w:rPr>
          <w:rFonts w:ascii="Times New Roman" w:hAnsi="Times New Roman" w:cs="Times New Roman"/>
        </w:rPr>
        <w:t>.</w:t>
      </w:r>
    </w:p>
    <w:p w:rsidR="00DC08A7" w:rsidRPr="009B6AA6" w:rsidRDefault="00DC08A7" w:rsidP="00A0788C">
      <w:pPr>
        <w:spacing w:after="0"/>
        <w:rPr>
          <w:rFonts w:ascii="Times New Roman" w:hAnsi="Times New Roman" w:cs="Times New Roman"/>
        </w:rPr>
      </w:pPr>
    </w:p>
    <w:p w:rsidR="00621007" w:rsidRDefault="00BD3F7D" w:rsidP="00A0788C">
      <w:pPr>
        <w:spacing w:after="0"/>
        <w:rPr>
          <w:rFonts w:ascii="Times New Roman" w:hAnsi="Times New Roman" w:cs="Times New Roman"/>
        </w:rPr>
      </w:pPr>
      <w:r w:rsidRPr="009B6AA6">
        <w:rPr>
          <w:rFonts w:ascii="Times New Roman" w:hAnsi="Times New Roman" w:cs="Times New Roman"/>
          <w:b/>
          <w:sz w:val="24"/>
        </w:rPr>
        <w:t>Revision Request R</w:t>
      </w:r>
      <w:r w:rsidR="00DC08A7" w:rsidRPr="009B6AA6">
        <w:rPr>
          <w:rFonts w:ascii="Times New Roman" w:hAnsi="Times New Roman" w:cs="Times New Roman"/>
          <w:b/>
          <w:sz w:val="24"/>
        </w:rPr>
        <w:t xml:space="preserve">eview – </w:t>
      </w:r>
      <w:r w:rsidR="00637621" w:rsidRPr="009B6AA6">
        <w:rPr>
          <w:rFonts w:ascii="Times New Roman" w:hAnsi="Times New Roman" w:cs="Times New Roman"/>
        </w:rPr>
        <w:tab/>
      </w:r>
      <w:r w:rsidR="00637621" w:rsidRPr="009B6AA6">
        <w:rPr>
          <w:rFonts w:ascii="Times New Roman" w:hAnsi="Times New Roman" w:cs="Times New Roman"/>
        </w:rPr>
        <w:tab/>
      </w:r>
      <w:bookmarkStart w:id="0" w:name="_GoBack"/>
      <w:bookmarkEnd w:id="0"/>
    </w:p>
    <w:p w:rsidR="000C393F" w:rsidRDefault="000C393F" w:rsidP="00A0788C">
      <w:pPr>
        <w:spacing w:after="0"/>
        <w:rPr>
          <w:rFonts w:ascii="Times New Roman" w:hAnsi="Times New Roman" w:cs="Times New Roman"/>
        </w:rPr>
      </w:pPr>
    </w:p>
    <w:p w:rsidR="000C393F" w:rsidRPr="009B6AA6" w:rsidRDefault="000C393F" w:rsidP="00A0788C">
      <w:pPr>
        <w:spacing w:after="0"/>
        <w:rPr>
          <w:rFonts w:ascii="Times New Roman" w:hAnsi="Times New Roman" w:cs="Times New Roman"/>
        </w:rPr>
      </w:pPr>
    </w:p>
    <w:p w:rsidR="0086111A" w:rsidRDefault="0086111A" w:rsidP="00A0788C">
      <w:pPr>
        <w:spacing w:after="0"/>
        <w:rPr>
          <w:rFonts w:ascii="Times New Roman" w:hAnsi="Times New Roman" w:cs="Times New Roman"/>
        </w:rPr>
      </w:pPr>
    </w:p>
    <w:tbl>
      <w:tblPr>
        <w:tblStyle w:val="TableGrid"/>
        <w:tblW w:w="6390" w:type="dxa"/>
        <w:tblInd w:w="1638" w:type="dxa"/>
        <w:tblLook w:val="04A0" w:firstRow="1" w:lastRow="0" w:firstColumn="1" w:lastColumn="0" w:noHBand="0" w:noVBand="1"/>
      </w:tblPr>
      <w:tblGrid>
        <w:gridCol w:w="6390"/>
      </w:tblGrid>
      <w:tr w:rsidR="00E3174F" w:rsidTr="009E57FD">
        <w:tc>
          <w:tcPr>
            <w:tcW w:w="6390" w:type="dxa"/>
            <w:shd w:val="clear" w:color="auto" w:fill="000000" w:themeFill="text1"/>
          </w:tcPr>
          <w:p w:rsidR="00E3174F" w:rsidRDefault="00E3174F" w:rsidP="008D52AF">
            <w:pPr>
              <w:jc w:val="center"/>
              <w:rPr>
                <w:rFonts w:ascii="Times New Roman" w:hAnsi="Times New Roman" w:cs="Times New Roman"/>
                <w:b/>
                <w:color w:val="00B050"/>
              </w:rPr>
            </w:pPr>
          </w:p>
        </w:tc>
      </w:tr>
      <w:tr w:rsidR="005D15AC" w:rsidRPr="009B6AA6" w:rsidTr="009E57FD">
        <w:tc>
          <w:tcPr>
            <w:tcW w:w="6390" w:type="dxa"/>
          </w:tcPr>
          <w:p w:rsidR="005D15AC" w:rsidRPr="009B6AA6" w:rsidRDefault="007F05A4" w:rsidP="00FC31B5">
            <w:pPr>
              <w:jc w:val="center"/>
              <w:rPr>
                <w:rFonts w:ascii="Times New Roman" w:hAnsi="Times New Roman" w:cs="Times New Roman"/>
                <w:b/>
                <w:color w:val="00B050"/>
              </w:rPr>
            </w:pPr>
            <w:r>
              <w:rPr>
                <w:rFonts w:ascii="Times New Roman" w:hAnsi="Times New Roman" w:cs="Times New Roman"/>
                <w:b/>
                <w:color w:val="00B050"/>
              </w:rPr>
              <w:t>135</w:t>
            </w:r>
            <w:r w:rsidR="005D15AC" w:rsidRPr="002E0064">
              <w:rPr>
                <w:rFonts w:ascii="Times New Roman" w:hAnsi="Times New Roman" w:cs="Times New Roman"/>
                <w:b/>
                <w:color w:val="00B050"/>
              </w:rPr>
              <w:t xml:space="preserve">NOGRR </w:t>
            </w:r>
            <w:r w:rsidR="005D15AC" w:rsidRPr="0006701A">
              <w:rPr>
                <w:rFonts w:ascii="Times New Roman" w:hAnsi="Times New Roman" w:cs="Times New Roman"/>
                <w:b/>
                <w:noProof/>
                <w:color w:val="00B050"/>
              </w:rPr>
              <w:drawing>
                <wp:inline distT="0" distB="0" distL="0" distR="0" wp14:anchorId="078D07FF" wp14:editId="48786AD9">
                  <wp:extent cx="135456" cy="118652"/>
                  <wp:effectExtent l="19050" t="0" r="0" b="0"/>
                  <wp:docPr id="7" name="Picture 8"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5D15AC" w:rsidRPr="003600B6" w:rsidTr="009E57FD">
        <w:tc>
          <w:tcPr>
            <w:tcW w:w="6390" w:type="dxa"/>
          </w:tcPr>
          <w:p w:rsidR="005D15AC" w:rsidRPr="003600B6" w:rsidRDefault="007F05A4" w:rsidP="00FC31B5">
            <w:pPr>
              <w:jc w:val="center"/>
              <w:rPr>
                <w:rFonts w:ascii="Times New Roman" w:hAnsi="Times New Roman" w:cs="Times New Roman"/>
                <w:b/>
              </w:rPr>
            </w:pPr>
            <w:r w:rsidRPr="007F05A4">
              <w:rPr>
                <w:rFonts w:cs="Calibri"/>
                <w:b/>
                <w:bCs/>
              </w:rPr>
              <w:t>Constraint Management During Energy Emergency Alerts</w:t>
            </w:r>
          </w:p>
        </w:tc>
      </w:tr>
      <w:tr w:rsidR="00615C41" w:rsidRPr="009B6AA6" w:rsidTr="009E57FD">
        <w:tc>
          <w:tcPr>
            <w:tcW w:w="6390" w:type="dxa"/>
          </w:tcPr>
          <w:p w:rsidR="00615C41" w:rsidRPr="009B6AA6" w:rsidRDefault="007F05A4" w:rsidP="00E442B3">
            <w:pPr>
              <w:jc w:val="center"/>
              <w:rPr>
                <w:rFonts w:ascii="Times New Roman" w:hAnsi="Times New Roman" w:cs="Times New Roman"/>
              </w:rPr>
            </w:pPr>
            <w:r>
              <w:rPr>
                <w:rFonts w:ascii="Times New Roman" w:hAnsi="Times New Roman" w:cs="Times New Roman"/>
              </w:rPr>
              <w:t>Language</w:t>
            </w:r>
            <w:r w:rsidR="00615C41" w:rsidRPr="00127C45">
              <w:rPr>
                <w:rFonts w:ascii="Times New Roman" w:hAnsi="Times New Roman" w:cs="Times New Roman"/>
              </w:rPr>
              <w:t xml:space="preserve"> Review</w:t>
            </w:r>
          </w:p>
        </w:tc>
      </w:tr>
      <w:tr w:rsidR="00615C41" w:rsidRPr="009B6AA6" w:rsidTr="009E57FD">
        <w:tc>
          <w:tcPr>
            <w:tcW w:w="6390" w:type="dxa"/>
          </w:tcPr>
          <w:p w:rsidR="00615C41" w:rsidRPr="009B6AA6" w:rsidRDefault="00615C41" w:rsidP="00E442B3">
            <w:pPr>
              <w:jc w:val="center"/>
              <w:rPr>
                <w:rFonts w:ascii="Times New Roman" w:hAnsi="Times New Roman" w:cs="Times New Roman"/>
              </w:rPr>
            </w:pPr>
            <w:r w:rsidRPr="009B6AA6">
              <w:rPr>
                <w:rFonts w:ascii="Times New Roman" w:hAnsi="Times New Roman" w:cs="Times New Roman"/>
                <w:b/>
              </w:rPr>
              <w:t>OWG Action</w:t>
            </w:r>
            <w:r w:rsidRPr="009B6AA6">
              <w:rPr>
                <w:rFonts w:ascii="Times New Roman" w:hAnsi="Times New Roman" w:cs="Times New Roman"/>
              </w:rPr>
              <w:t xml:space="preserve">: </w:t>
            </w:r>
            <w:r w:rsidRPr="009B6AA6">
              <w:rPr>
                <w:rFonts w:ascii="Times New Roman" w:hAnsi="Times New Roman" w:cs="Times New Roman"/>
                <w:color w:val="FF0000"/>
              </w:rPr>
              <w:t xml:space="preserve"> </w:t>
            </w:r>
            <w:r w:rsidR="004D4934">
              <w:rPr>
                <w:rFonts w:ascii="Times New Roman" w:hAnsi="Times New Roman" w:cs="Times New Roman"/>
                <w:color w:val="00B050"/>
              </w:rPr>
              <w:t>OWG Tabled</w:t>
            </w:r>
            <w:r w:rsidR="00301F0C" w:rsidRPr="009B6AA6">
              <w:rPr>
                <w:rFonts w:ascii="Times New Roman" w:hAnsi="Times New Roman" w:cs="Times New Roman"/>
                <w:noProof/>
                <w:color w:val="00B050"/>
              </w:rPr>
              <w:drawing>
                <wp:inline distT="0" distB="0" distL="0" distR="0" wp14:anchorId="4EA7DCED" wp14:editId="18D33EA0">
                  <wp:extent cx="135456" cy="118652"/>
                  <wp:effectExtent l="19050" t="0" r="0" b="0"/>
                  <wp:docPr id="1" name="Picture 1"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615C41" w:rsidRPr="009B6AA6" w:rsidTr="009E57FD">
        <w:tc>
          <w:tcPr>
            <w:tcW w:w="6390" w:type="dxa"/>
          </w:tcPr>
          <w:p w:rsidR="00452DAE" w:rsidRPr="00452DAE" w:rsidRDefault="00452DAE" w:rsidP="00452DAE">
            <w:pPr>
              <w:pStyle w:val="ListParagraph"/>
            </w:pPr>
            <w:r w:rsidRPr="00452DAE">
              <w:t xml:space="preserve">This Nodal Operating Guide Revision Request (NOGRR) seeks to improve management of congestion during an Energy Emergency Alert (EEA) by proposing: </w:t>
            </w:r>
          </w:p>
          <w:p w:rsidR="00452DAE" w:rsidRPr="00452DAE" w:rsidRDefault="00452DAE" w:rsidP="00452DAE">
            <w:pPr>
              <w:pStyle w:val="ListParagraph"/>
              <w:numPr>
                <w:ilvl w:val="0"/>
                <w:numId w:val="36"/>
              </w:numPr>
            </w:pPr>
            <w:r w:rsidRPr="00452DAE">
              <w:t>Language that provides a mechanism for ERCOT Operations to manage constraints in EEA 2 or 3 to higher Facility ratings when applicable for those constraints identified as limiting generation output; and</w:t>
            </w:r>
          </w:p>
          <w:p w:rsidR="0078554C" w:rsidRDefault="00452DAE" w:rsidP="00452DAE">
            <w:pPr>
              <w:pStyle w:val="ListParagraph"/>
              <w:rPr>
                <w:b/>
              </w:rPr>
            </w:pPr>
            <w:r w:rsidRPr="00452DAE">
              <w:t xml:space="preserve"> Language that reconsiders use of double-circuit contingencies during emergency operations based on Grid conditions [ERCOT] </w:t>
            </w:r>
            <w:r w:rsidR="00DC19BA" w:rsidRPr="00DC19BA">
              <w:rPr>
                <w:b/>
              </w:rPr>
              <w:t xml:space="preserve">Language review: </w:t>
            </w:r>
            <w:r w:rsidR="004D4934" w:rsidRPr="004D4934">
              <w:rPr>
                <w:b/>
              </w:rPr>
              <w:t>OWG did review duplicate language. NPRR642 tabled for one month pending discussions with QMWG.</w:t>
            </w:r>
          </w:p>
          <w:p w:rsidR="007F596E" w:rsidRDefault="007F596E" w:rsidP="00452DAE">
            <w:pPr>
              <w:pStyle w:val="ListParagraph"/>
              <w:rPr>
                <w:b/>
              </w:rPr>
            </w:pPr>
          </w:p>
          <w:p w:rsidR="007F596E" w:rsidRPr="009B6AA6" w:rsidRDefault="007F596E" w:rsidP="00452DAE">
            <w:pPr>
              <w:pStyle w:val="ListParagraph"/>
              <w:rPr>
                <w:rFonts w:ascii="Times New Roman" w:hAnsi="Times New Roman" w:cs="Times New Roman"/>
              </w:rPr>
            </w:pPr>
          </w:p>
        </w:tc>
      </w:tr>
      <w:tr w:rsidR="00615C41" w:rsidTr="009E57FD">
        <w:tc>
          <w:tcPr>
            <w:tcW w:w="6390" w:type="dxa"/>
            <w:shd w:val="clear" w:color="auto" w:fill="000000" w:themeFill="text1"/>
          </w:tcPr>
          <w:p w:rsidR="00615C41" w:rsidRDefault="00615C41" w:rsidP="008D52AF">
            <w:pPr>
              <w:jc w:val="center"/>
              <w:rPr>
                <w:rFonts w:ascii="Times New Roman" w:hAnsi="Times New Roman" w:cs="Times New Roman"/>
                <w:b/>
                <w:color w:val="00B050"/>
              </w:rPr>
            </w:pPr>
          </w:p>
        </w:tc>
      </w:tr>
      <w:tr w:rsidR="00ED2C5D" w:rsidRPr="009B6AA6" w:rsidTr="008479D7">
        <w:tc>
          <w:tcPr>
            <w:tcW w:w="6390" w:type="dxa"/>
          </w:tcPr>
          <w:p w:rsidR="00ED2C5D" w:rsidRPr="009B6AA6" w:rsidRDefault="007F596E" w:rsidP="008479D7">
            <w:pPr>
              <w:jc w:val="center"/>
              <w:rPr>
                <w:rFonts w:ascii="Times New Roman" w:hAnsi="Times New Roman" w:cs="Times New Roman"/>
                <w:b/>
                <w:color w:val="00B050"/>
              </w:rPr>
            </w:pPr>
            <w:r>
              <w:rPr>
                <w:rFonts w:ascii="Times New Roman" w:hAnsi="Times New Roman" w:cs="Times New Roman"/>
                <w:b/>
                <w:color w:val="00B050"/>
              </w:rPr>
              <w:t>132</w:t>
            </w:r>
            <w:r w:rsidR="00ED2C5D" w:rsidRPr="002E0064">
              <w:rPr>
                <w:rFonts w:ascii="Times New Roman" w:hAnsi="Times New Roman" w:cs="Times New Roman"/>
                <w:b/>
                <w:color w:val="00B050"/>
              </w:rPr>
              <w:t xml:space="preserve">NOGRR </w:t>
            </w:r>
            <w:r w:rsidR="00ED2C5D" w:rsidRPr="0006701A">
              <w:rPr>
                <w:rFonts w:ascii="Times New Roman" w:hAnsi="Times New Roman" w:cs="Times New Roman"/>
                <w:b/>
                <w:noProof/>
                <w:color w:val="00B050"/>
              </w:rPr>
              <w:drawing>
                <wp:inline distT="0" distB="0" distL="0" distR="0" wp14:anchorId="7B164162" wp14:editId="1FD754D3">
                  <wp:extent cx="135456" cy="118652"/>
                  <wp:effectExtent l="19050" t="0" r="0" b="0"/>
                  <wp:docPr id="5" name="Picture 8"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ED2C5D" w:rsidRPr="003600B6" w:rsidTr="008479D7">
        <w:tc>
          <w:tcPr>
            <w:tcW w:w="6390" w:type="dxa"/>
          </w:tcPr>
          <w:p w:rsidR="00ED2C5D" w:rsidRPr="003600B6" w:rsidRDefault="007F596E" w:rsidP="008479D7">
            <w:pPr>
              <w:jc w:val="center"/>
              <w:rPr>
                <w:rFonts w:ascii="Times New Roman" w:hAnsi="Times New Roman" w:cs="Times New Roman"/>
                <w:b/>
              </w:rPr>
            </w:pPr>
            <w:r w:rsidRPr="007F596E">
              <w:rPr>
                <w:rFonts w:ascii="Times New Roman" w:hAnsi="Times New Roman" w:cs="Times New Roman"/>
                <w:b/>
                <w:bCs/>
              </w:rPr>
              <w:t>Automatic Under-Voltage and Under-Frequency Load Shedding Protection Systems -- Load Restoration</w:t>
            </w:r>
          </w:p>
        </w:tc>
      </w:tr>
      <w:tr w:rsidR="00ED2C5D" w:rsidRPr="009B6AA6" w:rsidTr="008479D7">
        <w:tc>
          <w:tcPr>
            <w:tcW w:w="6390" w:type="dxa"/>
          </w:tcPr>
          <w:p w:rsidR="00ED2C5D" w:rsidRPr="009B6AA6" w:rsidRDefault="00540535" w:rsidP="008479D7">
            <w:pPr>
              <w:jc w:val="center"/>
              <w:rPr>
                <w:rFonts w:ascii="Times New Roman" w:hAnsi="Times New Roman" w:cs="Times New Roman"/>
              </w:rPr>
            </w:pPr>
            <w:r>
              <w:rPr>
                <w:rFonts w:ascii="Times New Roman" w:hAnsi="Times New Roman" w:cs="Times New Roman"/>
              </w:rPr>
              <w:t>Language</w:t>
            </w:r>
            <w:r w:rsidR="00ED2C5D" w:rsidRPr="00127C45">
              <w:rPr>
                <w:rFonts w:ascii="Times New Roman" w:hAnsi="Times New Roman" w:cs="Times New Roman"/>
              </w:rPr>
              <w:t xml:space="preserve"> Review</w:t>
            </w:r>
          </w:p>
        </w:tc>
      </w:tr>
      <w:tr w:rsidR="00ED2C5D" w:rsidRPr="009B6AA6" w:rsidTr="008479D7">
        <w:tc>
          <w:tcPr>
            <w:tcW w:w="6390" w:type="dxa"/>
          </w:tcPr>
          <w:p w:rsidR="00ED2C5D" w:rsidRPr="009B6AA6" w:rsidRDefault="00ED2C5D" w:rsidP="008479D7">
            <w:pPr>
              <w:jc w:val="center"/>
              <w:rPr>
                <w:rFonts w:ascii="Times New Roman" w:hAnsi="Times New Roman" w:cs="Times New Roman"/>
              </w:rPr>
            </w:pPr>
            <w:r w:rsidRPr="009B6AA6">
              <w:rPr>
                <w:rFonts w:ascii="Times New Roman" w:hAnsi="Times New Roman" w:cs="Times New Roman"/>
                <w:b/>
              </w:rPr>
              <w:t>OWG Action</w:t>
            </w:r>
            <w:r w:rsidRPr="009B6AA6">
              <w:rPr>
                <w:rFonts w:ascii="Times New Roman" w:hAnsi="Times New Roman" w:cs="Times New Roman"/>
              </w:rPr>
              <w:t xml:space="preserve">: </w:t>
            </w:r>
            <w:r w:rsidRPr="009B6AA6">
              <w:rPr>
                <w:rFonts w:ascii="Times New Roman" w:hAnsi="Times New Roman" w:cs="Times New Roman"/>
                <w:color w:val="FF0000"/>
              </w:rPr>
              <w:t xml:space="preserve"> </w:t>
            </w:r>
            <w:r w:rsidR="00DC19BA">
              <w:rPr>
                <w:rFonts w:ascii="Times New Roman" w:hAnsi="Times New Roman" w:cs="Times New Roman"/>
                <w:color w:val="00B050"/>
              </w:rPr>
              <w:t>OWG Recommend to ROS</w:t>
            </w:r>
            <w:r w:rsidRPr="009B6AA6">
              <w:rPr>
                <w:rFonts w:ascii="Times New Roman" w:hAnsi="Times New Roman" w:cs="Times New Roman"/>
                <w:noProof/>
                <w:color w:val="00B050"/>
              </w:rPr>
              <w:drawing>
                <wp:inline distT="0" distB="0" distL="0" distR="0" wp14:anchorId="22DDDED2" wp14:editId="34B9F2A9">
                  <wp:extent cx="135456" cy="118652"/>
                  <wp:effectExtent l="19050" t="0" r="0" b="0"/>
                  <wp:docPr id="6" name="Picture 6"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ED2C5D" w:rsidRPr="009B6AA6" w:rsidTr="008479D7">
        <w:tc>
          <w:tcPr>
            <w:tcW w:w="6390" w:type="dxa"/>
          </w:tcPr>
          <w:p w:rsidR="00DC19BA" w:rsidRDefault="007F596E" w:rsidP="00452DAE">
            <w:pPr>
              <w:rPr>
                <w:b/>
              </w:rPr>
            </w:pPr>
            <w:r w:rsidRPr="007F596E">
              <w:t xml:space="preserve">This Nodal Operating Guide Revision Request (NOGRR) adds a requirement for Under-Frequency Load Shedding (UFLS) and Under-Voltage Load Shedding (UVLS) systems Load restoration coordination consistent with that of manually shed Load for EEA 3 or a Constraint Management Plan. </w:t>
            </w:r>
            <w:r w:rsidRPr="007F596E">
              <w:rPr>
                <w:b/>
              </w:rPr>
              <w:t>NOGRR was revised by CNP and amended by OWG. Recommended for approval by OWG as revised.</w:t>
            </w:r>
          </w:p>
          <w:p w:rsidR="007F596E" w:rsidRDefault="007F596E" w:rsidP="00452DAE">
            <w:pPr>
              <w:rPr>
                <w:b/>
              </w:rPr>
            </w:pPr>
          </w:p>
          <w:p w:rsidR="007F596E" w:rsidRDefault="007F596E" w:rsidP="00452DAE">
            <w:pPr>
              <w:rPr>
                <w:rFonts w:ascii="Times New Roman" w:hAnsi="Times New Roman" w:cs="Times New Roman"/>
              </w:rPr>
            </w:pPr>
          </w:p>
          <w:p w:rsidR="0078554C" w:rsidRPr="00452DAE" w:rsidRDefault="0078554C" w:rsidP="00452DAE">
            <w:pPr>
              <w:rPr>
                <w:rFonts w:ascii="Times New Roman" w:hAnsi="Times New Roman" w:cs="Times New Roman"/>
              </w:rPr>
            </w:pPr>
          </w:p>
        </w:tc>
      </w:tr>
      <w:tr w:rsidR="004D3740" w:rsidTr="00740557">
        <w:tc>
          <w:tcPr>
            <w:tcW w:w="6390" w:type="dxa"/>
            <w:tcBorders>
              <w:bottom w:val="single" w:sz="4" w:space="0" w:color="auto"/>
            </w:tcBorders>
            <w:shd w:val="clear" w:color="auto" w:fill="000000" w:themeFill="text1"/>
          </w:tcPr>
          <w:p w:rsidR="004D3740" w:rsidRDefault="004D3740" w:rsidP="00B40050">
            <w:pPr>
              <w:jc w:val="center"/>
              <w:rPr>
                <w:rFonts w:ascii="Times New Roman" w:hAnsi="Times New Roman" w:cs="Times New Roman"/>
                <w:b/>
                <w:color w:val="00B050"/>
              </w:rPr>
            </w:pPr>
          </w:p>
        </w:tc>
      </w:tr>
      <w:tr w:rsidR="00740557" w:rsidRPr="009B6AA6" w:rsidTr="00FC31B5">
        <w:tc>
          <w:tcPr>
            <w:tcW w:w="6390" w:type="dxa"/>
          </w:tcPr>
          <w:p w:rsidR="00740557" w:rsidRPr="009B6AA6" w:rsidRDefault="0078554C" w:rsidP="00CA7311">
            <w:pPr>
              <w:jc w:val="center"/>
              <w:rPr>
                <w:rFonts w:ascii="Times New Roman" w:hAnsi="Times New Roman" w:cs="Times New Roman"/>
                <w:b/>
                <w:color w:val="00B050"/>
              </w:rPr>
            </w:pPr>
            <w:r>
              <w:rPr>
                <w:rFonts w:ascii="Times New Roman" w:hAnsi="Times New Roman" w:cs="Times New Roman"/>
                <w:b/>
                <w:color w:val="00B050"/>
              </w:rPr>
              <w:t>138</w:t>
            </w:r>
            <w:r w:rsidR="00740557" w:rsidRPr="002E0064">
              <w:rPr>
                <w:rFonts w:ascii="Times New Roman" w:hAnsi="Times New Roman" w:cs="Times New Roman"/>
                <w:b/>
                <w:color w:val="00B050"/>
              </w:rPr>
              <w:t xml:space="preserve">NOGRR </w:t>
            </w:r>
            <w:r w:rsidR="00740557" w:rsidRPr="0006701A">
              <w:rPr>
                <w:rFonts w:ascii="Times New Roman" w:hAnsi="Times New Roman" w:cs="Times New Roman"/>
                <w:b/>
                <w:noProof/>
                <w:color w:val="00B050"/>
              </w:rPr>
              <w:drawing>
                <wp:inline distT="0" distB="0" distL="0" distR="0" wp14:anchorId="5C9F0519" wp14:editId="5B9389C4">
                  <wp:extent cx="135456" cy="118652"/>
                  <wp:effectExtent l="19050" t="0" r="0" b="0"/>
                  <wp:docPr id="8" name="Picture 8"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740557" w:rsidRPr="009B6AA6" w:rsidTr="00FC31B5">
        <w:tc>
          <w:tcPr>
            <w:tcW w:w="6390" w:type="dxa"/>
          </w:tcPr>
          <w:p w:rsidR="00740557" w:rsidRPr="003600B6" w:rsidRDefault="0078554C" w:rsidP="00CA7311">
            <w:pPr>
              <w:jc w:val="center"/>
              <w:rPr>
                <w:rFonts w:ascii="Times New Roman" w:hAnsi="Times New Roman" w:cs="Times New Roman"/>
                <w:b/>
              </w:rPr>
            </w:pPr>
            <w:r w:rsidRPr="0078554C">
              <w:rPr>
                <w:rFonts w:ascii="Times New Roman" w:hAnsi="Times New Roman" w:cs="Times New Roman"/>
                <w:b/>
                <w:bCs/>
              </w:rPr>
              <w:t>Delete Grey Box for Reporting of Back-up Control Plan Submittal</w:t>
            </w:r>
          </w:p>
        </w:tc>
      </w:tr>
      <w:tr w:rsidR="00740557" w:rsidRPr="009B6AA6" w:rsidTr="00FC31B5">
        <w:tc>
          <w:tcPr>
            <w:tcW w:w="6390" w:type="dxa"/>
          </w:tcPr>
          <w:p w:rsidR="00740557" w:rsidRPr="009B6AA6" w:rsidRDefault="00740557" w:rsidP="00CA7311">
            <w:pPr>
              <w:jc w:val="center"/>
              <w:rPr>
                <w:rFonts w:ascii="Times New Roman" w:hAnsi="Times New Roman" w:cs="Times New Roman"/>
              </w:rPr>
            </w:pPr>
            <w:r>
              <w:rPr>
                <w:rFonts w:ascii="Times New Roman" w:hAnsi="Times New Roman" w:cs="Times New Roman"/>
              </w:rPr>
              <w:t>Language</w:t>
            </w:r>
            <w:r w:rsidRPr="00127C45">
              <w:rPr>
                <w:rFonts w:ascii="Times New Roman" w:hAnsi="Times New Roman" w:cs="Times New Roman"/>
              </w:rPr>
              <w:t xml:space="preserve"> Review</w:t>
            </w:r>
          </w:p>
        </w:tc>
      </w:tr>
      <w:tr w:rsidR="00740557" w:rsidRPr="009B6AA6" w:rsidTr="00FC31B5">
        <w:tc>
          <w:tcPr>
            <w:tcW w:w="6390" w:type="dxa"/>
          </w:tcPr>
          <w:p w:rsidR="00740557" w:rsidRPr="009B6AA6" w:rsidRDefault="00740557" w:rsidP="00CA7311">
            <w:pPr>
              <w:jc w:val="center"/>
              <w:rPr>
                <w:rFonts w:ascii="Times New Roman" w:hAnsi="Times New Roman" w:cs="Times New Roman"/>
              </w:rPr>
            </w:pPr>
            <w:r w:rsidRPr="009B6AA6">
              <w:rPr>
                <w:rFonts w:ascii="Times New Roman" w:hAnsi="Times New Roman" w:cs="Times New Roman"/>
                <w:b/>
              </w:rPr>
              <w:t>OWG Action</w:t>
            </w:r>
            <w:r w:rsidRPr="009B6AA6">
              <w:rPr>
                <w:rFonts w:ascii="Times New Roman" w:hAnsi="Times New Roman" w:cs="Times New Roman"/>
              </w:rPr>
              <w:t xml:space="preserve">: </w:t>
            </w:r>
            <w:r w:rsidRPr="009B6AA6">
              <w:rPr>
                <w:rFonts w:ascii="Times New Roman" w:hAnsi="Times New Roman" w:cs="Times New Roman"/>
                <w:color w:val="FF0000"/>
              </w:rPr>
              <w:t xml:space="preserve"> </w:t>
            </w:r>
            <w:r w:rsidR="003F0D24">
              <w:rPr>
                <w:rFonts w:ascii="Times New Roman" w:hAnsi="Times New Roman" w:cs="Times New Roman"/>
                <w:color w:val="00B050"/>
              </w:rPr>
              <w:t>OWG Recommend for IA</w:t>
            </w:r>
            <w:r w:rsidRPr="009B6AA6">
              <w:rPr>
                <w:rFonts w:ascii="Times New Roman" w:hAnsi="Times New Roman" w:cs="Times New Roman"/>
                <w:noProof/>
                <w:color w:val="00B050"/>
              </w:rPr>
              <w:drawing>
                <wp:inline distT="0" distB="0" distL="0" distR="0" wp14:anchorId="4618FD71" wp14:editId="47BFBEB4">
                  <wp:extent cx="135456" cy="118652"/>
                  <wp:effectExtent l="19050" t="0" r="0" b="0"/>
                  <wp:docPr id="9" name="Picture 9"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740557" w:rsidRPr="009B6AA6" w:rsidTr="00FC31B5">
        <w:tc>
          <w:tcPr>
            <w:tcW w:w="6390" w:type="dxa"/>
          </w:tcPr>
          <w:p w:rsidR="003F0D24" w:rsidRPr="003F0D24" w:rsidRDefault="0078554C" w:rsidP="003F0D24">
            <w:pPr>
              <w:pStyle w:val="ListParagraph"/>
              <w:numPr>
                <w:ilvl w:val="0"/>
                <w:numId w:val="22"/>
              </w:numPr>
              <w:rPr>
                <w:b/>
              </w:rPr>
            </w:pPr>
            <w:r w:rsidRPr="0078554C">
              <w:t xml:space="preserve">This Nodal Operating Guide Revision Request (NOGRR) proposes the discontinuation of the posting requirement for Discontinue Backup Control Plan Submittal Results, ERCOT Market Information List (EMIL) ID, NP8-510M and Backup Control Plan Test Dates and Results Summary Reports, EMIL ID NP8-922-M.  </w:t>
            </w:r>
            <w:r w:rsidRPr="0078554C">
              <w:rPr>
                <w:b/>
              </w:rPr>
              <w:t xml:space="preserve">Language review: </w:t>
            </w:r>
            <w:r w:rsidR="003F0D24" w:rsidRPr="003F0D24">
              <w:rPr>
                <w:b/>
              </w:rPr>
              <w:t>OWG recommended approval of NOGRR pending impact analysis.</w:t>
            </w:r>
          </w:p>
          <w:p w:rsidR="00740557" w:rsidRPr="009B6AA6" w:rsidRDefault="00740557" w:rsidP="00F103F5">
            <w:pPr>
              <w:pStyle w:val="ListParagraph"/>
              <w:rPr>
                <w:rFonts w:ascii="Times New Roman" w:hAnsi="Times New Roman" w:cs="Times New Roman"/>
              </w:rPr>
            </w:pPr>
          </w:p>
        </w:tc>
      </w:tr>
      <w:tr w:rsidR="0078554C" w:rsidTr="00B83162">
        <w:tc>
          <w:tcPr>
            <w:tcW w:w="6390" w:type="dxa"/>
            <w:tcBorders>
              <w:bottom w:val="single" w:sz="4" w:space="0" w:color="auto"/>
            </w:tcBorders>
            <w:shd w:val="clear" w:color="auto" w:fill="000000" w:themeFill="text1"/>
          </w:tcPr>
          <w:p w:rsidR="0078554C" w:rsidRDefault="0078554C" w:rsidP="00B83162">
            <w:pPr>
              <w:jc w:val="center"/>
              <w:rPr>
                <w:rFonts w:ascii="Times New Roman" w:hAnsi="Times New Roman" w:cs="Times New Roman"/>
                <w:b/>
                <w:color w:val="00B050"/>
              </w:rPr>
            </w:pPr>
          </w:p>
        </w:tc>
      </w:tr>
      <w:tr w:rsidR="0078554C" w:rsidRPr="009B6AA6" w:rsidTr="00B83162">
        <w:tc>
          <w:tcPr>
            <w:tcW w:w="6390" w:type="dxa"/>
          </w:tcPr>
          <w:p w:rsidR="0078554C" w:rsidRPr="009B6AA6" w:rsidRDefault="0078554C" w:rsidP="00B83162">
            <w:pPr>
              <w:jc w:val="center"/>
              <w:rPr>
                <w:rFonts w:ascii="Times New Roman" w:hAnsi="Times New Roman" w:cs="Times New Roman"/>
                <w:b/>
                <w:color w:val="00B050"/>
              </w:rPr>
            </w:pPr>
            <w:r>
              <w:rPr>
                <w:rFonts w:ascii="Times New Roman" w:hAnsi="Times New Roman" w:cs="Times New Roman"/>
                <w:b/>
                <w:color w:val="00B050"/>
              </w:rPr>
              <w:t>139</w:t>
            </w:r>
            <w:r w:rsidRPr="002E0064">
              <w:rPr>
                <w:rFonts w:ascii="Times New Roman" w:hAnsi="Times New Roman" w:cs="Times New Roman"/>
                <w:b/>
                <w:color w:val="00B050"/>
              </w:rPr>
              <w:t xml:space="preserve">NOGRR </w:t>
            </w:r>
            <w:r w:rsidRPr="0006701A">
              <w:rPr>
                <w:rFonts w:ascii="Times New Roman" w:hAnsi="Times New Roman" w:cs="Times New Roman"/>
                <w:b/>
                <w:noProof/>
                <w:color w:val="00B050"/>
              </w:rPr>
              <w:drawing>
                <wp:inline distT="0" distB="0" distL="0" distR="0" wp14:anchorId="2203D363" wp14:editId="07D14832">
                  <wp:extent cx="135456" cy="118652"/>
                  <wp:effectExtent l="19050" t="0" r="0" b="0"/>
                  <wp:docPr id="2" name="Picture 2"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78554C" w:rsidRPr="003600B6" w:rsidTr="00B83162">
        <w:tc>
          <w:tcPr>
            <w:tcW w:w="6390" w:type="dxa"/>
          </w:tcPr>
          <w:p w:rsidR="0078554C" w:rsidRPr="003600B6" w:rsidRDefault="0078554C" w:rsidP="00B83162">
            <w:pPr>
              <w:jc w:val="center"/>
              <w:rPr>
                <w:rFonts w:ascii="Times New Roman" w:hAnsi="Times New Roman" w:cs="Times New Roman"/>
                <w:b/>
              </w:rPr>
            </w:pPr>
            <w:r w:rsidRPr="0078554C">
              <w:rPr>
                <w:rFonts w:ascii="Times New Roman" w:hAnsi="Times New Roman" w:cs="Times New Roman"/>
                <w:b/>
                <w:bCs/>
              </w:rPr>
              <w:t>Under/Over-Frequency Relaying Requirements</w:t>
            </w:r>
          </w:p>
        </w:tc>
      </w:tr>
      <w:tr w:rsidR="0078554C" w:rsidRPr="009B6AA6" w:rsidTr="00B83162">
        <w:tc>
          <w:tcPr>
            <w:tcW w:w="6390" w:type="dxa"/>
          </w:tcPr>
          <w:p w:rsidR="0078554C" w:rsidRPr="009B6AA6" w:rsidRDefault="0078554C" w:rsidP="00B83162">
            <w:pPr>
              <w:jc w:val="center"/>
              <w:rPr>
                <w:rFonts w:ascii="Times New Roman" w:hAnsi="Times New Roman" w:cs="Times New Roman"/>
              </w:rPr>
            </w:pPr>
            <w:r>
              <w:rPr>
                <w:rFonts w:ascii="Times New Roman" w:hAnsi="Times New Roman" w:cs="Times New Roman"/>
              </w:rPr>
              <w:t>Language</w:t>
            </w:r>
            <w:r w:rsidRPr="00127C45">
              <w:rPr>
                <w:rFonts w:ascii="Times New Roman" w:hAnsi="Times New Roman" w:cs="Times New Roman"/>
              </w:rPr>
              <w:t xml:space="preserve"> Review</w:t>
            </w:r>
          </w:p>
        </w:tc>
      </w:tr>
      <w:tr w:rsidR="0078554C" w:rsidRPr="009B6AA6" w:rsidTr="00B83162">
        <w:tc>
          <w:tcPr>
            <w:tcW w:w="6390" w:type="dxa"/>
          </w:tcPr>
          <w:p w:rsidR="0078554C" w:rsidRPr="009B6AA6" w:rsidRDefault="0078554C" w:rsidP="00B83162">
            <w:pPr>
              <w:jc w:val="center"/>
              <w:rPr>
                <w:rFonts w:ascii="Times New Roman" w:hAnsi="Times New Roman" w:cs="Times New Roman"/>
              </w:rPr>
            </w:pPr>
            <w:r w:rsidRPr="009B6AA6">
              <w:rPr>
                <w:rFonts w:ascii="Times New Roman" w:hAnsi="Times New Roman" w:cs="Times New Roman"/>
                <w:b/>
              </w:rPr>
              <w:t>OWG Action</w:t>
            </w:r>
            <w:r w:rsidRPr="009B6AA6">
              <w:rPr>
                <w:rFonts w:ascii="Times New Roman" w:hAnsi="Times New Roman" w:cs="Times New Roman"/>
              </w:rPr>
              <w:t xml:space="preserve">: </w:t>
            </w:r>
            <w:r w:rsidRPr="009B6AA6">
              <w:rPr>
                <w:rFonts w:ascii="Times New Roman" w:hAnsi="Times New Roman" w:cs="Times New Roman"/>
                <w:color w:val="FF0000"/>
              </w:rPr>
              <w:t xml:space="preserve"> </w:t>
            </w:r>
            <w:r w:rsidR="00734478">
              <w:rPr>
                <w:rFonts w:ascii="Times New Roman" w:hAnsi="Times New Roman" w:cs="Times New Roman"/>
                <w:color w:val="00B050"/>
              </w:rPr>
              <w:t>OWG Recommend for IA</w:t>
            </w:r>
            <w:r w:rsidRPr="009B6AA6">
              <w:rPr>
                <w:rFonts w:ascii="Times New Roman" w:hAnsi="Times New Roman" w:cs="Times New Roman"/>
                <w:noProof/>
                <w:color w:val="00B050"/>
              </w:rPr>
              <w:drawing>
                <wp:inline distT="0" distB="0" distL="0" distR="0" wp14:anchorId="02CB67BB" wp14:editId="505721F0">
                  <wp:extent cx="135456" cy="118652"/>
                  <wp:effectExtent l="19050" t="0" r="0" b="0"/>
                  <wp:docPr id="3" name="Picture 3"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78554C" w:rsidRPr="009B6AA6" w:rsidTr="00B83162">
        <w:tc>
          <w:tcPr>
            <w:tcW w:w="6390" w:type="dxa"/>
          </w:tcPr>
          <w:p w:rsidR="0078554C" w:rsidRPr="0078554C" w:rsidRDefault="0078554C" w:rsidP="00383A57">
            <w:pPr>
              <w:pStyle w:val="ListParagraph"/>
              <w:rPr>
                <w:b/>
              </w:rPr>
            </w:pPr>
            <w:r w:rsidRPr="0078554C">
              <w:t>This Nodal Operating Guide Revision Request (NOGRR) adds over-frequency relaying requirements and clarifies under-frequency and over-frequency relay set-points so that Generation Resources know what is expected.  Over-frequency relay set points criteria was approved by NERC in March 2014 under Standard PRC-024, Generator Frequency and Voltage Protective Relay Settings.</w:t>
            </w:r>
            <w:r w:rsidRPr="0078554C">
              <w:rPr>
                <w:b/>
              </w:rPr>
              <w:t xml:space="preserve">  Language review: </w:t>
            </w:r>
            <w:r w:rsidR="00734478" w:rsidRPr="00734478">
              <w:rPr>
                <w:b/>
              </w:rPr>
              <w:t>Randy from Calpine voiced support for Austin Energy’s language. OWG recommended approval as amended pending impact analysis.</w:t>
            </w:r>
          </w:p>
          <w:p w:rsidR="0078554C" w:rsidRPr="009B6AA6" w:rsidRDefault="0078554C" w:rsidP="00B83162">
            <w:pPr>
              <w:pStyle w:val="ListParagraph"/>
              <w:rPr>
                <w:rFonts w:ascii="Times New Roman" w:hAnsi="Times New Roman" w:cs="Times New Roman"/>
              </w:rPr>
            </w:pPr>
          </w:p>
        </w:tc>
      </w:tr>
      <w:tr w:rsidR="007B6F4B" w:rsidTr="00B16168">
        <w:tc>
          <w:tcPr>
            <w:tcW w:w="6390" w:type="dxa"/>
            <w:tcBorders>
              <w:bottom w:val="single" w:sz="4" w:space="0" w:color="auto"/>
            </w:tcBorders>
            <w:shd w:val="clear" w:color="auto" w:fill="000000" w:themeFill="text1"/>
          </w:tcPr>
          <w:p w:rsidR="007B6F4B" w:rsidRDefault="007B6F4B" w:rsidP="00B16168">
            <w:pPr>
              <w:jc w:val="center"/>
              <w:rPr>
                <w:rFonts w:ascii="Times New Roman" w:hAnsi="Times New Roman" w:cs="Times New Roman"/>
                <w:b/>
                <w:color w:val="00B050"/>
              </w:rPr>
            </w:pPr>
          </w:p>
        </w:tc>
      </w:tr>
      <w:tr w:rsidR="007B6F4B" w:rsidRPr="009B6AA6" w:rsidTr="00B16168">
        <w:tc>
          <w:tcPr>
            <w:tcW w:w="6390" w:type="dxa"/>
          </w:tcPr>
          <w:p w:rsidR="007B6F4B" w:rsidRPr="009B6AA6" w:rsidRDefault="007B6F4B" w:rsidP="00B16168">
            <w:pPr>
              <w:jc w:val="center"/>
              <w:rPr>
                <w:rFonts w:ascii="Times New Roman" w:hAnsi="Times New Roman" w:cs="Times New Roman"/>
                <w:b/>
                <w:color w:val="00B050"/>
              </w:rPr>
            </w:pPr>
            <w:r>
              <w:rPr>
                <w:rFonts w:ascii="Times New Roman" w:hAnsi="Times New Roman" w:cs="Times New Roman"/>
                <w:b/>
                <w:color w:val="00B050"/>
              </w:rPr>
              <w:t>1</w:t>
            </w:r>
            <w:r w:rsidR="00734478">
              <w:rPr>
                <w:rFonts w:ascii="Times New Roman" w:hAnsi="Times New Roman" w:cs="Times New Roman"/>
                <w:b/>
                <w:color w:val="00B050"/>
              </w:rPr>
              <w:t>42</w:t>
            </w:r>
            <w:r w:rsidRPr="002E0064">
              <w:rPr>
                <w:rFonts w:ascii="Times New Roman" w:hAnsi="Times New Roman" w:cs="Times New Roman"/>
                <w:b/>
                <w:color w:val="00B050"/>
              </w:rPr>
              <w:t xml:space="preserve">NOGRR </w:t>
            </w:r>
            <w:r w:rsidRPr="0006701A">
              <w:rPr>
                <w:rFonts w:ascii="Times New Roman" w:hAnsi="Times New Roman" w:cs="Times New Roman"/>
                <w:b/>
                <w:noProof/>
                <w:color w:val="00B050"/>
              </w:rPr>
              <w:drawing>
                <wp:inline distT="0" distB="0" distL="0" distR="0" wp14:anchorId="5E6A0BBE" wp14:editId="25516C2A">
                  <wp:extent cx="135456" cy="118652"/>
                  <wp:effectExtent l="19050" t="0" r="0" b="0"/>
                  <wp:docPr id="4" name="Picture 4"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7B6F4B" w:rsidRPr="003600B6" w:rsidTr="00B16168">
        <w:tc>
          <w:tcPr>
            <w:tcW w:w="6390" w:type="dxa"/>
          </w:tcPr>
          <w:p w:rsidR="007B6F4B" w:rsidRPr="003600B6" w:rsidRDefault="00734478" w:rsidP="00B16168">
            <w:pPr>
              <w:jc w:val="center"/>
              <w:rPr>
                <w:rFonts w:ascii="Times New Roman" w:hAnsi="Times New Roman" w:cs="Times New Roman"/>
                <w:b/>
              </w:rPr>
            </w:pPr>
            <w:proofErr w:type="spellStart"/>
            <w:r w:rsidRPr="00734478">
              <w:rPr>
                <w:rFonts w:ascii="Times New Roman" w:hAnsi="Times New Roman" w:cs="Times New Roman"/>
                <w:b/>
                <w:bCs/>
              </w:rPr>
              <w:t>Phasor</w:t>
            </w:r>
            <w:proofErr w:type="spellEnd"/>
            <w:r w:rsidRPr="00734478">
              <w:rPr>
                <w:rFonts w:ascii="Times New Roman" w:hAnsi="Times New Roman" w:cs="Times New Roman"/>
                <w:b/>
                <w:bCs/>
              </w:rPr>
              <w:t xml:space="preserve"> Measurement</w:t>
            </w:r>
          </w:p>
        </w:tc>
      </w:tr>
      <w:tr w:rsidR="007B6F4B" w:rsidRPr="009B6AA6" w:rsidTr="00B16168">
        <w:tc>
          <w:tcPr>
            <w:tcW w:w="6390" w:type="dxa"/>
          </w:tcPr>
          <w:p w:rsidR="007B6F4B" w:rsidRPr="009B6AA6" w:rsidRDefault="007B6F4B" w:rsidP="00B16168">
            <w:pPr>
              <w:jc w:val="center"/>
              <w:rPr>
                <w:rFonts w:ascii="Times New Roman" w:hAnsi="Times New Roman" w:cs="Times New Roman"/>
              </w:rPr>
            </w:pPr>
            <w:r>
              <w:rPr>
                <w:rFonts w:ascii="Times New Roman" w:hAnsi="Times New Roman" w:cs="Times New Roman"/>
              </w:rPr>
              <w:t>Language</w:t>
            </w:r>
            <w:r w:rsidRPr="00127C45">
              <w:rPr>
                <w:rFonts w:ascii="Times New Roman" w:hAnsi="Times New Roman" w:cs="Times New Roman"/>
              </w:rPr>
              <w:t xml:space="preserve"> Review</w:t>
            </w:r>
          </w:p>
        </w:tc>
      </w:tr>
      <w:tr w:rsidR="007B6F4B" w:rsidRPr="009B6AA6" w:rsidTr="00B16168">
        <w:tc>
          <w:tcPr>
            <w:tcW w:w="6390" w:type="dxa"/>
          </w:tcPr>
          <w:p w:rsidR="007B6F4B" w:rsidRPr="009B6AA6" w:rsidRDefault="007B6F4B" w:rsidP="00B16168">
            <w:pPr>
              <w:jc w:val="center"/>
              <w:rPr>
                <w:rFonts w:ascii="Times New Roman" w:hAnsi="Times New Roman" w:cs="Times New Roman"/>
              </w:rPr>
            </w:pPr>
            <w:r w:rsidRPr="009B6AA6">
              <w:rPr>
                <w:rFonts w:ascii="Times New Roman" w:hAnsi="Times New Roman" w:cs="Times New Roman"/>
                <w:b/>
              </w:rPr>
              <w:t>OWG Action</w:t>
            </w:r>
            <w:r w:rsidRPr="009B6AA6">
              <w:rPr>
                <w:rFonts w:ascii="Times New Roman" w:hAnsi="Times New Roman" w:cs="Times New Roman"/>
              </w:rPr>
              <w:t xml:space="preserve">: </w:t>
            </w:r>
            <w:r w:rsidRPr="009B6AA6">
              <w:rPr>
                <w:rFonts w:ascii="Times New Roman" w:hAnsi="Times New Roman" w:cs="Times New Roman"/>
                <w:color w:val="FF0000"/>
              </w:rPr>
              <w:t xml:space="preserve"> </w:t>
            </w:r>
            <w:r>
              <w:rPr>
                <w:rFonts w:ascii="Times New Roman" w:hAnsi="Times New Roman" w:cs="Times New Roman"/>
                <w:color w:val="00B050"/>
              </w:rPr>
              <w:t>OWG Tabled</w:t>
            </w:r>
            <w:r w:rsidRPr="009B6AA6">
              <w:rPr>
                <w:rFonts w:ascii="Times New Roman" w:hAnsi="Times New Roman" w:cs="Times New Roman"/>
                <w:noProof/>
                <w:color w:val="00B050"/>
              </w:rPr>
              <w:drawing>
                <wp:inline distT="0" distB="0" distL="0" distR="0" wp14:anchorId="421E3473" wp14:editId="1BCEFDF7">
                  <wp:extent cx="135456" cy="118652"/>
                  <wp:effectExtent l="19050" t="0" r="0" b="0"/>
                  <wp:docPr id="10" name="Picture 10" descr="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png"/>
                          <pic:cNvPicPr/>
                        </pic:nvPicPr>
                        <pic:blipFill>
                          <a:blip r:embed="rId9" cstate="print"/>
                          <a:stretch>
                            <a:fillRect/>
                          </a:stretch>
                        </pic:blipFill>
                        <pic:spPr>
                          <a:xfrm>
                            <a:off x="0" y="0"/>
                            <a:ext cx="135179" cy="118409"/>
                          </a:xfrm>
                          <a:prstGeom prst="rect">
                            <a:avLst/>
                          </a:prstGeom>
                        </pic:spPr>
                      </pic:pic>
                    </a:graphicData>
                  </a:graphic>
                </wp:inline>
              </w:drawing>
            </w:r>
          </w:p>
        </w:tc>
      </w:tr>
      <w:tr w:rsidR="007B6F4B" w:rsidRPr="009B6AA6" w:rsidTr="00B16168">
        <w:tc>
          <w:tcPr>
            <w:tcW w:w="6390" w:type="dxa"/>
          </w:tcPr>
          <w:p w:rsidR="007B6F4B" w:rsidRDefault="00734478" w:rsidP="00734478">
            <w:pPr>
              <w:pStyle w:val="ListParagraph"/>
              <w:rPr>
                <w:b/>
              </w:rPr>
            </w:pPr>
            <w:r w:rsidRPr="00734478">
              <w:t xml:space="preserve">This Nodal Operating Guide Revision Request (NOGRR) represents the consensus recommendation of the </w:t>
            </w:r>
            <w:proofErr w:type="spellStart"/>
            <w:r w:rsidRPr="00734478">
              <w:t>Phasor</w:t>
            </w:r>
            <w:proofErr w:type="spellEnd"/>
            <w:r w:rsidRPr="00734478">
              <w:t xml:space="preserve"> Measurement Task Force (PMTF) as the binding language required to meet the top three </w:t>
            </w:r>
            <w:proofErr w:type="spellStart"/>
            <w:r w:rsidRPr="00734478">
              <w:t>Synchrophasor</w:t>
            </w:r>
            <w:proofErr w:type="spellEnd"/>
            <w:r w:rsidRPr="00734478">
              <w:t xml:space="preserve"> use cases identified by ERCOT staff and the PMTF as having merit in the ERCOT</w:t>
            </w:r>
            <w:r>
              <w:t xml:space="preserve"> region. [PMTF] Language Review</w:t>
            </w:r>
            <w:r w:rsidR="007B6F4B" w:rsidRPr="0078554C">
              <w:t>.</w:t>
            </w:r>
            <w:r w:rsidR="007B6F4B" w:rsidRPr="0078554C">
              <w:rPr>
                <w:b/>
              </w:rPr>
              <w:t xml:space="preserve">  </w:t>
            </w:r>
            <w:r w:rsidRPr="00734478">
              <w:rPr>
                <w:b/>
              </w:rPr>
              <w:t>ERCOT (Blevins) gave presentation on NOGRR. Questions on data caching and equipment installation timeline were asked by Calpine. Model validation at ERCOT was also discussed. OWG tabled for one month to allow time for additional comments from participants.</w:t>
            </w:r>
          </w:p>
          <w:p w:rsidR="007F596E" w:rsidRPr="009B6AA6" w:rsidRDefault="007F596E" w:rsidP="00734478">
            <w:pPr>
              <w:pStyle w:val="ListParagraph"/>
              <w:rPr>
                <w:rFonts w:ascii="Times New Roman" w:hAnsi="Times New Roman" w:cs="Times New Roman"/>
              </w:rPr>
            </w:pPr>
          </w:p>
        </w:tc>
      </w:tr>
    </w:tbl>
    <w:p w:rsidR="00606352" w:rsidRDefault="00606352" w:rsidP="00A0788C">
      <w:pPr>
        <w:spacing w:after="0"/>
        <w:rPr>
          <w:rFonts w:ascii="Times New Roman" w:hAnsi="Times New Roman" w:cs="Times New Roman"/>
        </w:rPr>
      </w:pPr>
    </w:p>
    <w:p w:rsidR="00AB0D6A" w:rsidRDefault="00AB0D6A" w:rsidP="00A0788C">
      <w:pPr>
        <w:spacing w:after="0"/>
        <w:rPr>
          <w:rFonts w:ascii="Times New Roman" w:hAnsi="Times New Roman" w:cs="Times New Roman"/>
          <w:b/>
          <w:sz w:val="24"/>
        </w:rPr>
      </w:pPr>
      <w:r w:rsidRPr="00AB0D6A">
        <w:rPr>
          <w:rFonts w:ascii="Times New Roman" w:hAnsi="Times New Roman" w:cs="Times New Roman"/>
          <w:b/>
          <w:sz w:val="24"/>
        </w:rPr>
        <w:lastRenderedPageBreak/>
        <w:t>Operations Report</w:t>
      </w:r>
      <w:r>
        <w:rPr>
          <w:rFonts w:ascii="Times New Roman" w:hAnsi="Times New Roman" w:cs="Times New Roman"/>
          <w:b/>
          <w:sz w:val="24"/>
        </w:rPr>
        <w:t xml:space="preserve"> – </w:t>
      </w:r>
    </w:p>
    <w:p w:rsidR="00CA3A65" w:rsidRPr="007F596E" w:rsidRDefault="007F596E" w:rsidP="007F596E">
      <w:pPr>
        <w:pStyle w:val="ListParagraph"/>
        <w:numPr>
          <w:ilvl w:val="0"/>
          <w:numId w:val="37"/>
        </w:numPr>
        <w:spacing w:after="0"/>
        <w:rPr>
          <w:rFonts w:ascii="Times New Roman" w:hAnsi="Times New Roman" w:cs="Times New Roman"/>
        </w:rPr>
      </w:pPr>
      <w:r>
        <w:rPr>
          <w:rFonts w:ascii="Times New Roman" w:hAnsi="Times New Roman" w:cs="Times New Roman"/>
          <w:sz w:val="24"/>
        </w:rPr>
        <w:t>Reviewed the November and December</w:t>
      </w:r>
      <w:r w:rsidR="00512A94" w:rsidRPr="00512A94">
        <w:rPr>
          <w:rFonts w:ascii="Times New Roman" w:hAnsi="Times New Roman" w:cs="Times New Roman"/>
          <w:sz w:val="24"/>
        </w:rPr>
        <w:t xml:space="preserve"> report</w:t>
      </w:r>
      <w:r>
        <w:rPr>
          <w:rFonts w:ascii="Times New Roman" w:hAnsi="Times New Roman" w:cs="Times New Roman"/>
          <w:sz w:val="24"/>
        </w:rPr>
        <w:t>s</w:t>
      </w:r>
      <w:r w:rsidR="00512A94" w:rsidRPr="00512A94">
        <w:rPr>
          <w:rFonts w:ascii="Times New Roman" w:hAnsi="Times New Roman" w:cs="Times New Roman"/>
          <w:sz w:val="24"/>
        </w:rPr>
        <w:t xml:space="preserve">.  </w:t>
      </w:r>
    </w:p>
    <w:p w:rsidR="007F596E" w:rsidRPr="009B6AA6" w:rsidRDefault="007F596E" w:rsidP="007F596E">
      <w:pPr>
        <w:pStyle w:val="ListParagraph"/>
        <w:spacing w:after="0"/>
        <w:ind w:left="1080"/>
        <w:rPr>
          <w:rFonts w:ascii="Times New Roman" w:hAnsi="Times New Roman" w:cs="Times New Roman"/>
        </w:rPr>
      </w:pPr>
    </w:p>
    <w:p w:rsidR="0087112B" w:rsidRDefault="0087112B" w:rsidP="00910474">
      <w:pPr>
        <w:spacing w:after="0" w:line="240" w:lineRule="auto"/>
        <w:rPr>
          <w:rFonts w:ascii="Times New Roman" w:hAnsi="Times New Roman" w:cs="Times New Roman"/>
          <w:b/>
          <w:sz w:val="24"/>
        </w:rPr>
      </w:pPr>
      <w:r>
        <w:rPr>
          <w:rFonts w:ascii="Times New Roman" w:hAnsi="Times New Roman" w:cs="Times New Roman"/>
          <w:b/>
          <w:sz w:val="24"/>
        </w:rPr>
        <w:t xml:space="preserve">Operations Task Force Report </w:t>
      </w:r>
    </w:p>
    <w:p w:rsidR="00512A94" w:rsidRPr="00512A94" w:rsidRDefault="00512A94" w:rsidP="00512A94">
      <w:pPr>
        <w:pStyle w:val="ListParagraph"/>
        <w:numPr>
          <w:ilvl w:val="0"/>
          <w:numId w:val="38"/>
        </w:numPr>
        <w:spacing w:after="0"/>
        <w:rPr>
          <w:rFonts w:ascii="Times New Roman" w:hAnsi="Times New Roman" w:cs="Times New Roman"/>
          <w:sz w:val="24"/>
        </w:rPr>
      </w:pPr>
      <w:r w:rsidRPr="00512A94">
        <w:rPr>
          <w:rFonts w:ascii="Times New Roman" w:hAnsi="Times New Roman" w:cs="Times New Roman"/>
          <w:sz w:val="24"/>
        </w:rPr>
        <w:t>No items on this month’s agenda.</w:t>
      </w:r>
    </w:p>
    <w:p w:rsidR="00104A89" w:rsidRPr="00DF64DC" w:rsidRDefault="00104A89" w:rsidP="00C61410">
      <w:pPr>
        <w:spacing w:after="0"/>
        <w:rPr>
          <w:rFonts w:ascii="Times New Roman" w:hAnsi="Times New Roman" w:cs="Times New Roman"/>
          <w:sz w:val="24"/>
        </w:rPr>
      </w:pPr>
    </w:p>
    <w:p w:rsidR="00655E7C" w:rsidRDefault="006350A2" w:rsidP="00C61410">
      <w:pPr>
        <w:spacing w:after="0"/>
        <w:rPr>
          <w:rFonts w:ascii="Times New Roman" w:hAnsi="Times New Roman" w:cs="Times New Roman"/>
          <w:b/>
        </w:rPr>
      </w:pPr>
      <w:r w:rsidRPr="006350A2">
        <w:rPr>
          <w:rFonts w:ascii="Times New Roman" w:hAnsi="Times New Roman" w:cs="Times New Roman"/>
          <w:b/>
        </w:rPr>
        <w:t>Seminar Task Force Report</w:t>
      </w:r>
    </w:p>
    <w:p w:rsidR="00104A89" w:rsidRDefault="007F596E" w:rsidP="0006223D">
      <w:pPr>
        <w:pStyle w:val="ListParagraph"/>
        <w:numPr>
          <w:ilvl w:val="0"/>
          <w:numId w:val="38"/>
        </w:numPr>
        <w:spacing w:after="0"/>
        <w:rPr>
          <w:rFonts w:ascii="Times New Roman" w:hAnsi="Times New Roman" w:cs="Times New Roman"/>
          <w:b/>
          <w:sz w:val="24"/>
        </w:rPr>
      </w:pPr>
      <w:r w:rsidRPr="007F596E">
        <w:rPr>
          <w:rFonts w:ascii="Times New Roman" w:hAnsi="Times New Roman" w:cs="Times New Roman"/>
          <w:sz w:val="24"/>
        </w:rPr>
        <w:t xml:space="preserve">OTS dry run starts today. </w:t>
      </w:r>
      <w:r w:rsidRPr="007F596E">
        <w:rPr>
          <w:rFonts w:ascii="Times New Roman" w:hAnsi="Times New Roman" w:cs="Times New Roman"/>
          <w:b/>
          <w:sz w:val="24"/>
        </w:rPr>
        <w:t>No other items reported.</w:t>
      </w:r>
    </w:p>
    <w:p w:rsidR="0006223D" w:rsidRPr="00AD65B2" w:rsidRDefault="0006223D" w:rsidP="00104A89">
      <w:pPr>
        <w:pStyle w:val="ListParagraph"/>
        <w:spacing w:after="0"/>
        <w:ind w:left="1080"/>
        <w:rPr>
          <w:rFonts w:ascii="Times New Roman" w:hAnsi="Times New Roman" w:cs="Times New Roman"/>
        </w:rPr>
      </w:pPr>
    </w:p>
    <w:p w:rsidR="008251DB" w:rsidRDefault="00FB0BBC" w:rsidP="006E148A">
      <w:pPr>
        <w:spacing w:after="0"/>
        <w:rPr>
          <w:rFonts w:ascii="Times New Roman" w:hAnsi="Times New Roman" w:cs="Times New Roman"/>
          <w:b/>
          <w:sz w:val="24"/>
        </w:rPr>
      </w:pPr>
      <w:r w:rsidRPr="009B6AA6">
        <w:rPr>
          <w:rFonts w:ascii="Times New Roman" w:hAnsi="Times New Roman" w:cs="Times New Roman"/>
          <w:b/>
          <w:sz w:val="24"/>
        </w:rPr>
        <w:t>T</w:t>
      </w:r>
      <w:r w:rsidR="003D7863">
        <w:rPr>
          <w:rFonts w:ascii="Times New Roman" w:hAnsi="Times New Roman" w:cs="Times New Roman"/>
          <w:b/>
          <w:sz w:val="24"/>
        </w:rPr>
        <w:t xml:space="preserve">exas </w:t>
      </w:r>
      <w:r w:rsidRPr="009B6AA6">
        <w:rPr>
          <w:rFonts w:ascii="Times New Roman" w:hAnsi="Times New Roman" w:cs="Times New Roman"/>
          <w:b/>
          <w:sz w:val="24"/>
        </w:rPr>
        <w:t>RE Update</w:t>
      </w:r>
      <w:r w:rsidR="008251DB">
        <w:rPr>
          <w:rFonts w:ascii="Times New Roman" w:hAnsi="Times New Roman" w:cs="Times New Roman"/>
          <w:b/>
          <w:sz w:val="24"/>
        </w:rPr>
        <w:t xml:space="preserve"> Report </w:t>
      </w:r>
    </w:p>
    <w:p w:rsidR="00F103F5" w:rsidRPr="000671C0" w:rsidRDefault="008A7E05" w:rsidP="000671C0">
      <w:pPr>
        <w:pStyle w:val="ListParagraph"/>
        <w:numPr>
          <w:ilvl w:val="0"/>
          <w:numId w:val="10"/>
        </w:numPr>
        <w:spacing w:after="0"/>
        <w:rPr>
          <w:rFonts w:ascii="Times New Roman" w:hAnsi="Times New Roman" w:cs="Times New Roman"/>
        </w:rPr>
      </w:pPr>
      <w:r>
        <w:rPr>
          <w:rFonts w:ascii="Times New Roman" w:hAnsi="Times New Roman" w:cs="Times New Roman"/>
        </w:rPr>
        <w:t>No report given.</w:t>
      </w:r>
    </w:p>
    <w:p w:rsidR="000671C0" w:rsidRPr="000671C0" w:rsidRDefault="000671C0" w:rsidP="000671C0">
      <w:pPr>
        <w:pStyle w:val="ListParagraph"/>
        <w:spacing w:after="0"/>
        <w:ind w:left="1080"/>
        <w:rPr>
          <w:rFonts w:ascii="Times New Roman" w:hAnsi="Times New Roman" w:cs="Times New Roman"/>
        </w:rPr>
      </w:pPr>
    </w:p>
    <w:p w:rsidR="00347FA3" w:rsidRDefault="00347FA3" w:rsidP="00347FA3">
      <w:pPr>
        <w:spacing w:after="0"/>
        <w:rPr>
          <w:rFonts w:ascii="Times New Roman" w:hAnsi="Times New Roman" w:cs="Times New Roman"/>
          <w:b/>
          <w:sz w:val="24"/>
        </w:rPr>
      </w:pPr>
      <w:r>
        <w:rPr>
          <w:rFonts w:ascii="Times New Roman" w:hAnsi="Times New Roman" w:cs="Times New Roman"/>
          <w:b/>
          <w:sz w:val="24"/>
        </w:rPr>
        <w:t xml:space="preserve">System Operations Report </w:t>
      </w:r>
    </w:p>
    <w:p w:rsidR="00A5619A" w:rsidRDefault="0006223D" w:rsidP="000671C0">
      <w:pPr>
        <w:pStyle w:val="ListParagraph"/>
        <w:numPr>
          <w:ilvl w:val="0"/>
          <w:numId w:val="34"/>
        </w:numPr>
        <w:spacing w:after="0"/>
        <w:rPr>
          <w:rFonts w:ascii="Times New Roman" w:hAnsi="Times New Roman" w:cs="Times New Roman"/>
        </w:rPr>
      </w:pPr>
      <w:r>
        <w:rPr>
          <w:rFonts w:ascii="Times New Roman" w:hAnsi="Times New Roman" w:cs="Times New Roman"/>
        </w:rPr>
        <w:t>No report given</w:t>
      </w:r>
      <w:r w:rsidR="000671C0" w:rsidRPr="000671C0">
        <w:rPr>
          <w:rFonts w:ascii="Times New Roman" w:hAnsi="Times New Roman" w:cs="Times New Roman"/>
        </w:rPr>
        <w:t>.</w:t>
      </w:r>
    </w:p>
    <w:p w:rsidR="00D2410D" w:rsidRDefault="00D2410D" w:rsidP="00D2410D">
      <w:pPr>
        <w:pStyle w:val="ListParagraph"/>
        <w:spacing w:after="0"/>
        <w:ind w:left="1080"/>
        <w:rPr>
          <w:rFonts w:ascii="Times New Roman" w:hAnsi="Times New Roman" w:cs="Times New Roman"/>
        </w:rPr>
      </w:pPr>
    </w:p>
    <w:p w:rsidR="00006E8B" w:rsidRDefault="00672302" w:rsidP="00006E8B">
      <w:pPr>
        <w:spacing w:after="0"/>
        <w:rPr>
          <w:rFonts w:ascii="Times New Roman" w:hAnsi="Times New Roman" w:cs="Times New Roman"/>
          <w:b/>
          <w:sz w:val="24"/>
        </w:rPr>
      </w:pPr>
      <w:r w:rsidRPr="009B6AA6">
        <w:rPr>
          <w:rFonts w:ascii="Times New Roman" w:hAnsi="Times New Roman" w:cs="Times New Roman"/>
          <w:b/>
          <w:sz w:val="24"/>
        </w:rPr>
        <w:t xml:space="preserve">Other – </w:t>
      </w:r>
    </w:p>
    <w:p w:rsidR="0006223D" w:rsidRPr="0006223D" w:rsidRDefault="0006223D" w:rsidP="0006223D">
      <w:pPr>
        <w:pStyle w:val="ListParagraph"/>
        <w:numPr>
          <w:ilvl w:val="0"/>
          <w:numId w:val="34"/>
        </w:numPr>
        <w:spacing w:after="0"/>
        <w:rPr>
          <w:rFonts w:ascii="Times New Roman" w:hAnsi="Times New Roman" w:cs="Times New Roman"/>
          <w:b/>
          <w:sz w:val="24"/>
        </w:rPr>
      </w:pPr>
      <w:r w:rsidRPr="0006223D">
        <w:rPr>
          <w:rFonts w:ascii="Times New Roman" w:hAnsi="Times New Roman" w:cs="Times New Roman"/>
          <w:sz w:val="24"/>
        </w:rPr>
        <w:t>At our November OWG meeting Frank requested that ERCOT (Bill Blevins) be at next meeting to discuss oscillation issues in Panhandle.</w:t>
      </w:r>
    </w:p>
    <w:p w:rsidR="0006223D" w:rsidRPr="0006223D" w:rsidRDefault="0006223D" w:rsidP="0006223D">
      <w:pPr>
        <w:pStyle w:val="ListParagraph"/>
        <w:spacing w:after="0"/>
        <w:ind w:left="1080"/>
        <w:rPr>
          <w:rFonts w:ascii="Times New Roman" w:hAnsi="Times New Roman" w:cs="Times New Roman"/>
          <w:b/>
          <w:bCs/>
          <w:sz w:val="24"/>
        </w:rPr>
      </w:pPr>
    </w:p>
    <w:p w:rsidR="00F3409E" w:rsidRDefault="0006223D" w:rsidP="0006223D">
      <w:pPr>
        <w:pStyle w:val="ListParagraph"/>
        <w:numPr>
          <w:ilvl w:val="0"/>
          <w:numId w:val="34"/>
        </w:numPr>
        <w:spacing w:after="0"/>
        <w:rPr>
          <w:rFonts w:ascii="Times New Roman" w:hAnsi="Times New Roman" w:cs="Times New Roman"/>
          <w:b/>
        </w:rPr>
      </w:pPr>
      <w:r w:rsidRPr="0006223D">
        <w:rPr>
          <w:rFonts w:ascii="Times New Roman" w:hAnsi="Times New Roman" w:cs="Times New Roman"/>
          <w:sz w:val="24"/>
        </w:rPr>
        <w:t xml:space="preserve">ERCOT (Stephen Solis) update on Voltage Control Workshop. </w:t>
      </w:r>
      <w:r w:rsidRPr="0006223D">
        <w:rPr>
          <w:rFonts w:ascii="Times New Roman" w:hAnsi="Times New Roman" w:cs="Times New Roman"/>
          <w:b/>
          <w:sz w:val="24"/>
        </w:rPr>
        <w:t>ERCOT (Solis) presented update and answered several questions.</w:t>
      </w:r>
    </w:p>
    <w:p w:rsidR="00F3409E" w:rsidRPr="00EF66B0" w:rsidRDefault="00F3409E" w:rsidP="00EF66B0">
      <w:pPr>
        <w:pStyle w:val="ListParagraph"/>
        <w:spacing w:after="0"/>
        <w:ind w:left="1080"/>
        <w:rPr>
          <w:rFonts w:ascii="Times New Roman" w:hAnsi="Times New Roman" w:cs="Times New Roman"/>
        </w:rPr>
      </w:pPr>
    </w:p>
    <w:p w:rsidR="00364ED7" w:rsidRPr="009B6AA6" w:rsidRDefault="00364ED7" w:rsidP="000F2B8B">
      <w:pPr>
        <w:spacing w:after="0"/>
        <w:rPr>
          <w:rFonts w:ascii="Times New Roman" w:hAnsi="Times New Roman" w:cs="Times New Roman"/>
          <w:b/>
          <w:sz w:val="24"/>
        </w:rPr>
      </w:pPr>
      <w:r w:rsidRPr="009B6AA6">
        <w:rPr>
          <w:rFonts w:ascii="Times New Roman" w:hAnsi="Times New Roman" w:cs="Times New Roman"/>
          <w:b/>
          <w:sz w:val="24"/>
        </w:rPr>
        <w:t xml:space="preserve">Future Meeting Dates – </w:t>
      </w:r>
    </w:p>
    <w:p w:rsidR="007F12A8" w:rsidRPr="00063B20" w:rsidRDefault="0006223D" w:rsidP="0006223D">
      <w:pPr>
        <w:pStyle w:val="ListParagraph"/>
        <w:numPr>
          <w:ilvl w:val="0"/>
          <w:numId w:val="28"/>
        </w:numPr>
        <w:rPr>
          <w:rFonts w:cs="Calibri"/>
        </w:rPr>
      </w:pPr>
      <w:r>
        <w:rPr>
          <w:rFonts w:ascii="Times New Roman" w:hAnsi="Times New Roman" w:cs="Times New Roman"/>
          <w:bCs/>
          <w:sz w:val="24"/>
        </w:rPr>
        <w:t>Thursday</w:t>
      </w:r>
      <w:r w:rsidRPr="0006223D">
        <w:rPr>
          <w:rFonts w:ascii="Times New Roman" w:hAnsi="Times New Roman" w:cs="Times New Roman"/>
          <w:bCs/>
          <w:sz w:val="24"/>
        </w:rPr>
        <w:t xml:space="preserve"> February 19th ERCOT Met Center room 168.</w:t>
      </w:r>
    </w:p>
    <w:p w:rsidR="00063B20" w:rsidRPr="00063B20" w:rsidRDefault="00063B20" w:rsidP="00063B20">
      <w:pPr>
        <w:pStyle w:val="ListParagraph"/>
        <w:ind w:left="1080"/>
        <w:rPr>
          <w:rFonts w:cs="Calibri"/>
        </w:rPr>
      </w:pPr>
    </w:p>
    <w:p w:rsidR="00063B20" w:rsidRPr="00795470" w:rsidRDefault="00063B20" w:rsidP="00EA6EA7">
      <w:pPr>
        <w:pStyle w:val="ListParagraph"/>
        <w:ind w:left="1080"/>
        <w:rPr>
          <w:rFonts w:ascii="Times New Roman" w:hAnsi="Times New Roman" w:cs="Times New Roman"/>
          <w:bCs/>
          <w:sz w:val="24"/>
        </w:rPr>
      </w:pPr>
    </w:p>
    <w:sectPr w:rsidR="00063B20" w:rsidRPr="00795470" w:rsidSect="00CE22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B0" w:rsidRDefault="00EF66B0" w:rsidP="00EF66B0">
      <w:pPr>
        <w:spacing w:after="0" w:line="240" w:lineRule="auto"/>
      </w:pPr>
      <w:r>
        <w:separator/>
      </w:r>
    </w:p>
  </w:endnote>
  <w:endnote w:type="continuationSeparator" w:id="0">
    <w:p w:rsidR="00EF66B0" w:rsidRDefault="00EF66B0" w:rsidP="00EF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B0" w:rsidRDefault="00EF6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B0" w:rsidRDefault="00EF66B0">
    <w:pPr>
      <w:pStyle w:val="Footer"/>
    </w:pPr>
  </w:p>
  <w:p w:rsidR="00EF66B0" w:rsidRDefault="00EF66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B0" w:rsidRDefault="00EF6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B0" w:rsidRDefault="00EF66B0" w:rsidP="00EF66B0">
      <w:pPr>
        <w:spacing w:after="0" w:line="240" w:lineRule="auto"/>
      </w:pPr>
      <w:r>
        <w:separator/>
      </w:r>
    </w:p>
  </w:footnote>
  <w:footnote w:type="continuationSeparator" w:id="0">
    <w:p w:rsidR="00EF66B0" w:rsidRDefault="00EF66B0" w:rsidP="00EF6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B0" w:rsidRDefault="00EF6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B0" w:rsidRDefault="00EF6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B0" w:rsidRDefault="00EF6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C0"/>
    <w:multiLevelType w:val="hybridMultilevel"/>
    <w:tmpl w:val="92EA8C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DB11A5"/>
    <w:multiLevelType w:val="hybridMultilevel"/>
    <w:tmpl w:val="30C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11CC"/>
    <w:multiLevelType w:val="hybridMultilevel"/>
    <w:tmpl w:val="C37AB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C1DD3"/>
    <w:multiLevelType w:val="hybridMultilevel"/>
    <w:tmpl w:val="B5F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22DF8"/>
    <w:multiLevelType w:val="hybridMultilevel"/>
    <w:tmpl w:val="80B63A14"/>
    <w:lvl w:ilvl="0" w:tplc="8B0A9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80036"/>
    <w:multiLevelType w:val="hybridMultilevel"/>
    <w:tmpl w:val="5A7A52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0F2DA7"/>
    <w:multiLevelType w:val="hybridMultilevel"/>
    <w:tmpl w:val="5A7A52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7158DA"/>
    <w:multiLevelType w:val="hybridMultilevel"/>
    <w:tmpl w:val="F4608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F64793"/>
    <w:multiLevelType w:val="hybridMultilevel"/>
    <w:tmpl w:val="5188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F23AC"/>
    <w:multiLevelType w:val="hybridMultilevel"/>
    <w:tmpl w:val="64F6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13164"/>
    <w:multiLevelType w:val="hybridMultilevel"/>
    <w:tmpl w:val="10A62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F909B0"/>
    <w:multiLevelType w:val="hybridMultilevel"/>
    <w:tmpl w:val="114045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9669B2"/>
    <w:multiLevelType w:val="hybridMultilevel"/>
    <w:tmpl w:val="36E08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FF6120"/>
    <w:multiLevelType w:val="hybridMultilevel"/>
    <w:tmpl w:val="FEC21416"/>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B3AB3"/>
    <w:multiLevelType w:val="hybridMultilevel"/>
    <w:tmpl w:val="31EA6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8E397C"/>
    <w:multiLevelType w:val="hybridMultilevel"/>
    <w:tmpl w:val="F45E5C32"/>
    <w:lvl w:ilvl="0" w:tplc="04090003">
      <w:start w:val="1"/>
      <w:numFmt w:val="bullet"/>
      <w:lvlText w:val="o"/>
      <w:lvlJc w:val="left"/>
      <w:pPr>
        <w:ind w:left="360" w:hanging="360"/>
      </w:pPr>
      <w:rPr>
        <w:rFonts w:ascii="Courier New" w:hAnsi="Courier New" w:cs="Courier New"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E8657C"/>
    <w:multiLevelType w:val="hybridMultilevel"/>
    <w:tmpl w:val="2124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57DA5"/>
    <w:multiLevelType w:val="hybridMultilevel"/>
    <w:tmpl w:val="EC867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CE4EDA"/>
    <w:multiLevelType w:val="hybridMultilevel"/>
    <w:tmpl w:val="1C705B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4E5485"/>
    <w:multiLevelType w:val="hybridMultilevel"/>
    <w:tmpl w:val="0CC8A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464A67"/>
    <w:multiLevelType w:val="hybridMultilevel"/>
    <w:tmpl w:val="124A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5B3495"/>
    <w:multiLevelType w:val="hybridMultilevel"/>
    <w:tmpl w:val="27FE8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83377"/>
    <w:multiLevelType w:val="hybridMultilevel"/>
    <w:tmpl w:val="37B694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1F6301"/>
    <w:multiLevelType w:val="hybridMultilevel"/>
    <w:tmpl w:val="BEA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7F375C"/>
    <w:multiLevelType w:val="hybridMultilevel"/>
    <w:tmpl w:val="F2181410"/>
    <w:lvl w:ilvl="0" w:tplc="B46035FA">
      <w:start w:val="1"/>
      <w:numFmt w:val="decimal"/>
      <w:lvlText w:val="%1."/>
      <w:lvlJc w:val="left"/>
      <w:pPr>
        <w:ind w:left="360" w:hanging="360"/>
      </w:pPr>
      <w:rPr>
        <w:rFonts w:hint="default"/>
        <w:b/>
      </w:rPr>
    </w:lvl>
    <w:lvl w:ilvl="1" w:tplc="1E3655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B714FF"/>
    <w:multiLevelType w:val="hybridMultilevel"/>
    <w:tmpl w:val="7A14D22E"/>
    <w:lvl w:ilvl="0" w:tplc="BB58CAD4">
      <w:start w:val="1"/>
      <w:numFmt w:val="bullet"/>
      <w:lvlText w:val="•"/>
      <w:lvlJc w:val="left"/>
      <w:pPr>
        <w:tabs>
          <w:tab w:val="num" w:pos="720"/>
        </w:tabs>
        <w:ind w:left="720" w:hanging="360"/>
      </w:pPr>
      <w:rPr>
        <w:rFonts w:ascii="Arial" w:hAnsi="Arial" w:hint="default"/>
      </w:rPr>
    </w:lvl>
    <w:lvl w:ilvl="1" w:tplc="CD7A3D10" w:tentative="1">
      <w:start w:val="1"/>
      <w:numFmt w:val="bullet"/>
      <w:lvlText w:val="•"/>
      <w:lvlJc w:val="left"/>
      <w:pPr>
        <w:tabs>
          <w:tab w:val="num" w:pos="1440"/>
        </w:tabs>
        <w:ind w:left="1440" w:hanging="360"/>
      </w:pPr>
      <w:rPr>
        <w:rFonts w:ascii="Arial" w:hAnsi="Arial" w:hint="default"/>
      </w:rPr>
    </w:lvl>
    <w:lvl w:ilvl="2" w:tplc="1DA4804C" w:tentative="1">
      <w:start w:val="1"/>
      <w:numFmt w:val="bullet"/>
      <w:lvlText w:val="•"/>
      <w:lvlJc w:val="left"/>
      <w:pPr>
        <w:tabs>
          <w:tab w:val="num" w:pos="2160"/>
        </w:tabs>
        <w:ind w:left="2160" w:hanging="360"/>
      </w:pPr>
      <w:rPr>
        <w:rFonts w:ascii="Arial" w:hAnsi="Arial" w:hint="default"/>
      </w:rPr>
    </w:lvl>
    <w:lvl w:ilvl="3" w:tplc="466C0E70" w:tentative="1">
      <w:start w:val="1"/>
      <w:numFmt w:val="bullet"/>
      <w:lvlText w:val="•"/>
      <w:lvlJc w:val="left"/>
      <w:pPr>
        <w:tabs>
          <w:tab w:val="num" w:pos="2880"/>
        </w:tabs>
        <w:ind w:left="2880" w:hanging="360"/>
      </w:pPr>
      <w:rPr>
        <w:rFonts w:ascii="Arial" w:hAnsi="Arial" w:hint="default"/>
      </w:rPr>
    </w:lvl>
    <w:lvl w:ilvl="4" w:tplc="2AD0ED86" w:tentative="1">
      <w:start w:val="1"/>
      <w:numFmt w:val="bullet"/>
      <w:lvlText w:val="•"/>
      <w:lvlJc w:val="left"/>
      <w:pPr>
        <w:tabs>
          <w:tab w:val="num" w:pos="3600"/>
        </w:tabs>
        <w:ind w:left="3600" w:hanging="360"/>
      </w:pPr>
      <w:rPr>
        <w:rFonts w:ascii="Arial" w:hAnsi="Arial" w:hint="default"/>
      </w:rPr>
    </w:lvl>
    <w:lvl w:ilvl="5" w:tplc="B0262B28" w:tentative="1">
      <w:start w:val="1"/>
      <w:numFmt w:val="bullet"/>
      <w:lvlText w:val="•"/>
      <w:lvlJc w:val="left"/>
      <w:pPr>
        <w:tabs>
          <w:tab w:val="num" w:pos="4320"/>
        </w:tabs>
        <w:ind w:left="4320" w:hanging="360"/>
      </w:pPr>
      <w:rPr>
        <w:rFonts w:ascii="Arial" w:hAnsi="Arial" w:hint="default"/>
      </w:rPr>
    </w:lvl>
    <w:lvl w:ilvl="6" w:tplc="FAD2CF08" w:tentative="1">
      <w:start w:val="1"/>
      <w:numFmt w:val="bullet"/>
      <w:lvlText w:val="•"/>
      <w:lvlJc w:val="left"/>
      <w:pPr>
        <w:tabs>
          <w:tab w:val="num" w:pos="5040"/>
        </w:tabs>
        <w:ind w:left="5040" w:hanging="360"/>
      </w:pPr>
      <w:rPr>
        <w:rFonts w:ascii="Arial" w:hAnsi="Arial" w:hint="default"/>
      </w:rPr>
    </w:lvl>
    <w:lvl w:ilvl="7" w:tplc="0596B118" w:tentative="1">
      <w:start w:val="1"/>
      <w:numFmt w:val="bullet"/>
      <w:lvlText w:val="•"/>
      <w:lvlJc w:val="left"/>
      <w:pPr>
        <w:tabs>
          <w:tab w:val="num" w:pos="5760"/>
        </w:tabs>
        <w:ind w:left="5760" w:hanging="360"/>
      </w:pPr>
      <w:rPr>
        <w:rFonts w:ascii="Arial" w:hAnsi="Arial" w:hint="default"/>
      </w:rPr>
    </w:lvl>
    <w:lvl w:ilvl="8" w:tplc="776263F2" w:tentative="1">
      <w:start w:val="1"/>
      <w:numFmt w:val="bullet"/>
      <w:lvlText w:val="•"/>
      <w:lvlJc w:val="left"/>
      <w:pPr>
        <w:tabs>
          <w:tab w:val="num" w:pos="6480"/>
        </w:tabs>
        <w:ind w:left="6480" w:hanging="360"/>
      </w:pPr>
      <w:rPr>
        <w:rFonts w:ascii="Arial" w:hAnsi="Arial" w:hint="default"/>
      </w:rPr>
    </w:lvl>
  </w:abstractNum>
  <w:abstractNum w:abstractNumId="26">
    <w:nsid w:val="65400E95"/>
    <w:multiLevelType w:val="multilevel"/>
    <w:tmpl w:val="6D58549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B005A1"/>
    <w:multiLevelType w:val="hybridMultilevel"/>
    <w:tmpl w:val="C9B26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81127"/>
    <w:multiLevelType w:val="hybridMultilevel"/>
    <w:tmpl w:val="5464D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2C3236"/>
    <w:multiLevelType w:val="hybridMultilevel"/>
    <w:tmpl w:val="ADF4FB84"/>
    <w:lvl w:ilvl="0" w:tplc="7D62A7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237B3"/>
    <w:multiLevelType w:val="hybridMultilevel"/>
    <w:tmpl w:val="3A121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65275A"/>
    <w:multiLevelType w:val="hybridMultilevel"/>
    <w:tmpl w:val="D7706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6F4AE3"/>
    <w:multiLevelType w:val="hybridMultilevel"/>
    <w:tmpl w:val="13340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472FA8"/>
    <w:multiLevelType w:val="hybridMultilevel"/>
    <w:tmpl w:val="04C2F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EA1889"/>
    <w:multiLevelType w:val="hybridMultilevel"/>
    <w:tmpl w:val="ED046760"/>
    <w:lvl w:ilvl="0" w:tplc="04090003">
      <w:start w:val="1"/>
      <w:numFmt w:val="bullet"/>
      <w:lvlText w:val="o"/>
      <w:lvlJc w:val="left"/>
      <w:pPr>
        <w:ind w:left="720" w:hanging="360"/>
      </w:pPr>
      <w:rPr>
        <w:rFonts w:ascii="Courier New" w:hAnsi="Courier New" w:cs="Courier New" w:hint="default"/>
        <w:b/>
      </w:rPr>
    </w:lvl>
    <w:lvl w:ilvl="1" w:tplc="0409001B">
      <w:start w:val="1"/>
      <w:numFmt w:val="lowerRoman"/>
      <w:lvlText w:val="%2."/>
      <w:lvlJc w:val="righ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6D5CF3"/>
    <w:multiLevelType w:val="hybridMultilevel"/>
    <w:tmpl w:val="516E4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14"/>
  </w:num>
  <w:num w:numId="4">
    <w:abstractNumId w:val="23"/>
  </w:num>
  <w:num w:numId="5">
    <w:abstractNumId w:val="9"/>
  </w:num>
  <w:num w:numId="6">
    <w:abstractNumId w:val="2"/>
  </w:num>
  <w:num w:numId="7">
    <w:abstractNumId w:val="27"/>
  </w:num>
  <w:num w:numId="8">
    <w:abstractNumId w:val="8"/>
  </w:num>
  <w:num w:numId="9">
    <w:abstractNumId w:val="3"/>
  </w:num>
  <w:num w:numId="10">
    <w:abstractNumId w:val="11"/>
  </w:num>
  <w:num w:numId="11">
    <w:abstractNumId w:val="20"/>
  </w:num>
  <w:num w:numId="12">
    <w:abstractNumId w:val="25"/>
  </w:num>
  <w:num w:numId="13">
    <w:abstractNumId w:val="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6"/>
  </w:num>
  <w:num w:numId="17">
    <w:abstractNumId w:val="27"/>
  </w:num>
  <w:num w:numId="18">
    <w:abstractNumId w:val="22"/>
  </w:num>
  <w:num w:numId="19">
    <w:abstractNumId w:val="13"/>
  </w:num>
  <w:num w:numId="20">
    <w:abstractNumId w:val="24"/>
  </w:num>
  <w:num w:numId="21">
    <w:abstractNumId w:val="29"/>
  </w:num>
  <w:num w:numId="22">
    <w:abstractNumId w:val="6"/>
  </w:num>
  <w:num w:numId="23">
    <w:abstractNumId w:val="12"/>
  </w:num>
  <w:num w:numId="24">
    <w:abstractNumId w:val="18"/>
  </w:num>
  <w:num w:numId="25">
    <w:abstractNumId w:val="10"/>
  </w:num>
  <w:num w:numId="26">
    <w:abstractNumId w:val="34"/>
  </w:num>
  <w:num w:numId="27">
    <w:abstractNumId w:val="15"/>
  </w:num>
  <w:num w:numId="28">
    <w:abstractNumId w:val="19"/>
  </w:num>
  <w:num w:numId="29">
    <w:abstractNumId w:val="16"/>
  </w:num>
  <w:num w:numId="30">
    <w:abstractNumId w:val="30"/>
  </w:num>
  <w:num w:numId="31">
    <w:abstractNumId w:val="33"/>
  </w:num>
  <w:num w:numId="32">
    <w:abstractNumId w:val="17"/>
  </w:num>
  <w:num w:numId="33">
    <w:abstractNumId w:val="7"/>
  </w:num>
  <w:num w:numId="34">
    <w:abstractNumId w:val="0"/>
  </w:num>
  <w:num w:numId="35">
    <w:abstractNumId w:val="5"/>
  </w:num>
  <w:num w:numId="36">
    <w:abstractNumId w:val="1"/>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8C"/>
    <w:rsid w:val="000030AD"/>
    <w:rsid w:val="000045DB"/>
    <w:rsid w:val="00006E8B"/>
    <w:rsid w:val="000073AC"/>
    <w:rsid w:val="00013694"/>
    <w:rsid w:val="00027251"/>
    <w:rsid w:val="00045AFB"/>
    <w:rsid w:val="0006223D"/>
    <w:rsid w:val="00063B20"/>
    <w:rsid w:val="00065AD5"/>
    <w:rsid w:val="0006701A"/>
    <w:rsid w:val="000671C0"/>
    <w:rsid w:val="000704FA"/>
    <w:rsid w:val="0009112E"/>
    <w:rsid w:val="00096811"/>
    <w:rsid w:val="000B118E"/>
    <w:rsid w:val="000B3FF4"/>
    <w:rsid w:val="000C393F"/>
    <w:rsid w:val="000D191E"/>
    <w:rsid w:val="000E532A"/>
    <w:rsid w:val="000F2B8B"/>
    <w:rsid w:val="000F5DF9"/>
    <w:rsid w:val="001020AB"/>
    <w:rsid w:val="00104A89"/>
    <w:rsid w:val="00127C45"/>
    <w:rsid w:val="001300F3"/>
    <w:rsid w:val="001316EC"/>
    <w:rsid w:val="001401BB"/>
    <w:rsid w:val="0016147B"/>
    <w:rsid w:val="00163AC6"/>
    <w:rsid w:val="00165E52"/>
    <w:rsid w:val="00177504"/>
    <w:rsid w:val="00186411"/>
    <w:rsid w:val="001D6CCA"/>
    <w:rsid w:val="001E353E"/>
    <w:rsid w:val="001F34C9"/>
    <w:rsid w:val="00220365"/>
    <w:rsid w:val="00256EDE"/>
    <w:rsid w:val="00257D1A"/>
    <w:rsid w:val="00263CEA"/>
    <w:rsid w:val="00270734"/>
    <w:rsid w:val="002A23C9"/>
    <w:rsid w:val="002A4A9E"/>
    <w:rsid w:val="002B0CC9"/>
    <w:rsid w:val="002C200C"/>
    <w:rsid w:val="002C7D6A"/>
    <w:rsid w:val="002D07E0"/>
    <w:rsid w:val="002E0064"/>
    <w:rsid w:val="002E06C9"/>
    <w:rsid w:val="00301F0C"/>
    <w:rsid w:val="00302334"/>
    <w:rsid w:val="00310926"/>
    <w:rsid w:val="00325264"/>
    <w:rsid w:val="003277EF"/>
    <w:rsid w:val="00331489"/>
    <w:rsid w:val="00332881"/>
    <w:rsid w:val="00341694"/>
    <w:rsid w:val="00347FA3"/>
    <w:rsid w:val="003600B6"/>
    <w:rsid w:val="00364ED7"/>
    <w:rsid w:val="00370EC3"/>
    <w:rsid w:val="00383A57"/>
    <w:rsid w:val="003966CC"/>
    <w:rsid w:val="00396E23"/>
    <w:rsid w:val="003A24BE"/>
    <w:rsid w:val="003A3691"/>
    <w:rsid w:val="003B2C22"/>
    <w:rsid w:val="003C7453"/>
    <w:rsid w:val="003D516B"/>
    <w:rsid w:val="003D5246"/>
    <w:rsid w:val="003D7863"/>
    <w:rsid w:val="003E3FA9"/>
    <w:rsid w:val="003F08E7"/>
    <w:rsid w:val="003F0D24"/>
    <w:rsid w:val="00400BC7"/>
    <w:rsid w:val="00406085"/>
    <w:rsid w:val="00411736"/>
    <w:rsid w:val="004308AD"/>
    <w:rsid w:val="0043403B"/>
    <w:rsid w:val="00435944"/>
    <w:rsid w:val="00435A03"/>
    <w:rsid w:val="004419B7"/>
    <w:rsid w:val="00447403"/>
    <w:rsid w:val="00452DAE"/>
    <w:rsid w:val="00462E30"/>
    <w:rsid w:val="004666B1"/>
    <w:rsid w:val="00471E94"/>
    <w:rsid w:val="0047273C"/>
    <w:rsid w:val="00480209"/>
    <w:rsid w:val="004805AC"/>
    <w:rsid w:val="0048327C"/>
    <w:rsid w:val="00485E20"/>
    <w:rsid w:val="00490EA6"/>
    <w:rsid w:val="004A1D02"/>
    <w:rsid w:val="004A2211"/>
    <w:rsid w:val="004A571E"/>
    <w:rsid w:val="004B3967"/>
    <w:rsid w:val="004D3740"/>
    <w:rsid w:val="004D4934"/>
    <w:rsid w:val="004D5166"/>
    <w:rsid w:val="004E092A"/>
    <w:rsid w:val="004E1087"/>
    <w:rsid w:val="004E1642"/>
    <w:rsid w:val="004E39E2"/>
    <w:rsid w:val="004E6C24"/>
    <w:rsid w:val="004F1D7B"/>
    <w:rsid w:val="00504A51"/>
    <w:rsid w:val="00512A94"/>
    <w:rsid w:val="00513F5C"/>
    <w:rsid w:val="005178A8"/>
    <w:rsid w:val="00521C01"/>
    <w:rsid w:val="00527D2D"/>
    <w:rsid w:val="0053172D"/>
    <w:rsid w:val="00532610"/>
    <w:rsid w:val="005335DA"/>
    <w:rsid w:val="00540535"/>
    <w:rsid w:val="00541DA5"/>
    <w:rsid w:val="00542F30"/>
    <w:rsid w:val="00567D9B"/>
    <w:rsid w:val="00571107"/>
    <w:rsid w:val="00583676"/>
    <w:rsid w:val="00590BB0"/>
    <w:rsid w:val="00592401"/>
    <w:rsid w:val="005A2E40"/>
    <w:rsid w:val="005A4A3C"/>
    <w:rsid w:val="005B11F6"/>
    <w:rsid w:val="005B14A9"/>
    <w:rsid w:val="005D15AC"/>
    <w:rsid w:val="005F2520"/>
    <w:rsid w:val="00606352"/>
    <w:rsid w:val="00606E4D"/>
    <w:rsid w:val="006073D2"/>
    <w:rsid w:val="00610EEE"/>
    <w:rsid w:val="00615C41"/>
    <w:rsid w:val="00621007"/>
    <w:rsid w:val="006350A2"/>
    <w:rsid w:val="00637621"/>
    <w:rsid w:val="00655E7C"/>
    <w:rsid w:val="00655F35"/>
    <w:rsid w:val="006566B4"/>
    <w:rsid w:val="00662858"/>
    <w:rsid w:val="00672302"/>
    <w:rsid w:val="00675E3E"/>
    <w:rsid w:val="00693A65"/>
    <w:rsid w:val="006A48A1"/>
    <w:rsid w:val="006B2C72"/>
    <w:rsid w:val="006C3006"/>
    <w:rsid w:val="006C45FD"/>
    <w:rsid w:val="006D6B2F"/>
    <w:rsid w:val="006D7ADC"/>
    <w:rsid w:val="006E148A"/>
    <w:rsid w:val="006E32B0"/>
    <w:rsid w:val="006E6E77"/>
    <w:rsid w:val="007173AE"/>
    <w:rsid w:val="00725AFB"/>
    <w:rsid w:val="0072766A"/>
    <w:rsid w:val="00734478"/>
    <w:rsid w:val="00734CA7"/>
    <w:rsid w:val="00740557"/>
    <w:rsid w:val="00740FF4"/>
    <w:rsid w:val="0078554C"/>
    <w:rsid w:val="00791A0B"/>
    <w:rsid w:val="00795470"/>
    <w:rsid w:val="007A1852"/>
    <w:rsid w:val="007A4B0F"/>
    <w:rsid w:val="007B1481"/>
    <w:rsid w:val="007B6F4B"/>
    <w:rsid w:val="007C2415"/>
    <w:rsid w:val="007C6C5F"/>
    <w:rsid w:val="007D181D"/>
    <w:rsid w:val="007D1DD3"/>
    <w:rsid w:val="007E2D2D"/>
    <w:rsid w:val="007E7254"/>
    <w:rsid w:val="007E783C"/>
    <w:rsid w:val="007F05A4"/>
    <w:rsid w:val="007F12A8"/>
    <w:rsid w:val="007F596E"/>
    <w:rsid w:val="00802C8A"/>
    <w:rsid w:val="00804146"/>
    <w:rsid w:val="00812757"/>
    <w:rsid w:val="008251DB"/>
    <w:rsid w:val="008317DF"/>
    <w:rsid w:val="00834E79"/>
    <w:rsid w:val="00836DCA"/>
    <w:rsid w:val="008543AC"/>
    <w:rsid w:val="0086111A"/>
    <w:rsid w:val="00863836"/>
    <w:rsid w:val="0086459D"/>
    <w:rsid w:val="0087112B"/>
    <w:rsid w:val="00884B84"/>
    <w:rsid w:val="008A2DEB"/>
    <w:rsid w:val="008A35AA"/>
    <w:rsid w:val="008A7E05"/>
    <w:rsid w:val="008B4377"/>
    <w:rsid w:val="008B7149"/>
    <w:rsid w:val="008D27F6"/>
    <w:rsid w:val="008D4E27"/>
    <w:rsid w:val="008D4F78"/>
    <w:rsid w:val="008E5A3D"/>
    <w:rsid w:val="00902B74"/>
    <w:rsid w:val="00902E75"/>
    <w:rsid w:val="00904754"/>
    <w:rsid w:val="00906AC8"/>
    <w:rsid w:val="00910474"/>
    <w:rsid w:val="00914FA4"/>
    <w:rsid w:val="00956025"/>
    <w:rsid w:val="00960EB9"/>
    <w:rsid w:val="00966C2B"/>
    <w:rsid w:val="009671A6"/>
    <w:rsid w:val="00982C37"/>
    <w:rsid w:val="009842EB"/>
    <w:rsid w:val="0098702E"/>
    <w:rsid w:val="00992EBA"/>
    <w:rsid w:val="009B0C33"/>
    <w:rsid w:val="009B232B"/>
    <w:rsid w:val="009B2471"/>
    <w:rsid w:val="009B6AA6"/>
    <w:rsid w:val="009D208C"/>
    <w:rsid w:val="009D3D99"/>
    <w:rsid w:val="009D6052"/>
    <w:rsid w:val="009E3116"/>
    <w:rsid w:val="009E57FD"/>
    <w:rsid w:val="00A0788C"/>
    <w:rsid w:val="00A16300"/>
    <w:rsid w:val="00A31CDC"/>
    <w:rsid w:val="00A35D8B"/>
    <w:rsid w:val="00A36E51"/>
    <w:rsid w:val="00A41FB0"/>
    <w:rsid w:val="00A4207F"/>
    <w:rsid w:val="00A5083E"/>
    <w:rsid w:val="00A5128D"/>
    <w:rsid w:val="00A5619A"/>
    <w:rsid w:val="00A61108"/>
    <w:rsid w:val="00A64492"/>
    <w:rsid w:val="00A87BB0"/>
    <w:rsid w:val="00A90817"/>
    <w:rsid w:val="00AA04D0"/>
    <w:rsid w:val="00AA0E8A"/>
    <w:rsid w:val="00AA12E4"/>
    <w:rsid w:val="00AB0D6A"/>
    <w:rsid w:val="00AB4E52"/>
    <w:rsid w:val="00AC05C3"/>
    <w:rsid w:val="00AC57E7"/>
    <w:rsid w:val="00AC7B9F"/>
    <w:rsid w:val="00AD180D"/>
    <w:rsid w:val="00AD65B2"/>
    <w:rsid w:val="00AD6BDE"/>
    <w:rsid w:val="00AE2BCE"/>
    <w:rsid w:val="00AF4DA6"/>
    <w:rsid w:val="00AF6BFC"/>
    <w:rsid w:val="00AF711E"/>
    <w:rsid w:val="00B01D88"/>
    <w:rsid w:val="00B052BE"/>
    <w:rsid w:val="00B10CA5"/>
    <w:rsid w:val="00B1501A"/>
    <w:rsid w:val="00B248F7"/>
    <w:rsid w:val="00B25573"/>
    <w:rsid w:val="00B26430"/>
    <w:rsid w:val="00B3067B"/>
    <w:rsid w:val="00B32C21"/>
    <w:rsid w:val="00B33277"/>
    <w:rsid w:val="00B47021"/>
    <w:rsid w:val="00B52FEA"/>
    <w:rsid w:val="00B61E55"/>
    <w:rsid w:val="00B62A0A"/>
    <w:rsid w:val="00B62AF1"/>
    <w:rsid w:val="00B648B1"/>
    <w:rsid w:val="00B66BCE"/>
    <w:rsid w:val="00B70617"/>
    <w:rsid w:val="00B86D5C"/>
    <w:rsid w:val="00BA3F5E"/>
    <w:rsid w:val="00BC3EC5"/>
    <w:rsid w:val="00BD145D"/>
    <w:rsid w:val="00BD3F7D"/>
    <w:rsid w:val="00BD442C"/>
    <w:rsid w:val="00BE016D"/>
    <w:rsid w:val="00BE26DA"/>
    <w:rsid w:val="00BF17E4"/>
    <w:rsid w:val="00C14DF3"/>
    <w:rsid w:val="00C14F61"/>
    <w:rsid w:val="00C23097"/>
    <w:rsid w:val="00C276F4"/>
    <w:rsid w:val="00C37408"/>
    <w:rsid w:val="00C46AA0"/>
    <w:rsid w:val="00C57360"/>
    <w:rsid w:val="00C609A4"/>
    <w:rsid w:val="00C61410"/>
    <w:rsid w:val="00C63FD8"/>
    <w:rsid w:val="00C7085D"/>
    <w:rsid w:val="00C7365B"/>
    <w:rsid w:val="00C802BB"/>
    <w:rsid w:val="00C925C6"/>
    <w:rsid w:val="00C9668B"/>
    <w:rsid w:val="00CA3A65"/>
    <w:rsid w:val="00CA487E"/>
    <w:rsid w:val="00CD2EFF"/>
    <w:rsid w:val="00CE2266"/>
    <w:rsid w:val="00CE2E3E"/>
    <w:rsid w:val="00CF22F6"/>
    <w:rsid w:val="00D0006E"/>
    <w:rsid w:val="00D008AA"/>
    <w:rsid w:val="00D07C8F"/>
    <w:rsid w:val="00D11489"/>
    <w:rsid w:val="00D1227C"/>
    <w:rsid w:val="00D207D6"/>
    <w:rsid w:val="00D229AE"/>
    <w:rsid w:val="00D2410D"/>
    <w:rsid w:val="00D51E3F"/>
    <w:rsid w:val="00D540B2"/>
    <w:rsid w:val="00D57471"/>
    <w:rsid w:val="00D63E5E"/>
    <w:rsid w:val="00D94ABD"/>
    <w:rsid w:val="00DA136F"/>
    <w:rsid w:val="00DB285C"/>
    <w:rsid w:val="00DB4A8A"/>
    <w:rsid w:val="00DC08A7"/>
    <w:rsid w:val="00DC19BA"/>
    <w:rsid w:val="00DC685A"/>
    <w:rsid w:val="00DC7520"/>
    <w:rsid w:val="00DE221D"/>
    <w:rsid w:val="00DF3D5F"/>
    <w:rsid w:val="00DF64DC"/>
    <w:rsid w:val="00DF69FA"/>
    <w:rsid w:val="00DF6B58"/>
    <w:rsid w:val="00E140EF"/>
    <w:rsid w:val="00E30BFB"/>
    <w:rsid w:val="00E3174F"/>
    <w:rsid w:val="00E53719"/>
    <w:rsid w:val="00E54337"/>
    <w:rsid w:val="00E573DB"/>
    <w:rsid w:val="00E6058A"/>
    <w:rsid w:val="00E6359E"/>
    <w:rsid w:val="00E65BFD"/>
    <w:rsid w:val="00E850B4"/>
    <w:rsid w:val="00EA6EA7"/>
    <w:rsid w:val="00EB3317"/>
    <w:rsid w:val="00ED2C5D"/>
    <w:rsid w:val="00EE2055"/>
    <w:rsid w:val="00EE6C8A"/>
    <w:rsid w:val="00EF66B0"/>
    <w:rsid w:val="00F05CF9"/>
    <w:rsid w:val="00F103F5"/>
    <w:rsid w:val="00F12322"/>
    <w:rsid w:val="00F15C5B"/>
    <w:rsid w:val="00F15D1D"/>
    <w:rsid w:val="00F3274F"/>
    <w:rsid w:val="00F3409E"/>
    <w:rsid w:val="00F61369"/>
    <w:rsid w:val="00F624F4"/>
    <w:rsid w:val="00F66950"/>
    <w:rsid w:val="00F677FC"/>
    <w:rsid w:val="00F73C69"/>
    <w:rsid w:val="00F81811"/>
    <w:rsid w:val="00F83EC9"/>
    <w:rsid w:val="00F926A6"/>
    <w:rsid w:val="00FB0BBC"/>
    <w:rsid w:val="00FB0D09"/>
    <w:rsid w:val="00FB2276"/>
    <w:rsid w:val="00FB572B"/>
    <w:rsid w:val="00FC25F5"/>
    <w:rsid w:val="00FC5F97"/>
    <w:rsid w:val="00FD20DE"/>
    <w:rsid w:val="00FF0BD2"/>
    <w:rsid w:val="00FF4593"/>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2B8B"/>
    <w:pPr>
      <w:ind w:left="720"/>
      <w:contextualSpacing/>
    </w:pPr>
  </w:style>
  <w:style w:type="paragraph" w:styleId="BalloonText">
    <w:name w:val="Balloon Text"/>
    <w:basedOn w:val="Normal"/>
    <w:link w:val="BalloonTextChar"/>
    <w:uiPriority w:val="99"/>
    <w:semiHidden/>
    <w:unhideWhenUsed/>
    <w:rsid w:val="00AC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9F"/>
    <w:rPr>
      <w:rFonts w:ascii="Tahoma" w:hAnsi="Tahoma" w:cs="Tahoma"/>
      <w:sz w:val="16"/>
      <w:szCs w:val="16"/>
    </w:rPr>
  </w:style>
  <w:style w:type="paragraph" w:styleId="NormalWeb">
    <w:name w:val="Normal (Web)"/>
    <w:basedOn w:val="Normal"/>
    <w:uiPriority w:val="99"/>
    <w:semiHidden/>
    <w:unhideWhenUsed/>
    <w:rsid w:val="00A5128D"/>
    <w:rPr>
      <w:rFonts w:ascii="Times New Roman" w:hAnsi="Times New Roman" w:cs="Times New Roman"/>
      <w:sz w:val="24"/>
      <w:szCs w:val="24"/>
    </w:rPr>
  </w:style>
  <w:style w:type="paragraph" w:styleId="Header">
    <w:name w:val="header"/>
    <w:basedOn w:val="Normal"/>
    <w:link w:val="HeaderChar"/>
    <w:uiPriority w:val="99"/>
    <w:unhideWhenUsed/>
    <w:rsid w:val="00EF6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6B0"/>
  </w:style>
  <w:style w:type="paragraph" w:styleId="Footer">
    <w:name w:val="footer"/>
    <w:basedOn w:val="Normal"/>
    <w:link w:val="FooterChar"/>
    <w:uiPriority w:val="99"/>
    <w:unhideWhenUsed/>
    <w:rsid w:val="00EF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2B8B"/>
    <w:pPr>
      <w:ind w:left="720"/>
      <w:contextualSpacing/>
    </w:pPr>
  </w:style>
  <w:style w:type="paragraph" w:styleId="BalloonText">
    <w:name w:val="Balloon Text"/>
    <w:basedOn w:val="Normal"/>
    <w:link w:val="BalloonTextChar"/>
    <w:uiPriority w:val="99"/>
    <w:semiHidden/>
    <w:unhideWhenUsed/>
    <w:rsid w:val="00AC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9F"/>
    <w:rPr>
      <w:rFonts w:ascii="Tahoma" w:hAnsi="Tahoma" w:cs="Tahoma"/>
      <w:sz w:val="16"/>
      <w:szCs w:val="16"/>
    </w:rPr>
  </w:style>
  <w:style w:type="paragraph" w:styleId="NormalWeb">
    <w:name w:val="Normal (Web)"/>
    <w:basedOn w:val="Normal"/>
    <w:uiPriority w:val="99"/>
    <w:semiHidden/>
    <w:unhideWhenUsed/>
    <w:rsid w:val="00A5128D"/>
    <w:rPr>
      <w:rFonts w:ascii="Times New Roman" w:hAnsi="Times New Roman" w:cs="Times New Roman"/>
      <w:sz w:val="24"/>
      <w:szCs w:val="24"/>
    </w:rPr>
  </w:style>
  <w:style w:type="paragraph" w:styleId="Header">
    <w:name w:val="header"/>
    <w:basedOn w:val="Normal"/>
    <w:link w:val="HeaderChar"/>
    <w:uiPriority w:val="99"/>
    <w:unhideWhenUsed/>
    <w:rsid w:val="00EF6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6B0"/>
  </w:style>
  <w:style w:type="paragraph" w:styleId="Footer">
    <w:name w:val="footer"/>
    <w:basedOn w:val="Normal"/>
    <w:link w:val="FooterChar"/>
    <w:uiPriority w:val="99"/>
    <w:unhideWhenUsed/>
    <w:rsid w:val="00EF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220">
      <w:bodyDiv w:val="1"/>
      <w:marLeft w:val="0"/>
      <w:marRight w:val="0"/>
      <w:marTop w:val="0"/>
      <w:marBottom w:val="0"/>
      <w:divBdr>
        <w:top w:val="none" w:sz="0" w:space="0" w:color="auto"/>
        <w:left w:val="none" w:sz="0" w:space="0" w:color="auto"/>
        <w:bottom w:val="none" w:sz="0" w:space="0" w:color="auto"/>
        <w:right w:val="none" w:sz="0" w:space="0" w:color="auto"/>
      </w:divBdr>
      <w:divsChild>
        <w:div w:id="2137094509">
          <w:marLeft w:val="0"/>
          <w:marRight w:val="0"/>
          <w:marTop w:val="0"/>
          <w:marBottom w:val="0"/>
          <w:divBdr>
            <w:top w:val="none" w:sz="0" w:space="0" w:color="auto"/>
            <w:left w:val="none" w:sz="0" w:space="0" w:color="auto"/>
            <w:bottom w:val="none" w:sz="0" w:space="0" w:color="auto"/>
            <w:right w:val="none" w:sz="0" w:space="0" w:color="auto"/>
          </w:divBdr>
          <w:divsChild>
            <w:div w:id="2070111506">
              <w:marLeft w:val="0"/>
              <w:marRight w:val="0"/>
              <w:marTop w:val="0"/>
              <w:marBottom w:val="0"/>
              <w:divBdr>
                <w:top w:val="none" w:sz="0" w:space="0" w:color="auto"/>
                <w:left w:val="none" w:sz="0" w:space="0" w:color="auto"/>
                <w:bottom w:val="none" w:sz="0" w:space="0" w:color="auto"/>
                <w:right w:val="none" w:sz="0" w:space="0" w:color="auto"/>
              </w:divBdr>
              <w:divsChild>
                <w:div w:id="142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4118">
      <w:bodyDiv w:val="1"/>
      <w:marLeft w:val="0"/>
      <w:marRight w:val="0"/>
      <w:marTop w:val="0"/>
      <w:marBottom w:val="0"/>
      <w:divBdr>
        <w:top w:val="none" w:sz="0" w:space="0" w:color="auto"/>
        <w:left w:val="none" w:sz="0" w:space="0" w:color="auto"/>
        <w:bottom w:val="none" w:sz="0" w:space="0" w:color="auto"/>
        <w:right w:val="none" w:sz="0" w:space="0" w:color="auto"/>
      </w:divBdr>
      <w:divsChild>
        <w:div w:id="2003578663">
          <w:marLeft w:val="547"/>
          <w:marRight w:val="0"/>
          <w:marTop w:val="91"/>
          <w:marBottom w:val="0"/>
          <w:divBdr>
            <w:top w:val="none" w:sz="0" w:space="0" w:color="auto"/>
            <w:left w:val="none" w:sz="0" w:space="0" w:color="auto"/>
            <w:bottom w:val="none" w:sz="0" w:space="0" w:color="auto"/>
            <w:right w:val="none" w:sz="0" w:space="0" w:color="auto"/>
          </w:divBdr>
        </w:div>
        <w:div w:id="1321538111">
          <w:marLeft w:val="547"/>
          <w:marRight w:val="0"/>
          <w:marTop w:val="91"/>
          <w:marBottom w:val="0"/>
          <w:divBdr>
            <w:top w:val="none" w:sz="0" w:space="0" w:color="auto"/>
            <w:left w:val="none" w:sz="0" w:space="0" w:color="auto"/>
            <w:bottom w:val="none" w:sz="0" w:space="0" w:color="auto"/>
            <w:right w:val="none" w:sz="0" w:space="0" w:color="auto"/>
          </w:divBdr>
        </w:div>
        <w:div w:id="664089412">
          <w:marLeft w:val="547"/>
          <w:marRight w:val="0"/>
          <w:marTop w:val="91"/>
          <w:marBottom w:val="0"/>
          <w:divBdr>
            <w:top w:val="none" w:sz="0" w:space="0" w:color="auto"/>
            <w:left w:val="none" w:sz="0" w:space="0" w:color="auto"/>
            <w:bottom w:val="none" w:sz="0" w:space="0" w:color="auto"/>
            <w:right w:val="none" w:sz="0" w:space="0" w:color="auto"/>
          </w:divBdr>
        </w:div>
        <w:div w:id="1873883848">
          <w:marLeft w:val="547"/>
          <w:marRight w:val="0"/>
          <w:marTop w:val="91"/>
          <w:marBottom w:val="0"/>
          <w:divBdr>
            <w:top w:val="none" w:sz="0" w:space="0" w:color="auto"/>
            <w:left w:val="none" w:sz="0" w:space="0" w:color="auto"/>
            <w:bottom w:val="none" w:sz="0" w:space="0" w:color="auto"/>
            <w:right w:val="none" w:sz="0" w:space="0" w:color="auto"/>
          </w:divBdr>
        </w:div>
        <w:div w:id="1976641394">
          <w:marLeft w:val="547"/>
          <w:marRight w:val="0"/>
          <w:marTop w:val="91"/>
          <w:marBottom w:val="0"/>
          <w:divBdr>
            <w:top w:val="none" w:sz="0" w:space="0" w:color="auto"/>
            <w:left w:val="none" w:sz="0" w:space="0" w:color="auto"/>
            <w:bottom w:val="none" w:sz="0" w:space="0" w:color="auto"/>
            <w:right w:val="none" w:sz="0" w:space="0" w:color="auto"/>
          </w:divBdr>
        </w:div>
        <w:div w:id="1219512429">
          <w:marLeft w:val="547"/>
          <w:marRight w:val="0"/>
          <w:marTop w:val="91"/>
          <w:marBottom w:val="0"/>
          <w:divBdr>
            <w:top w:val="none" w:sz="0" w:space="0" w:color="auto"/>
            <w:left w:val="none" w:sz="0" w:space="0" w:color="auto"/>
            <w:bottom w:val="none" w:sz="0" w:space="0" w:color="auto"/>
            <w:right w:val="none" w:sz="0" w:space="0" w:color="auto"/>
          </w:divBdr>
        </w:div>
        <w:div w:id="62727832">
          <w:marLeft w:val="547"/>
          <w:marRight w:val="0"/>
          <w:marTop w:val="91"/>
          <w:marBottom w:val="0"/>
          <w:divBdr>
            <w:top w:val="none" w:sz="0" w:space="0" w:color="auto"/>
            <w:left w:val="none" w:sz="0" w:space="0" w:color="auto"/>
            <w:bottom w:val="none" w:sz="0" w:space="0" w:color="auto"/>
            <w:right w:val="none" w:sz="0" w:space="0" w:color="auto"/>
          </w:divBdr>
        </w:div>
      </w:divsChild>
    </w:div>
    <w:div w:id="1822454944">
      <w:bodyDiv w:val="1"/>
      <w:marLeft w:val="0"/>
      <w:marRight w:val="0"/>
      <w:marTop w:val="0"/>
      <w:marBottom w:val="0"/>
      <w:divBdr>
        <w:top w:val="none" w:sz="0" w:space="0" w:color="auto"/>
        <w:left w:val="none" w:sz="0" w:space="0" w:color="auto"/>
        <w:bottom w:val="none" w:sz="0" w:space="0" w:color="auto"/>
        <w:right w:val="none" w:sz="0" w:space="0" w:color="auto"/>
      </w:divBdr>
      <w:divsChild>
        <w:div w:id="1675573545">
          <w:marLeft w:val="0"/>
          <w:marRight w:val="0"/>
          <w:marTop w:val="0"/>
          <w:marBottom w:val="0"/>
          <w:divBdr>
            <w:top w:val="single" w:sz="2" w:space="0" w:color="FFFFFF"/>
            <w:left w:val="single" w:sz="48" w:space="0" w:color="FCFBF5"/>
            <w:bottom w:val="single" w:sz="2" w:space="0" w:color="FFFFFF"/>
            <w:right w:val="single" w:sz="2" w:space="0" w:color="FFFFFF"/>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1385521681">
                  <w:marLeft w:val="-18"/>
                  <w:marRight w:val="-74"/>
                  <w:marTop w:val="0"/>
                  <w:marBottom w:val="0"/>
                  <w:divBdr>
                    <w:top w:val="none" w:sz="0" w:space="0" w:color="auto"/>
                    <w:left w:val="none" w:sz="0" w:space="0" w:color="auto"/>
                    <w:bottom w:val="none" w:sz="0" w:space="0" w:color="auto"/>
                    <w:right w:val="none" w:sz="0" w:space="0" w:color="auto"/>
                  </w:divBdr>
                  <w:divsChild>
                    <w:div w:id="761990794">
                      <w:marLeft w:val="0"/>
                      <w:marRight w:val="0"/>
                      <w:marTop w:val="0"/>
                      <w:marBottom w:val="0"/>
                      <w:divBdr>
                        <w:top w:val="none" w:sz="0" w:space="0" w:color="auto"/>
                        <w:left w:val="none" w:sz="0" w:space="0" w:color="auto"/>
                        <w:bottom w:val="none" w:sz="0" w:space="0" w:color="auto"/>
                        <w:right w:val="none" w:sz="0" w:space="0" w:color="auto"/>
                      </w:divBdr>
                      <w:divsChild>
                        <w:div w:id="2144689273">
                          <w:marLeft w:val="-138"/>
                          <w:marRight w:val="-138"/>
                          <w:marTop w:val="0"/>
                          <w:marBottom w:val="0"/>
                          <w:divBdr>
                            <w:top w:val="none" w:sz="0" w:space="0" w:color="auto"/>
                            <w:left w:val="none" w:sz="0" w:space="0" w:color="auto"/>
                            <w:bottom w:val="none" w:sz="0" w:space="0" w:color="auto"/>
                            <w:right w:val="none" w:sz="0" w:space="0" w:color="auto"/>
                          </w:divBdr>
                          <w:divsChild>
                            <w:div w:id="16952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8B323-5BCD-46E5-A6AD-CE4F6023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OWG Report February 2012</vt:lpstr>
    </vt:vector>
  </TitlesOfParts>
  <Company>CenterPoint Energy</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OWG Report February 2012</dc:title>
  <dc:creator>Brad Calhoun</dc:creator>
  <cp:lastModifiedBy>LSP</cp:lastModifiedBy>
  <cp:revision>7</cp:revision>
  <dcterms:created xsi:type="dcterms:W3CDTF">2015-01-30T15:09:00Z</dcterms:created>
  <dcterms:modified xsi:type="dcterms:W3CDTF">2015-01-30T22:35:00Z</dcterms:modified>
</cp:coreProperties>
</file>