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9A" w:rsidRDefault="00822C76">
      <w:r>
        <w:rPr>
          <w:noProof/>
        </w:rPr>
        <w:drawing>
          <wp:anchor distT="0" distB="0" distL="114300" distR="114300" simplePos="0" relativeHeight="251682816" behindDoc="1" locked="0" layoutInCell="1" allowOverlap="1" wp14:anchorId="0C11BECD" wp14:editId="03779F60">
            <wp:simplePos x="0" y="0"/>
            <wp:positionH relativeFrom="column">
              <wp:posOffset>-487338</wp:posOffset>
            </wp:positionH>
            <wp:positionV relativeFrom="page">
              <wp:posOffset>220345</wp:posOffset>
            </wp:positionV>
            <wp:extent cx="7335034" cy="71793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cove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5034" cy="7179310"/>
                    </a:xfrm>
                    <a:prstGeom prst="rect">
                      <a:avLst/>
                    </a:prstGeom>
                  </pic:spPr>
                </pic:pic>
              </a:graphicData>
            </a:graphic>
            <wp14:sizeRelH relativeFrom="margin">
              <wp14:pctWidth>0</wp14:pctWidth>
            </wp14:sizeRelH>
            <wp14:sizeRelV relativeFrom="margin">
              <wp14:pctHeight>0</wp14:pctHeight>
            </wp14:sizeRelV>
          </wp:anchor>
        </w:drawing>
      </w:r>
    </w:p>
    <w:p w:rsidR="0078119A" w:rsidRDefault="0078119A"/>
    <w:p w:rsidR="0078119A" w:rsidRDefault="0078119A"/>
    <w:p w:rsidR="0078119A" w:rsidRDefault="0078119A"/>
    <w:p w:rsidR="0078119A" w:rsidRDefault="0078119A"/>
    <w:p w:rsidR="0078119A" w:rsidRDefault="0078119A"/>
    <w:p w:rsidR="0078119A" w:rsidRDefault="0078119A"/>
    <w:p w:rsidR="0078119A" w:rsidRDefault="0078119A"/>
    <w:p w:rsidR="00DC1BFA" w:rsidRDefault="00DC1BFA"/>
    <w:p w:rsidR="00DC1BFA" w:rsidRDefault="00DC1BFA"/>
    <w:p w:rsidR="00DC1BFA" w:rsidRDefault="00DC1BFA"/>
    <w:p w:rsidR="00DC1BFA" w:rsidRDefault="00DC1BFA"/>
    <w:p w:rsidR="00DC1BFA" w:rsidRDefault="00DC1BFA"/>
    <w:p w:rsidR="0078119A" w:rsidRDefault="0078119A"/>
    <w:p w:rsidR="00DC1BFA" w:rsidRDefault="00DC1BFA"/>
    <w:p w:rsidR="0078119A" w:rsidRDefault="0078119A"/>
    <w:p w:rsidR="0078119A" w:rsidRDefault="0078119A"/>
    <w:p w:rsidR="0078119A" w:rsidRDefault="00DC1BFA">
      <w:r>
        <w:rPr>
          <w:noProof/>
        </w:rPr>
        <mc:AlternateContent>
          <mc:Choice Requires="wps">
            <w:drawing>
              <wp:anchor distT="0" distB="0" distL="114300" distR="114300" simplePos="0" relativeHeight="251679744" behindDoc="0" locked="0" layoutInCell="1" allowOverlap="1" wp14:anchorId="3FD6D6EB" wp14:editId="2B507423">
                <wp:simplePos x="0" y="0"/>
                <wp:positionH relativeFrom="page">
                  <wp:posOffset>762000</wp:posOffset>
                </wp:positionH>
                <wp:positionV relativeFrom="page">
                  <wp:posOffset>3797300</wp:posOffset>
                </wp:positionV>
                <wp:extent cx="6254750" cy="3352800"/>
                <wp:effectExtent l="0" t="0" r="0" b="0"/>
                <wp:wrapThrough wrapText="bothSides">
                  <wp:wrapPolygon edited="0">
                    <wp:start x="132" y="0"/>
                    <wp:lineTo x="132" y="21477"/>
                    <wp:lineTo x="21381" y="21477"/>
                    <wp:lineTo x="21381" y="0"/>
                    <wp:lineTo x="132"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2B0" w:rsidRPr="00921728" w:rsidRDefault="00FB52B0" w:rsidP="00DC1BFA">
                            <w:pPr>
                              <w:jc w:val="left"/>
                              <w:rPr>
                                <w:rFonts w:ascii="Tahoma" w:hAnsi="Tahoma" w:cs="Tahoma"/>
                                <w:b/>
                                <w:color w:val="204C81" w:themeColor="accent1"/>
                                <w:sz w:val="96"/>
                              </w:rPr>
                            </w:pPr>
                            <w:r w:rsidRPr="00DC1BFA">
                              <w:rPr>
                                <w:rFonts w:ascii="Tahoma" w:hAnsi="Tahoma" w:cs="Tahoma"/>
                                <w:b/>
                                <w:color w:val="204C81" w:themeColor="accent1"/>
                                <w:sz w:val="96"/>
                              </w:rPr>
                              <w:t xml:space="preserve">2014 Frequency Response Annual </w:t>
                            </w:r>
                            <w:r>
                              <w:rPr>
                                <w:rFonts w:ascii="Tahoma" w:hAnsi="Tahoma" w:cs="Tahoma"/>
                                <w:b/>
                                <w:color w:val="204C81" w:themeColor="accent1"/>
                                <w:sz w:val="96"/>
                              </w:rPr>
                              <w:t>Analysis</w:t>
                            </w:r>
                          </w:p>
                          <w:p w:rsidR="00FB52B0" w:rsidRPr="00921728" w:rsidRDefault="00FB52B0" w:rsidP="00DC1BFA">
                            <w:pPr>
                              <w:spacing w:before="520"/>
                              <w:rPr>
                                <w:color w:val="204C81" w:themeColor="accent1"/>
                              </w:rPr>
                            </w:pPr>
                            <w:r>
                              <w:rPr>
                                <w:rFonts w:ascii="Tahoma" w:hAnsi="Tahoma"/>
                                <w:color w:val="204C81" w:themeColor="accent1"/>
                                <w:sz w:val="48"/>
                              </w:rPr>
                              <w:t>December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D6EB" id="_x0000_t202" coordsize="21600,21600" o:spt="202" path="m,l,21600r21600,l21600,xe">
                <v:stroke joinstyle="miter"/>
                <v:path gradientshapeok="t" o:connecttype="rect"/>
              </v:shapetype>
              <v:shape id="Text Box 11" o:spid="_x0000_s1026" type="#_x0000_t202" style="position:absolute;left:0;text-align:left;margin-left:60pt;margin-top:299pt;width:492.5pt;height:26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cbuAIAALs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" filled="f" stroked="f">
                <v:textbox>
                  <w:txbxContent>
                    <w:p w:rsidR="00FB52B0" w:rsidRPr="00921728" w:rsidRDefault="00FB52B0" w:rsidP="00DC1BFA">
                      <w:pPr>
                        <w:jc w:val="left"/>
                        <w:rPr>
                          <w:rFonts w:ascii="Tahoma" w:hAnsi="Tahoma" w:cs="Tahoma"/>
                          <w:b/>
                          <w:color w:val="204C81" w:themeColor="accent1"/>
                          <w:sz w:val="96"/>
                        </w:rPr>
                      </w:pPr>
                      <w:r w:rsidRPr="00DC1BFA">
                        <w:rPr>
                          <w:rFonts w:ascii="Tahoma" w:hAnsi="Tahoma" w:cs="Tahoma"/>
                          <w:b/>
                          <w:color w:val="204C81" w:themeColor="accent1"/>
                          <w:sz w:val="96"/>
                        </w:rPr>
                        <w:t xml:space="preserve">2014 Frequency Response Annual </w:t>
                      </w:r>
                      <w:r>
                        <w:rPr>
                          <w:rFonts w:ascii="Tahoma" w:hAnsi="Tahoma" w:cs="Tahoma"/>
                          <w:b/>
                          <w:color w:val="204C81" w:themeColor="accent1"/>
                          <w:sz w:val="96"/>
                        </w:rPr>
                        <w:t>Analysis</w:t>
                      </w:r>
                    </w:p>
                    <w:p w:rsidR="00FB52B0" w:rsidRPr="00921728" w:rsidRDefault="00FB52B0" w:rsidP="00DC1BFA">
                      <w:pPr>
                        <w:spacing w:before="520"/>
                        <w:rPr>
                          <w:color w:val="204C81" w:themeColor="accent1"/>
                        </w:rPr>
                      </w:pPr>
                      <w:r>
                        <w:rPr>
                          <w:rFonts w:ascii="Tahoma" w:hAnsi="Tahoma"/>
                          <w:color w:val="204C81" w:themeColor="accent1"/>
                          <w:sz w:val="48"/>
                        </w:rPr>
                        <w:t>December 2014</w:t>
                      </w:r>
                    </w:p>
                  </w:txbxContent>
                </v:textbox>
                <w10:wrap type="through" anchorx="page" anchory="page"/>
              </v:shape>
            </w:pict>
          </mc:Fallback>
        </mc:AlternateContent>
      </w:r>
    </w:p>
    <w:p w:rsidR="00DC1BFA" w:rsidRDefault="00DC1BFA" w:rsidP="00DC1BFA"/>
    <w:p w:rsidR="00DC1BFA" w:rsidRDefault="00DC1BFA" w:rsidP="00DC1BFA"/>
    <w:p w:rsidR="00DC1BFA" w:rsidRDefault="00DC1BFA" w:rsidP="00DC1BFA"/>
    <w:p w:rsidR="00DC1BFA" w:rsidRDefault="00DC1BFA" w:rsidP="00DC1BFA"/>
    <w:p w:rsidR="00DC1BFA" w:rsidRDefault="00DC1BFA" w:rsidP="00DC1BFA"/>
    <w:p w:rsidR="00DC1BFA" w:rsidRDefault="00DC1BFA" w:rsidP="00DC1BFA"/>
    <w:p w:rsidR="00DC1BFA" w:rsidRDefault="00DC1BFA" w:rsidP="00DC1BFA">
      <w:pPr>
        <w:sectPr w:rsidR="00DC1BFA" w:rsidSect="003A4987">
          <w:footerReference w:type="default" r:id="rId12"/>
          <w:footerReference w:type="first" r:id="rId13"/>
          <w:pgSz w:w="12240" w:h="15840" w:code="1"/>
          <w:pgMar w:top="1008" w:right="1080" w:bottom="1080" w:left="1080" w:header="720" w:footer="576" w:gutter="0"/>
          <w:pgNumType w:fmt="upperRoman" w:start="1"/>
          <w:cols w:space="720"/>
          <w:titlePg/>
          <w:docGrid w:linePitch="360"/>
        </w:sectPr>
      </w:pPr>
      <w:r>
        <w:rPr>
          <w:noProof/>
        </w:rPr>
        <w:drawing>
          <wp:anchor distT="0" distB="0" distL="114300" distR="114300" simplePos="0" relativeHeight="251680768" behindDoc="1" locked="0" layoutInCell="1" allowOverlap="1" wp14:anchorId="01617774" wp14:editId="13303F3C">
            <wp:simplePos x="0" y="0"/>
            <wp:positionH relativeFrom="column">
              <wp:posOffset>-471170</wp:posOffset>
            </wp:positionH>
            <wp:positionV relativeFrom="page">
              <wp:posOffset>8821420</wp:posOffset>
            </wp:positionV>
            <wp:extent cx="7334250" cy="9721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ite cover bottom par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0" cy="972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3CF6AD13" wp14:editId="5E5A93CB">
            <wp:simplePos x="0" y="0"/>
            <wp:positionH relativeFrom="column">
              <wp:posOffset>-466725</wp:posOffset>
            </wp:positionH>
            <wp:positionV relativeFrom="page">
              <wp:posOffset>7428865</wp:posOffset>
            </wp:positionV>
            <wp:extent cx="7331075" cy="1381125"/>
            <wp:effectExtent l="0" t="0" r="317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strip.jpg"/>
                    <pic:cNvPicPr/>
                  </pic:nvPicPr>
                  <pic:blipFill>
                    <a:blip r:embed="rId15">
                      <a:extLst>
                        <a:ext uri="{28A0092B-C50C-407E-A947-70E740481C1C}">
                          <a14:useLocalDpi xmlns:a14="http://schemas.microsoft.com/office/drawing/2010/main" val="0"/>
                        </a:ext>
                      </a:extLst>
                    </a:blip>
                    <a:stretch>
                      <a:fillRect/>
                    </a:stretch>
                  </pic:blipFill>
                  <pic:spPr>
                    <a:xfrm>
                      <a:off x="0" y="0"/>
                      <a:ext cx="7331075" cy="138112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Calibri" w:eastAsiaTheme="minorHAnsi" w:hAnsi="Calibri" w:cs="Times New Roman"/>
          <w:b w:val="0"/>
          <w:bCs w:val="0"/>
          <w:color w:val="auto"/>
          <w:sz w:val="20"/>
          <w:szCs w:val="20"/>
        </w:rPr>
        <w:id w:val="15313954"/>
        <w:docPartObj>
          <w:docPartGallery w:val="Table of Contents"/>
          <w:docPartUnique/>
        </w:docPartObj>
      </w:sdtPr>
      <w:sdtEndPr>
        <w:rPr>
          <w:sz w:val="22"/>
        </w:rPr>
      </w:sdtEndPr>
      <w:sdtContent>
        <w:bookmarkStart w:id="0" w:name="_Toc362252552" w:displacedByCustomXml="prev"/>
        <w:p w:rsidR="00A212B2" w:rsidRDefault="001B1FAD" w:rsidP="00766FC7">
          <w:pPr>
            <w:pStyle w:val="TableofContentsTitleStyle"/>
            <w:rPr>
              <w:noProof/>
            </w:rPr>
          </w:pPr>
          <w:r w:rsidRPr="00766FC7">
            <w:t>Table</w:t>
          </w:r>
          <w:r w:rsidRPr="001B1FAD">
            <w:t xml:space="preserve"> of Contents</w:t>
          </w:r>
          <w:bookmarkEnd w:id="0"/>
          <w:r w:rsidR="00766FC7">
            <w:fldChar w:fldCharType="begin"/>
          </w:r>
          <w:r w:rsidR="00766FC7">
            <w:instrText xml:space="preserve"> TOC \o "1-3" \h \z \u </w:instrText>
          </w:r>
          <w:r w:rsidR="00766FC7">
            <w:fldChar w:fldCharType="separate"/>
          </w:r>
        </w:p>
        <w:p w:rsidR="00A212B2" w:rsidRDefault="00A212B2">
          <w:pPr>
            <w:pStyle w:val="TOC1"/>
            <w:rPr>
              <w:rFonts w:asciiTheme="minorHAnsi" w:eastAsiaTheme="minorEastAsia" w:hAnsiTheme="minorHAnsi" w:cstheme="minorBidi"/>
              <w:noProof/>
              <w:szCs w:val="22"/>
            </w:rPr>
          </w:pPr>
          <w:hyperlink w:anchor="_Toc408812249" w:history="1">
            <w:r w:rsidRPr="009B1D09">
              <w:rPr>
                <w:rStyle w:val="Hyperlink"/>
                <w:noProof/>
              </w:rPr>
              <w:t>Preface</w:t>
            </w:r>
            <w:r>
              <w:rPr>
                <w:noProof/>
                <w:webHidden/>
              </w:rPr>
              <w:tab/>
            </w:r>
            <w:r>
              <w:rPr>
                <w:noProof/>
                <w:webHidden/>
              </w:rPr>
              <w:fldChar w:fldCharType="begin"/>
            </w:r>
            <w:r>
              <w:rPr>
                <w:noProof/>
                <w:webHidden/>
              </w:rPr>
              <w:instrText xml:space="preserve"> PAGEREF _Toc408812249 \h </w:instrText>
            </w:r>
            <w:r>
              <w:rPr>
                <w:noProof/>
                <w:webHidden/>
              </w:rPr>
            </w:r>
            <w:r>
              <w:rPr>
                <w:noProof/>
                <w:webHidden/>
              </w:rPr>
              <w:fldChar w:fldCharType="separate"/>
            </w:r>
            <w:r>
              <w:rPr>
                <w:noProof/>
                <w:webHidden/>
              </w:rPr>
              <w:t>iii</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0" w:history="1">
            <w:r w:rsidRPr="009B1D09">
              <w:rPr>
                <w:rStyle w:val="Hyperlink"/>
                <w:noProof/>
              </w:rPr>
              <w:t>This Report</w:t>
            </w:r>
            <w:r>
              <w:rPr>
                <w:noProof/>
                <w:webHidden/>
              </w:rPr>
              <w:tab/>
            </w:r>
            <w:r>
              <w:rPr>
                <w:noProof/>
                <w:webHidden/>
              </w:rPr>
              <w:fldChar w:fldCharType="begin"/>
            </w:r>
            <w:r>
              <w:rPr>
                <w:noProof/>
                <w:webHidden/>
              </w:rPr>
              <w:instrText xml:space="preserve"> PAGEREF _Toc408812250 \h </w:instrText>
            </w:r>
            <w:r>
              <w:rPr>
                <w:noProof/>
                <w:webHidden/>
              </w:rPr>
            </w:r>
            <w:r>
              <w:rPr>
                <w:noProof/>
                <w:webHidden/>
              </w:rPr>
              <w:fldChar w:fldCharType="separate"/>
            </w:r>
            <w:r>
              <w:rPr>
                <w:noProof/>
                <w:webHidden/>
              </w:rPr>
              <w:t>iv</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51" w:history="1">
            <w:r w:rsidRPr="009B1D09">
              <w:rPr>
                <w:rStyle w:val="Hyperlink"/>
                <w:noProof/>
              </w:rPr>
              <w:t>Executive Summary</w:t>
            </w:r>
            <w:r>
              <w:rPr>
                <w:noProof/>
                <w:webHidden/>
              </w:rPr>
              <w:tab/>
            </w:r>
            <w:r>
              <w:rPr>
                <w:noProof/>
                <w:webHidden/>
              </w:rPr>
              <w:fldChar w:fldCharType="begin"/>
            </w:r>
            <w:r>
              <w:rPr>
                <w:noProof/>
                <w:webHidden/>
              </w:rPr>
              <w:instrText xml:space="preserve"> PAGEREF _Toc408812251 \h </w:instrText>
            </w:r>
            <w:r>
              <w:rPr>
                <w:noProof/>
                <w:webHidden/>
              </w:rPr>
            </w:r>
            <w:r>
              <w:rPr>
                <w:noProof/>
                <w:webHidden/>
              </w:rPr>
              <w:fldChar w:fldCharType="separate"/>
            </w:r>
            <w:r>
              <w:rPr>
                <w:noProof/>
                <w:webHidden/>
              </w:rPr>
              <w:t>1</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2" w:history="1">
            <w:r w:rsidRPr="009B1D09">
              <w:rPr>
                <w:rStyle w:val="Hyperlink"/>
                <w:noProof/>
              </w:rPr>
              <w:t>Recommendations</w:t>
            </w:r>
            <w:r>
              <w:rPr>
                <w:noProof/>
                <w:webHidden/>
              </w:rPr>
              <w:tab/>
            </w:r>
            <w:r>
              <w:rPr>
                <w:noProof/>
                <w:webHidden/>
              </w:rPr>
              <w:fldChar w:fldCharType="begin"/>
            </w:r>
            <w:r>
              <w:rPr>
                <w:noProof/>
                <w:webHidden/>
              </w:rPr>
              <w:instrText xml:space="preserve"> PAGEREF _Toc408812252 \h </w:instrText>
            </w:r>
            <w:r>
              <w:rPr>
                <w:noProof/>
                <w:webHidden/>
              </w:rPr>
            </w:r>
            <w:r>
              <w:rPr>
                <w:noProof/>
                <w:webHidden/>
              </w:rPr>
              <w:fldChar w:fldCharType="separate"/>
            </w:r>
            <w:r>
              <w:rPr>
                <w:noProof/>
                <w:webHidden/>
              </w:rPr>
              <w:t>1</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3" w:history="1">
            <w:r w:rsidRPr="009B1D09">
              <w:rPr>
                <w:rStyle w:val="Hyperlink"/>
                <w:noProof/>
              </w:rPr>
              <w:t>Findings</w:t>
            </w:r>
            <w:r>
              <w:rPr>
                <w:noProof/>
                <w:webHidden/>
              </w:rPr>
              <w:tab/>
            </w:r>
            <w:r>
              <w:rPr>
                <w:noProof/>
                <w:webHidden/>
              </w:rPr>
              <w:fldChar w:fldCharType="begin"/>
            </w:r>
            <w:r>
              <w:rPr>
                <w:noProof/>
                <w:webHidden/>
              </w:rPr>
              <w:instrText xml:space="preserve"> PAGEREF _Toc408812253 \h </w:instrText>
            </w:r>
            <w:r>
              <w:rPr>
                <w:noProof/>
                <w:webHidden/>
              </w:rPr>
            </w:r>
            <w:r>
              <w:rPr>
                <w:noProof/>
                <w:webHidden/>
              </w:rPr>
              <w:fldChar w:fldCharType="separate"/>
            </w:r>
            <w:r>
              <w:rPr>
                <w:noProof/>
                <w:webHidden/>
              </w:rPr>
              <w:t>2</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54" w:history="1">
            <w:r w:rsidRPr="009B1D09">
              <w:rPr>
                <w:rStyle w:val="Hyperlink"/>
                <w:noProof/>
              </w:rPr>
              <w:t>Frequency Response Performance Analysis</w:t>
            </w:r>
            <w:r>
              <w:rPr>
                <w:noProof/>
                <w:webHidden/>
              </w:rPr>
              <w:tab/>
            </w:r>
            <w:r>
              <w:rPr>
                <w:noProof/>
                <w:webHidden/>
              </w:rPr>
              <w:fldChar w:fldCharType="begin"/>
            </w:r>
            <w:r>
              <w:rPr>
                <w:noProof/>
                <w:webHidden/>
              </w:rPr>
              <w:instrText xml:space="preserve"> PAGEREF _Toc408812254 \h </w:instrText>
            </w:r>
            <w:r>
              <w:rPr>
                <w:noProof/>
                <w:webHidden/>
              </w:rPr>
            </w:r>
            <w:r>
              <w:rPr>
                <w:noProof/>
                <w:webHidden/>
              </w:rPr>
              <w:fldChar w:fldCharType="separate"/>
            </w:r>
            <w:r>
              <w:rPr>
                <w:noProof/>
                <w:webHidden/>
              </w:rPr>
              <w:t>4</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5" w:history="1">
            <w:r w:rsidRPr="009B1D09">
              <w:rPr>
                <w:rStyle w:val="Hyperlink"/>
                <w:noProof/>
              </w:rPr>
              <w:t>Eastern Interconnection</w:t>
            </w:r>
            <w:r>
              <w:rPr>
                <w:noProof/>
                <w:webHidden/>
              </w:rPr>
              <w:tab/>
            </w:r>
            <w:r>
              <w:rPr>
                <w:noProof/>
                <w:webHidden/>
              </w:rPr>
              <w:fldChar w:fldCharType="begin"/>
            </w:r>
            <w:r>
              <w:rPr>
                <w:noProof/>
                <w:webHidden/>
              </w:rPr>
              <w:instrText xml:space="preserve"> PAGEREF _Toc408812255 \h </w:instrText>
            </w:r>
            <w:r>
              <w:rPr>
                <w:noProof/>
                <w:webHidden/>
              </w:rPr>
            </w:r>
            <w:r>
              <w:rPr>
                <w:noProof/>
                <w:webHidden/>
              </w:rPr>
              <w:fldChar w:fldCharType="separate"/>
            </w:r>
            <w:r>
              <w:rPr>
                <w:noProof/>
                <w:webHidden/>
              </w:rPr>
              <w:t>4</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6" w:history="1">
            <w:r w:rsidRPr="009B1D09">
              <w:rPr>
                <w:rStyle w:val="Hyperlink"/>
                <w:noProof/>
              </w:rPr>
              <w:t>Western Interconnection</w:t>
            </w:r>
            <w:r>
              <w:rPr>
                <w:noProof/>
                <w:webHidden/>
              </w:rPr>
              <w:tab/>
            </w:r>
            <w:r>
              <w:rPr>
                <w:noProof/>
                <w:webHidden/>
              </w:rPr>
              <w:fldChar w:fldCharType="begin"/>
            </w:r>
            <w:r>
              <w:rPr>
                <w:noProof/>
                <w:webHidden/>
              </w:rPr>
              <w:instrText xml:space="preserve"> PAGEREF _Toc408812256 \h </w:instrText>
            </w:r>
            <w:r>
              <w:rPr>
                <w:noProof/>
                <w:webHidden/>
              </w:rPr>
            </w:r>
            <w:r>
              <w:rPr>
                <w:noProof/>
                <w:webHidden/>
              </w:rPr>
              <w:fldChar w:fldCharType="separate"/>
            </w:r>
            <w:r>
              <w:rPr>
                <w:noProof/>
                <w:webHidden/>
              </w:rPr>
              <w:t>5</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7" w:history="1">
            <w:r w:rsidRPr="009B1D09">
              <w:rPr>
                <w:rStyle w:val="Hyperlink"/>
                <w:noProof/>
              </w:rPr>
              <w:t>ERCOT Interconnection</w:t>
            </w:r>
            <w:r>
              <w:rPr>
                <w:noProof/>
                <w:webHidden/>
              </w:rPr>
              <w:tab/>
            </w:r>
            <w:r>
              <w:rPr>
                <w:noProof/>
                <w:webHidden/>
              </w:rPr>
              <w:fldChar w:fldCharType="begin"/>
            </w:r>
            <w:r>
              <w:rPr>
                <w:noProof/>
                <w:webHidden/>
              </w:rPr>
              <w:instrText xml:space="preserve"> PAGEREF _Toc408812257 \h </w:instrText>
            </w:r>
            <w:r>
              <w:rPr>
                <w:noProof/>
                <w:webHidden/>
              </w:rPr>
            </w:r>
            <w:r>
              <w:rPr>
                <w:noProof/>
                <w:webHidden/>
              </w:rPr>
              <w:fldChar w:fldCharType="separate"/>
            </w:r>
            <w:r>
              <w:rPr>
                <w:noProof/>
                <w:webHidden/>
              </w:rPr>
              <w:t>6</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58" w:history="1">
            <w:r w:rsidRPr="009B1D09">
              <w:rPr>
                <w:rStyle w:val="Hyperlink"/>
                <w:noProof/>
              </w:rPr>
              <w:t>Québec Interconnection</w:t>
            </w:r>
            <w:r>
              <w:rPr>
                <w:noProof/>
                <w:webHidden/>
              </w:rPr>
              <w:tab/>
            </w:r>
            <w:r>
              <w:rPr>
                <w:noProof/>
                <w:webHidden/>
              </w:rPr>
              <w:fldChar w:fldCharType="begin"/>
            </w:r>
            <w:r>
              <w:rPr>
                <w:noProof/>
                <w:webHidden/>
              </w:rPr>
              <w:instrText xml:space="preserve"> PAGEREF _Toc408812258 \h </w:instrText>
            </w:r>
            <w:r>
              <w:rPr>
                <w:noProof/>
                <w:webHidden/>
              </w:rPr>
            </w:r>
            <w:r>
              <w:rPr>
                <w:noProof/>
                <w:webHidden/>
              </w:rPr>
              <w:fldChar w:fldCharType="separate"/>
            </w:r>
            <w:r>
              <w:rPr>
                <w:noProof/>
                <w:webHidden/>
              </w:rPr>
              <w:t>7</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59" w:history="1">
            <w:r w:rsidRPr="009B1D09">
              <w:rPr>
                <w:rStyle w:val="Hyperlink"/>
                <w:noProof/>
              </w:rPr>
              <w:t>Interconnection Frequency Characteristic Analysis</w:t>
            </w:r>
            <w:r>
              <w:rPr>
                <w:noProof/>
                <w:webHidden/>
              </w:rPr>
              <w:tab/>
            </w:r>
            <w:r>
              <w:rPr>
                <w:noProof/>
                <w:webHidden/>
              </w:rPr>
              <w:fldChar w:fldCharType="begin"/>
            </w:r>
            <w:r>
              <w:rPr>
                <w:noProof/>
                <w:webHidden/>
              </w:rPr>
              <w:instrText xml:space="preserve"> PAGEREF _Toc408812259 \h </w:instrText>
            </w:r>
            <w:r>
              <w:rPr>
                <w:noProof/>
                <w:webHidden/>
              </w:rPr>
            </w:r>
            <w:r>
              <w:rPr>
                <w:noProof/>
                <w:webHidden/>
              </w:rPr>
              <w:fldChar w:fldCharType="separate"/>
            </w:r>
            <w:r>
              <w:rPr>
                <w:noProof/>
                <w:webHidden/>
              </w:rPr>
              <w:t>8</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60" w:history="1">
            <w:r w:rsidRPr="009B1D09">
              <w:rPr>
                <w:rStyle w:val="Hyperlink"/>
                <w:noProof/>
              </w:rPr>
              <w:t>Frequency Variation Statistical Analysis</w:t>
            </w:r>
            <w:r>
              <w:rPr>
                <w:noProof/>
                <w:webHidden/>
              </w:rPr>
              <w:tab/>
            </w:r>
            <w:r>
              <w:rPr>
                <w:noProof/>
                <w:webHidden/>
              </w:rPr>
              <w:fldChar w:fldCharType="begin"/>
            </w:r>
            <w:r>
              <w:rPr>
                <w:noProof/>
                <w:webHidden/>
              </w:rPr>
              <w:instrText xml:space="preserve"> PAGEREF _Toc408812260 \h </w:instrText>
            </w:r>
            <w:r>
              <w:rPr>
                <w:noProof/>
                <w:webHidden/>
              </w:rPr>
            </w:r>
            <w:r>
              <w:rPr>
                <w:noProof/>
                <w:webHidden/>
              </w:rPr>
              <w:fldChar w:fldCharType="separate"/>
            </w:r>
            <w:r>
              <w:rPr>
                <w:noProof/>
                <w:webHidden/>
              </w:rPr>
              <w:t>8</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61" w:history="1">
            <w:r w:rsidRPr="009B1D09">
              <w:rPr>
                <w:rStyle w:val="Hyperlink"/>
                <w:noProof/>
              </w:rPr>
              <w:t>Changes in Starting Frequency</w:t>
            </w:r>
            <w:r>
              <w:rPr>
                <w:noProof/>
                <w:webHidden/>
              </w:rPr>
              <w:tab/>
            </w:r>
            <w:r>
              <w:rPr>
                <w:noProof/>
                <w:webHidden/>
              </w:rPr>
              <w:fldChar w:fldCharType="begin"/>
            </w:r>
            <w:r>
              <w:rPr>
                <w:noProof/>
                <w:webHidden/>
              </w:rPr>
              <w:instrText xml:space="preserve"> PAGEREF _Toc408812261 \h </w:instrText>
            </w:r>
            <w:r>
              <w:rPr>
                <w:noProof/>
                <w:webHidden/>
              </w:rPr>
            </w:r>
            <w:r>
              <w:rPr>
                <w:noProof/>
                <w:webHidden/>
              </w:rPr>
              <w:fldChar w:fldCharType="separate"/>
            </w:r>
            <w:r>
              <w:rPr>
                <w:noProof/>
                <w:webHidden/>
              </w:rPr>
              <w:t>11</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62" w:history="1">
            <w:r w:rsidRPr="009B1D09">
              <w:rPr>
                <w:rStyle w:val="Hyperlink"/>
                <w:noProof/>
              </w:rPr>
              <w:t>Determination of Interconnection Frequency Response Obligations (IFROs)</w:t>
            </w:r>
            <w:r>
              <w:rPr>
                <w:noProof/>
                <w:webHidden/>
              </w:rPr>
              <w:tab/>
            </w:r>
            <w:r>
              <w:rPr>
                <w:noProof/>
                <w:webHidden/>
              </w:rPr>
              <w:fldChar w:fldCharType="begin"/>
            </w:r>
            <w:r>
              <w:rPr>
                <w:noProof/>
                <w:webHidden/>
              </w:rPr>
              <w:instrText xml:space="preserve"> PAGEREF _Toc408812262 \h </w:instrText>
            </w:r>
            <w:r>
              <w:rPr>
                <w:noProof/>
                <w:webHidden/>
              </w:rPr>
            </w:r>
            <w:r>
              <w:rPr>
                <w:noProof/>
                <w:webHidden/>
              </w:rPr>
              <w:fldChar w:fldCharType="separate"/>
            </w:r>
            <w:r>
              <w:rPr>
                <w:noProof/>
                <w:webHidden/>
              </w:rPr>
              <w:t>12</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63" w:history="1">
            <w:r w:rsidRPr="009B1D09">
              <w:rPr>
                <w:rStyle w:val="Hyperlink"/>
                <w:noProof/>
              </w:rPr>
              <w:t>Tenets of IFRO</w:t>
            </w:r>
            <w:r>
              <w:rPr>
                <w:noProof/>
                <w:webHidden/>
              </w:rPr>
              <w:tab/>
            </w:r>
            <w:r>
              <w:rPr>
                <w:noProof/>
                <w:webHidden/>
              </w:rPr>
              <w:fldChar w:fldCharType="begin"/>
            </w:r>
            <w:r>
              <w:rPr>
                <w:noProof/>
                <w:webHidden/>
              </w:rPr>
              <w:instrText xml:space="preserve"> PAGEREF _Toc408812263 \h </w:instrText>
            </w:r>
            <w:r>
              <w:rPr>
                <w:noProof/>
                <w:webHidden/>
              </w:rPr>
            </w:r>
            <w:r>
              <w:rPr>
                <w:noProof/>
                <w:webHidden/>
              </w:rPr>
              <w:fldChar w:fldCharType="separate"/>
            </w:r>
            <w:r>
              <w:rPr>
                <w:noProof/>
                <w:webHidden/>
              </w:rPr>
              <w:t>12</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64" w:history="1">
            <w:r w:rsidRPr="009B1D09">
              <w:rPr>
                <w:rStyle w:val="Hyperlink"/>
                <w:noProof/>
              </w:rPr>
              <w:t>IFRO Formulae</w:t>
            </w:r>
            <w:r>
              <w:rPr>
                <w:noProof/>
                <w:webHidden/>
              </w:rPr>
              <w:tab/>
            </w:r>
            <w:r>
              <w:rPr>
                <w:noProof/>
                <w:webHidden/>
              </w:rPr>
              <w:fldChar w:fldCharType="begin"/>
            </w:r>
            <w:r>
              <w:rPr>
                <w:noProof/>
                <w:webHidden/>
              </w:rPr>
              <w:instrText xml:space="preserve"> PAGEREF _Toc408812264 \h </w:instrText>
            </w:r>
            <w:r>
              <w:rPr>
                <w:noProof/>
                <w:webHidden/>
              </w:rPr>
            </w:r>
            <w:r>
              <w:rPr>
                <w:noProof/>
                <w:webHidden/>
              </w:rPr>
              <w:fldChar w:fldCharType="separate"/>
            </w:r>
            <w:r>
              <w:rPr>
                <w:noProof/>
                <w:webHidden/>
              </w:rPr>
              <w:t>12</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65" w:history="1">
            <w:r w:rsidRPr="009B1D09">
              <w:rPr>
                <w:rStyle w:val="Hyperlink"/>
                <w:noProof/>
              </w:rPr>
              <w:t>Determination of Adjustment Factors</w:t>
            </w:r>
            <w:r>
              <w:rPr>
                <w:noProof/>
                <w:webHidden/>
              </w:rPr>
              <w:tab/>
            </w:r>
            <w:r>
              <w:rPr>
                <w:noProof/>
                <w:webHidden/>
              </w:rPr>
              <w:fldChar w:fldCharType="begin"/>
            </w:r>
            <w:r>
              <w:rPr>
                <w:noProof/>
                <w:webHidden/>
              </w:rPr>
              <w:instrText xml:space="preserve"> PAGEREF _Toc408812265 \h </w:instrText>
            </w:r>
            <w:r>
              <w:rPr>
                <w:noProof/>
                <w:webHidden/>
              </w:rPr>
            </w:r>
            <w:r>
              <w:rPr>
                <w:noProof/>
                <w:webHidden/>
              </w:rPr>
              <w:fldChar w:fldCharType="separate"/>
            </w:r>
            <w:r>
              <w:rPr>
                <w:noProof/>
                <w:webHidden/>
              </w:rPr>
              <w:t>13</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66" w:history="1">
            <w:r w:rsidRPr="009B1D09">
              <w:rPr>
                <w:rStyle w:val="Hyperlink"/>
                <w:noProof/>
              </w:rPr>
              <w:t>Adjustment for Differences between Value B and Point C (CB</w:t>
            </w:r>
            <w:r w:rsidRPr="009B1D09">
              <w:rPr>
                <w:rStyle w:val="Hyperlink"/>
                <w:noProof/>
                <w:vertAlign w:val="subscript"/>
              </w:rPr>
              <w:t>R</w:t>
            </w:r>
            <w:r w:rsidRPr="009B1D09">
              <w:rPr>
                <w:rStyle w:val="Hyperlink"/>
                <w:noProof/>
              </w:rPr>
              <w:t>)</w:t>
            </w:r>
            <w:r>
              <w:rPr>
                <w:noProof/>
                <w:webHidden/>
              </w:rPr>
              <w:tab/>
            </w:r>
            <w:r>
              <w:rPr>
                <w:noProof/>
                <w:webHidden/>
              </w:rPr>
              <w:fldChar w:fldCharType="begin"/>
            </w:r>
            <w:r>
              <w:rPr>
                <w:noProof/>
                <w:webHidden/>
              </w:rPr>
              <w:instrText xml:space="preserve"> PAGEREF _Toc408812266 \h </w:instrText>
            </w:r>
            <w:r>
              <w:rPr>
                <w:noProof/>
                <w:webHidden/>
              </w:rPr>
            </w:r>
            <w:r>
              <w:rPr>
                <w:noProof/>
                <w:webHidden/>
              </w:rPr>
              <w:fldChar w:fldCharType="separate"/>
            </w:r>
            <w:r>
              <w:rPr>
                <w:noProof/>
                <w:webHidden/>
              </w:rPr>
              <w:t>13</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67" w:history="1">
            <w:r w:rsidRPr="009B1D09">
              <w:rPr>
                <w:rStyle w:val="Hyperlink"/>
                <w:noProof/>
              </w:rPr>
              <w:t>Point C Analysis – One-Second versus Sub-Second Data (CC</w:t>
            </w:r>
            <w:r w:rsidRPr="009B1D09">
              <w:rPr>
                <w:rStyle w:val="Hyperlink"/>
                <w:noProof/>
                <w:vertAlign w:val="subscript"/>
              </w:rPr>
              <w:t>ADJ</w:t>
            </w:r>
            <w:r w:rsidRPr="009B1D09">
              <w:rPr>
                <w:rStyle w:val="Hyperlink"/>
                <w:noProof/>
              </w:rPr>
              <w:t>)</w:t>
            </w:r>
            <w:r>
              <w:rPr>
                <w:noProof/>
                <w:webHidden/>
              </w:rPr>
              <w:tab/>
            </w:r>
            <w:r>
              <w:rPr>
                <w:noProof/>
                <w:webHidden/>
              </w:rPr>
              <w:fldChar w:fldCharType="begin"/>
            </w:r>
            <w:r>
              <w:rPr>
                <w:noProof/>
                <w:webHidden/>
              </w:rPr>
              <w:instrText xml:space="preserve"> PAGEREF _Toc408812267 \h </w:instrText>
            </w:r>
            <w:r>
              <w:rPr>
                <w:noProof/>
                <w:webHidden/>
              </w:rPr>
            </w:r>
            <w:r>
              <w:rPr>
                <w:noProof/>
                <w:webHidden/>
              </w:rPr>
              <w:fldChar w:fldCharType="separate"/>
            </w:r>
            <w:r>
              <w:rPr>
                <w:noProof/>
                <w:webHidden/>
              </w:rPr>
              <w:t>15</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68" w:history="1">
            <w:r w:rsidRPr="009B1D09">
              <w:rPr>
                <w:rStyle w:val="Hyperlink"/>
                <w:noProof/>
              </w:rPr>
              <w:t>Adjustment for Primary Frequency Response Withdrawal (BC’</w:t>
            </w:r>
            <w:r w:rsidRPr="009B1D09">
              <w:rPr>
                <w:rStyle w:val="Hyperlink"/>
                <w:noProof/>
                <w:vertAlign w:val="subscript"/>
              </w:rPr>
              <w:t>ADJ</w:t>
            </w:r>
            <w:r w:rsidRPr="009B1D09">
              <w:rPr>
                <w:rStyle w:val="Hyperlink"/>
                <w:noProof/>
              </w:rPr>
              <w:t>)</w:t>
            </w:r>
            <w:r>
              <w:rPr>
                <w:noProof/>
                <w:webHidden/>
              </w:rPr>
              <w:tab/>
            </w:r>
            <w:r>
              <w:rPr>
                <w:noProof/>
                <w:webHidden/>
              </w:rPr>
              <w:fldChar w:fldCharType="begin"/>
            </w:r>
            <w:r>
              <w:rPr>
                <w:noProof/>
                <w:webHidden/>
              </w:rPr>
              <w:instrText xml:space="preserve"> PAGEREF _Toc408812268 \h </w:instrText>
            </w:r>
            <w:r>
              <w:rPr>
                <w:noProof/>
                <w:webHidden/>
              </w:rPr>
            </w:r>
            <w:r>
              <w:rPr>
                <w:noProof/>
                <w:webHidden/>
              </w:rPr>
              <w:fldChar w:fldCharType="separate"/>
            </w:r>
            <w:r>
              <w:rPr>
                <w:noProof/>
                <w:webHidden/>
              </w:rPr>
              <w:t>15</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69" w:history="1">
            <w:r w:rsidRPr="009B1D09">
              <w:rPr>
                <w:rStyle w:val="Hyperlink"/>
                <w:noProof/>
              </w:rPr>
              <w:t>Variables in Determination of IFRO</w:t>
            </w:r>
            <w:r>
              <w:rPr>
                <w:noProof/>
                <w:webHidden/>
              </w:rPr>
              <w:tab/>
            </w:r>
            <w:r>
              <w:rPr>
                <w:noProof/>
                <w:webHidden/>
              </w:rPr>
              <w:fldChar w:fldCharType="begin"/>
            </w:r>
            <w:r>
              <w:rPr>
                <w:noProof/>
                <w:webHidden/>
              </w:rPr>
              <w:instrText xml:space="preserve"> PAGEREF _Toc408812269 \h </w:instrText>
            </w:r>
            <w:r>
              <w:rPr>
                <w:noProof/>
                <w:webHidden/>
              </w:rPr>
            </w:r>
            <w:r>
              <w:rPr>
                <w:noProof/>
                <w:webHidden/>
              </w:rPr>
              <w:fldChar w:fldCharType="separate"/>
            </w:r>
            <w:r>
              <w:rPr>
                <w:noProof/>
                <w:webHidden/>
              </w:rPr>
              <w:t>17</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70" w:history="1">
            <w:r w:rsidRPr="009B1D09">
              <w:rPr>
                <w:rStyle w:val="Hyperlink"/>
                <w:noProof/>
              </w:rPr>
              <w:t>Determination of Maximum Allowable Delta Frequencies</w:t>
            </w:r>
            <w:r>
              <w:rPr>
                <w:noProof/>
                <w:webHidden/>
              </w:rPr>
              <w:tab/>
            </w:r>
            <w:r>
              <w:rPr>
                <w:noProof/>
                <w:webHidden/>
              </w:rPr>
              <w:fldChar w:fldCharType="begin"/>
            </w:r>
            <w:r>
              <w:rPr>
                <w:noProof/>
                <w:webHidden/>
              </w:rPr>
              <w:instrText xml:space="preserve"> PAGEREF _Toc408812270 \h </w:instrText>
            </w:r>
            <w:r>
              <w:rPr>
                <w:noProof/>
                <w:webHidden/>
              </w:rPr>
            </w:r>
            <w:r>
              <w:rPr>
                <w:noProof/>
                <w:webHidden/>
              </w:rPr>
              <w:fldChar w:fldCharType="separate"/>
            </w:r>
            <w:r>
              <w:rPr>
                <w:noProof/>
                <w:webHidden/>
              </w:rPr>
              <w:t>17</w:t>
            </w:r>
            <w:r>
              <w:rPr>
                <w:noProof/>
                <w:webHidden/>
              </w:rPr>
              <w:fldChar w:fldCharType="end"/>
            </w:r>
          </w:hyperlink>
        </w:p>
        <w:p w:rsidR="00A212B2" w:rsidRDefault="00A212B2">
          <w:pPr>
            <w:pStyle w:val="TOC2"/>
            <w:rPr>
              <w:rFonts w:asciiTheme="minorHAnsi" w:eastAsiaTheme="minorEastAsia" w:hAnsiTheme="minorHAnsi" w:cstheme="minorBidi"/>
              <w:noProof/>
              <w:szCs w:val="22"/>
            </w:rPr>
          </w:pPr>
          <w:hyperlink w:anchor="_Toc408812271" w:history="1">
            <w:r w:rsidRPr="009B1D09">
              <w:rPr>
                <w:rStyle w:val="Hyperlink"/>
                <w:noProof/>
              </w:rPr>
              <w:t>Recommended IFROs</w:t>
            </w:r>
            <w:r>
              <w:rPr>
                <w:noProof/>
                <w:webHidden/>
              </w:rPr>
              <w:tab/>
            </w:r>
            <w:r>
              <w:rPr>
                <w:noProof/>
                <w:webHidden/>
              </w:rPr>
              <w:fldChar w:fldCharType="begin"/>
            </w:r>
            <w:r>
              <w:rPr>
                <w:noProof/>
                <w:webHidden/>
              </w:rPr>
              <w:instrText xml:space="preserve"> PAGEREF _Toc408812271 \h </w:instrText>
            </w:r>
            <w:r>
              <w:rPr>
                <w:noProof/>
                <w:webHidden/>
              </w:rPr>
            </w:r>
            <w:r>
              <w:rPr>
                <w:noProof/>
                <w:webHidden/>
              </w:rPr>
              <w:fldChar w:fldCharType="separate"/>
            </w:r>
            <w:r>
              <w:rPr>
                <w:noProof/>
                <w:webHidden/>
              </w:rPr>
              <w:t>21</w:t>
            </w:r>
            <w:r>
              <w:rPr>
                <w:noProof/>
                <w:webHidden/>
              </w:rPr>
              <w:fldChar w:fldCharType="end"/>
            </w:r>
          </w:hyperlink>
        </w:p>
        <w:p w:rsidR="00A212B2" w:rsidRDefault="00A212B2">
          <w:pPr>
            <w:pStyle w:val="TOC3"/>
            <w:rPr>
              <w:rFonts w:asciiTheme="minorHAnsi" w:eastAsiaTheme="minorEastAsia" w:hAnsiTheme="minorHAnsi" w:cstheme="minorBidi"/>
              <w:noProof/>
              <w:szCs w:val="22"/>
            </w:rPr>
          </w:pPr>
          <w:hyperlink w:anchor="_Toc408812272" w:history="1">
            <w:r w:rsidRPr="009B1D09">
              <w:rPr>
                <w:rStyle w:val="Hyperlink"/>
                <w:noProof/>
              </w:rPr>
              <w:t>Comparison to Previous IFRO Values</w:t>
            </w:r>
            <w:r>
              <w:rPr>
                <w:noProof/>
                <w:webHidden/>
              </w:rPr>
              <w:tab/>
            </w:r>
            <w:r>
              <w:rPr>
                <w:noProof/>
                <w:webHidden/>
              </w:rPr>
              <w:fldChar w:fldCharType="begin"/>
            </w:r>
            <w:r>
              <w:rPr>
                <w:noProof/>
                <w:webHidden/>
              </w:rPr>
              <w:instrText xml:space="preserve"> PAGEREF _Toc408812272 \h </w:instrText>
            </w:r>
            <w:r>
              <w:rPr>
                <w:noProof/>
                <w:webHidden/>
              </w:rPr>
            </w:r>
            <w:r>
              <w:rPr>
                <w:noProof/>
                <w:webHidden/>
              </w:rPr>
              <w:fldChar w:fldCharType="separate"/>
            </w:r>
            <w:r>
              <w:rPr>
                <w:noProof/>
                <w:webHidden/>
              </w:rPr>
              <w:t>22</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73" w:history="1">
            <w:r w:rsidRPr="009B1D09">
              <w:rPr>
                <w:rStyle w:val="Hyperlink"/>
                <w:noProof/>
              </w:rPr>
              <w:t>Dynamics Analysis of Recommended IFROs</w:t>
            </w:r>
            <w:r>
              <w:rPr>
                <w:noProof/>
                <w:webHidden/>
              </w:rPr>
              <w:tab/>
            </w:r>
            <w:r>
              <w:rPr>
                <w:noProof/>
                <w:webHidden/>
              </w:rPr>
              <w:fldChar w:fldCharType="begin"/>
            </w:r>
            <w:r>
              <w:rPr>
                <w:noProof/>
                <w:webHidden/>
              </w:rPr>
              <w:instrText xml:space="preserve"> PAGEREF _Toc408812273 \h </w:instrText>
            </w:r>
            <w:r>
              <w:rPr>
                <w:noProof/>
                <w:webHidden/>
              </w:rPr>
            </w:r>
            <w:r>
              <w:rPr>
                <w:noProof/>
                <w:webHidden/>
              </w:rPr>
              <w:fldChar w:fldCharType="separate"/>
            </w:r>
            <w:r>
              <w:rPr>
                <w:noProof/>
                <w:webHidden/>
              </w:rPr>
              <w:t>24</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74" w:history="1">
            <w:r w:rsidRPr="009B1D09">
              <w:rPr>
                <w:rStyle w:val="Hyperlink"/>
                <w:noProof/>
              </w:rPr>
              <w:t>Data Problems and Corrective Action Taken</w:t>
            </w:r>
            <w:r>
              <w:rPr>
                <w:noProof/>
                <w:webHidden/>
              </w:rPr>
              <w:tab/>
            </w:r>
            <w:r>
              <w:rPr>
                <w:noProof/>
                <w:webHidden/>
              </w:rPr>
              <w:fldChar w:fldCharType="begin"/>
            </w:r>
            <w:r>
              <w:rPr>
                <w:noProof/>
                <w:webHidden/>
              </w:rPr>
              <w:instrText xml:space="preserve"> PAGEREF _Toc408812274 \h </w:instrText>
            </w:r>
            <w:r>
              <w:rPr>
                <w:noProof/>
                <w:webHidden/>
              </w:rPr>
            </w:r>
            <w:r>
              <w:rPr>
                <w:noProof/>
                <w:webHidden/>
              </w:rPr>
              <w:fldChar w:fldCharType="separate"/>
            </w:r>
            <w:r>
              <w:rPr>
                <w:noProof/>
                <w:webHidden/>
              </w:rPr>
              <w:t>26</w:t>
            </w:r>
            <w:r>
              <w:rPr>
                <w:noProof/>
                <w:webHidden/>
              </w:rPr>
              <w:fldChar w:fldCharType="end"/>
            </w:r>
          </w:hyperlink>
        </w:p>
        <w:p w:rsidR="00A212B2" w:rsidRDefault="00A212B2">
          <w:pPr>
            <w:pStyle w:val="TOC1"/>
            <w:rPr>
              <w:rFonts w:asciiTheme="minorHAnsi" w:eastAsiaTheme="minorEastAsia" w:hAnsiTheme="minorHAnsi" w:cstheme="minorBidi"/>
              <w:noProof/>
              <w:szCs w:val="22"/>
            </w:rPr>
          </w:pPr>
          <w:hyperlink w:anchor="_Toc408812275" w:history="1">
            <w:r w:rsidRPr="009B1D09">
              <w:rPr>
                <w:rStyle w:val="Hyperlink"/>
                <w:noProof/>
              </w:rPr>
              <w:t>Recommendations for ALR 1-12 Frequency Event Detection and Selection Process Changes</w:t>
            </w:r>
            <w:r>
              <w:rPr>
                <w:noProof/>
                <w:webHidden/>
              </w:rPr>
              <w:tab/>
            </w:r>
            <w:r>
              <w:rPr>
                <w:noProof/>
                <w:webHidden/>
              </w:rPr>
              <w:fldChar w:fldCharType="begin"/>
            </w:r>
            <w:r>
              <w:rPr>
                <w:noProof/>
                <w:webHidden/>
              </w:rPr>
              <w:instrText xml:space="preserve"> PAGEREF _Toc408812275 \h </w:instrText>
            </w:r>
            <w:r>
              <w:rPr>
                <w:noProof/>
                <w:webHidden/>
              </w:rPr>
            </w:r>
            <w:r>
              <w:rPr>
                <w:noProof/>
                <w:webHidden/>
              </w:rPr>
              <w:fldChar w:fldCharType="separate"/>
            </w:r>
            <w:r>
              <w:rPr>
                <w:noProof/>
                <w:webHidden/>
              </w:rPr>
              <w:t>27</w:t>
            </w:r>
            <w:r>
              <w:rPr>
                <w:noProof/>
                <w:webHidden/>
              </w:rPr>
              <w:fldChar w:fldCharType="end"/>
            </w:r>
          </w:hyperlink>
        </w:p>
        <w:p w:rsidR="007E3C2E" w:rsidRDefault="00766FC7" w:rsidP="007E3C2E">
          <w:r>
            <w:fldChar w:fldCharType="end"/>
          </w:r>
        </w:p>
      </w:sdtContent>
    </w:sdt>
    <w:p w:rsidR="007E3C2E" w:rsidRPr="007E3C2E" w:rsidRDefault="007E3C2E" w:rsidP="007E3C2E"/>
    <w:p w:rsidR="007E3C2E" w:rsidRPr="007E3C2E" w:rsidRDefault="007E3C2E" w:rsidP="007E3C2E"/>
    <w:p w:rsidR="007E3C2E" w:rsidRPr="007E3C2E" w:rsidRDefault="007E3C2E" w:rsidP="007E3C2E"/>
    <w:p w:rsidR="007E3C2E" w:rsidRPr="007E3C2E" w:rsidRDefault="007E3C2E" w:rsidP="007E3C2E"/>
    <w:p w:rsidR="007E3C2E" w:rsidRPr="007E3C2E" w:rsidRDefault="007E3C2E" w:rsidP="007E3C2E"/>
    <w:p w:rsidR="007E3C2E" w:rsidRPr="007E3C2E" w:rsidRDefault="007E3C2E" w:rsidP="007E3C2E"/>
    <w:p w:rsidR="007E3C2E" w:rsidRPr="007E3C2E" w:rsidRDefault="007E3C2E" w:rsidP="007E3C2E"/>
    <w:p w:rsidR="008A3DFA" w:rsidRDefault="008A3DFA" w:rsidP="007E3C2E">
      <w:pPr>
        <w:sectPr w:rsidR="008A3DFA" w:rsidSect="00495476">
          <w:headerReference w:type="default" r:id="rId16"/>
          <w:headerReference w:type="first" r:id="rId17"/>
          <w:pgSz w:w="12240" w:h="15840" w:code="1"/>
          <w:pgMar w:top="1008" w:right="1080" w:bottom="1080" w:left="1080" w:header="720" w:footer="432" w:gutter="0"/>
          <w:pgNumType w:fmt="lowerRoman"/>
          <w:cols w:space="720"/>
          <w:docGrid w:linePitch="360"/>
        </w:sectPr>
      </w:pPr>
    </w:p>
    <w:p w:rsidR="00B5017D" w:rsidRDefault="00890D2C" w:rsidP="00B5017D">
      <w:pPr>
        <w:pStyle w:val="Heading1"/>
      </w:pPr>
      <w:bookmarkStart w:id="1" w:name="_Toc408812249"/>
      <w:r>
        <w:t>Preface</w:t>
      </w:r>
      <w:bookmarkEnd w:id="1"/>
      <w:r w:rsidR="00B5017D">
        <w:t xml:space="preserve"> </w:t>
      </w:r>
    </w:p>
    <w:p w:rsidR="00D816E8" w:rsidRDefault="00D816E8" w:rsidP="00890D2C"/>
    <w:p w:rsidR="00B32519" w:rsidRDefault="00002C25" w:rsidP="00890D2C">
      <w:r w:rsidRPr="00002C25">
        <w:t>The North American Electric Reliability Corporation</w:t>
      </w:r>
      <w:r>
        <w:t xml:space="preserve"> (NERC)</w:t>
      </w:r>
      <w:r w:rsidRPr="00002C25">
        <w:t xml:space="preserve"> is</w:t>
      </w:r>
      <w:r>
        <w:t xml:space="preserve"> a</w:t>
      </w:r>
      <w:r w:rsidR="002C5EFE">
        <w:t xml:space="preserve"> no</w:t>
      </w:r>
      <w:r w:rsidR="00975CAB">
        <w:t>t-fo</w:t>
      </w:r>
      <w:r w:rsidR="00C65CAA">
        <w:t>r</w:t>
      </w:r>
      <w:r w:rsidR="00975CAB">
        <w:t>-</w:t>
      </w:r>
      <w:r w:rsidR="002C5EFE">
        <w:t>profit</w:t>
      </w:r>
      <w:r>
        <w:t xml:space="preserve"> international regulatory authority</w:t>
      </w:r>
      <w:r w:rsidRPr="00002C25">
        <w:t xml:space="preserve"> whose mission is to ensure the reliability of the </w:t>
      </w:r>
      <w:r w:rsidR="00952D23">
        <w:t>bulk p</w:t>
      </w:r>
      <w:r w:rsidRPr="00002C25">
        <w:t xml:space="preserve">ower </w:t>
      </w:r>
      <w:r w:rsidR="00952D23">
        <w:t>s</w:t>
      </w:r>
      <w:r w:rsidRPr="00002C25">
        <w:t>ystem</w:t>
      </w:r>
      <w:r>
        <w:t xml:space="preserve"> (BPS)</w:t>
      </w:r>
      <w:r w:rsidRPr="00002C25">
        <w:t xml:space="preserve"> in North America. NERC develops and enforces </w:t>
      </w:r>
      <w:r w:rsidR="00C65CAA">
        <w:t>R</w:t>
      </w:r>
      <w:r w:rsidRPr="00002C25">
        <w:t xml:space="preserve">eliability </w:t>
      </w:r>
      <w:r w:rsidR="00C65CAA">
        <w:t>S</w:t>
      </w:r>
      <w:r w:rsidRPr="00002C25">
        <w:t xml:space="preserve">tandards; annually assesses seasonal and long‐term reliability; monitors the </w:t>
      </w:r>
      <w:r>
        <w:t>BPS</w:t>
      </w:r>
      <w:r w:rsidRPr="00002C25">
        <w:t xml:space="preserve"> through system awareness; and educates, trains</w:t>
      </w:r>
      <w:r w:rsidR="00000980">
        <w:t>,</w:t>
      </w:r>
      <w:r w:rsidRPr="00002C25">
        <w:t xml:space="preserve"> and certifies industry personnel. NERC’s area of responsibility spans the continental United States, Canada</w:t>
      </w:r>
      <w:r>
        <w:t>,</w:t>
      </w:r>
      <w:r w:rsidRPr="00002C25">
        <w:t xml:space="preserve"> and the northern portion of Baja California, Mexico. NERC is the electric reliability organization</w:t>
      </w:r>
      <w:r>
        <w:t xml:space="preserve"> (ERO)</w:t>
      </w:r>
      <w:r w:rsidRPr="00002C25">
        <w:t xml:space="preserve"> for North America, subject to oversight by the Federal Energy Regulatory Commission</w:t>
      </w:r>
      <w:r>
        <w:t xml:space="preserve"> (FERC)</w:t>
      </w:r>
      <w:r w:rsidRPr="00002C25">
        <w:t xml:space="preserve"> and governmental authorities in Canada. </w:t>
      </w:r>
      <w:r w:rsidR="00C65CAA" w:rsidRPr="00002C25">
        <w:t>NERC’s jurisdiction</w:t>
      </w:r>
      <w:r w:rsidR="00C65CAA">
        <w:t xml:space="preserve"> includes u</w:t>
      </w:r>
      <w:r w:rsidR="002C5EFE" w:rsidRPr="00002C25">
        <w:t>sers, owners</w:t>
      </w:r>
      <w:r w:rsidR="002C5EFE">
        <w:t>,</w:t>
      </w:r>
      <w:r w:rsidR="002C5EFE" w:rsidRPr="00002C25">
        <w:t xml:space="preserve"> and operators of the </w:t>
      </w:r>
      <w:r w:rsidR="002C5EFE">
        <w:t>BPS</w:t>
      </w:r>
      <w:r w:rsidR="002C5EFE" w:rsidRPr="00002C25">
        <w:t>, which serves more than 334 million people</w:t>
      </w:r>
      <w:r w:rsidR="002C5EFE">
        <w:t>.</w:t>
      </w:r>
      <w:r w:rsidRPr="00002C25">
        <w:t xml:space="preserve"> </w:t>
      </w:r>
    </w:p>
    <w:p w:rsidR="002C5EFE" w:rsidRDefault="002C5EFE" w:rsidP="00B32519"/>
    <w:p w:rsidR="00B32519" w:rsidRDefault="00B32519" w:rsidP="00B32519">
      <w:r>
        <w:t>The North American BPS is divided into eight Regional Entit</w:t>
      </w:r>
      <w:r w:rsidR="00FB52B0">
        <w:t>ies</w:t>
      </w:r>
      <w:r w:rsidR="001568A1">
        <w:t xml:space="preserve"> (RE)</w:t>
      </w:r>
      <w:r>
        <w:t>, as shown in the map and corresponding table below.</w:t>
      </w:r>
    </w:p>
    <w:p w:rsidR="00890D2C" w:rsidRDefault="00890D2C" w:rsidP="00890D2C">
      <w:pPr>
        <w:rPr>
          <w:noProof/>
        </w:rPr>
      </w:pPr>
    </w:p>
    <w:p w:rsidR="007E121E" w:rsidRDefault="007E121E" w:rsidP="007E3C2E">
      <w:pPr>
        <w:jc w:val="center"/>
      </w:pPr>
    </w:p>
    <w:p w:rsidR="007E121E" w:rsidRDefault="007E121E" w:rsidP="007E3C2E">
      <w:pPr>
        <w:jc w:val="center"/>
      </w:pPr>
      <w:r w:rsidRPr="007E121E">
        <w:rPr>
          <w:rFonts w:ascii="Tahoma" w:hAnsi="Tahoma" w:cs="Tahoma"/>
          <w:b/>
          <w:noProof/>
          <w:sz w:val="24"/>
          <w:szCs w:val="24"/>
        </w:rPr>
        <w:drawing>
          <wp:anchor distT="0" distB="0" distL="114300" distR="114300" simplePos="0" relativeHeight="251667456" behindDoc="1" locked="0" layoutInCell="1" allowOverlap="1" wp14:anchorId="3559B8A8" wp14:editId="4E0DE264">
            <wp:simplePos x="0" y="0"/>
            <wp:positionH relativeFrom="margin">
              <wp:align>left</wp:align>
            </wp:positionH>
            <wp:positionV relativeFrom="paragraph">
              <wp:posOffset>26670</wp:posOffset>
            </wp:positionV>
            <wp:extent cx="3632200" cy="2724150"/>
            <wp:effectExtent l="0" t="0" r="6350" b="0"/>
            <wp:wrapTight wrapText="bothSides">
              <wp:wrapPolygon edited="0">
                <wp:start x="0" y="0"/>
                <wp:lineTo x="0" y="21449"/>
                <wp:lineTo x="21524" y="2144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C_Regions201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2200" cy="2724150"/>
                    </a:xfrm>
                    <a:prstGeom prst="rect">
                      <a:avLst/>
                    </a:prstGeom>
                  </pic:spPr>
                </pic:pic>
              </a:graphicData>
            </a:graphic>
          </wp:anchor>
        </w:drawing>
      </w:r>
    </w:p>
    <w:p w:rsidR="007E121E" w:rsidRDefault="007E121E" w:rsidP="007E3C2E">
      <w:pPr>
        <w:jc w:val="center"/>
        <w:rPr>
          <w:rFonts w:ascii="Tahoma" w:hAnsi="Tahoma" w:cs="Tahoma"/>
          <w:b/>
          <w:sz w:val="24"/>
          <w:szCs w:val="24"/>
        </w:rPr>
      </w:pPr>
    </w:p>
    <w:tbl>
      <w:tblPr>
        <w:tblStyle w:val="TableGrid"/>
        <w:tblpPr w:leftFromText="180" w:rightFromText="180" w:vertAnchor="text" w:horzAnchor="margin" w:tblpXSpec="right" w:tblpY="124"/>
        <w:tblW w:w="0" w:type="auto"/>
        <w:shd w:val="clear" w:color="auto" w:fill="AFCDE3" w:themeFill="accent3"/>
        <w:tblLook w:val="04A0" w:firstRow="1" w:lastRow="0" w:firstColumn="1" w:lastColumn="0" w:noHBand="0" w:noVBand="1"/>
      </w:tblPr>
      <w:tblGrid>
        <w:gridCol w:w="864"/>
        <w:gridCol w:w="3456"/>
      </w:tblGrid>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FRCC</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Florida Reliability Coordinating Council</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MRO</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Midwest Reliability Organization</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NPCC</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Northeast Power Coordinating Council</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RF</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Reliability</w:t>
            </w:r>
            <w:r w:rsidRPr="006A1206">
              <w:rPr>
                <w:rFonts w:asciiTheme="minorHAnsi" w:hAnsiTheme="minorHAnsi"/>
              </w:rPr>
              <w:t xml:space="preserve">First </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SERC</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SERC Reliability Corporation</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SPP-RE</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Southwest Power Pool Regional Entity</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TRE</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Texas Reliability Entity</w:t>
            </w:r>
          </w:p>
        </w:tc>
      </w:tr>
      <w:tr w:rsidR="006542C3" w:rsidTr="006542C3">
        <w:tc>
          <w:tcPr>
            <w:tcW w:w="864" w:type="dxa"/>
            <w:shd w:val="clear" w:color="auto" w:fill="AFCDE3" w:themeFill="accent3"/>
          </w:tcPr>
          <w:p w:rsidR="006542C3" w:rsidRPr="00B11AEA" w:rsidRDefault="006542C3" w:rsidP="006542C3">
            <w:pPr>
              <w:rPr>
                <w:rFonts w:asciiTheme="minorHAnsi" w:hAnsiTheme="minorHAnsi"/>
                <w:b/>
              </w:rPr>
            </w:pPr>
            <w:r w:rsidRPr="00B11AEA">
              <w:rPr>
                <w:rFonts w:asciiTheme="minorHAnsi" w:hAnsiTheme="minorHAnsi"/>
                <w:b/>
              </w:rPr>
              <w:t>WECC</w:t>
            </w:r>
          </w:p>
        </w:tc>
        <w:tc>
          <w:tcPr>
            <w:tcW w:w="3456" w:type="dxa"/>
            <w:shd w:val="clear" w:color="auto" w:fill="AFCDE3" w:themeFill="accent3"/>
          </w:tcPr>
          <w:p w:rsidR="006542C3" w:rsidRPr="00B11AEA" w:rsidRDefault="006542C3" w:rsidP="006542C3">
            <w:pPr>
              <w:jc w:val="left"/>
              <w:rPr>
                <w:rFonts w:asciiTheme="minorHAnsi" w:hAnsiTheme="minorHAnsi"/>
              </w:rPr>
            </w:pPr>
            <w:r w:rsidRPr="00B11AEA">
              <w:rPr>
                <w:rFonts w:asciiTheme="minorHAnsi" w:hAnsiTheme="minorHAnsi"/>
              </w:rPr>
              <w:t>Western Electric</w:t>
            </w:r>
            <w:r w:rsidR="007E3405">
              <w:rPr>
                <w:rFonts w:asciiTheme="minorHAnsi" w:hAnsiTheme="minorHAnsi"/>
              </w:rPr>
              <w:t>ity</w:t>
            </w:r>
            <w:r w:rsidRPr="00B11AEA">
              <w:rPr>
                <w:rFonts w:asciiTheme="minorHAnsi" w:hAnsiTheme="minorHAnsi"/>
              </w:rPr>
              <w:t xml:space="preserve"> Coordinating Council</w:t>
            </w:r>
          </w:p>
        </w:tc>
      </w:tr>
    </w:tbl>
    <w:p w:rsidR="007E121E" w:rsidRDefault="007E121E" w:rsidP="007E3C2E">
      <w:pPr>
        <w:jc w:val="center"/>
        <w:rPr>
          <w:rFonts w:ascii="Tahoma" w:hAnsi="Tahoma" w:cs="Tahoma"/>
          <w:b/>
          <w:sz w:val="24"/>
          <w:szCs w:val="24"/>
        </w:rPr>
      </w:pPr>
    </w:p>
    <w:p w:rsidR="00901BC1" w:rsidRDefault="00901BC1" w:rsidP="00901BC1">
      <w:pPr>
        <w:jc w:val="left"/>
        <w:rPr>
          <w:rFonts w:ascii="Tahoma" w:hAnsi="Tahoma" w:cs="Tahoma"/>
          <w:b/>
          <w:sz w:val="24"/>
          <w:szCs w:val="24"/>
        </w:rPr>
      </w:pPr>
      <w:r>
        <w:rPr>
          <w:rFonts w:ascii="Tahoma" w:hAnsi="Tahoma" w:cs="Tahoma"/>
          <w:b/>
          <w:sz w:val="24"/>
          <w:szCs w:val="24"/>
        </w:rPr>
        <w:br w:type="page"/>
      </w:r>
    </w:p>
    <w:p w:rsidR="00901BC1" w:rsidRPr="00901BC1" w:rsidRDefault="00901BC1" w:rsidP="00924C17">
      <w:pPr>
        <w:pStyle w:val="Heading2"/>
      </w:pPr>
      <w:bookmarkStart w:id="2" w:name="_Toc408812250"/>
      <w:r w:rsidRPr="00901BC1">
        <w:t>This Report</w:t>
      </w:r>
      <w:bookmarkEnd w:id="2"/>
    </w:p>
    <w:p w:rsidR="00901BC1" w:rsidRDefault="00901BC1" w:rsidP="00901BC1">
      <w:r w:rsidRPr="00901BC1">
        <w:t xml:space="preserve">This </w:t>
      </w:r>
      <w:r w:rsidR="00265F10">
        <w:t xml:space="preserve">report </w:t>
      </w:r>
      <w:r w:rsidRPr="00901BC1">
        <w:t xml:space="preserve">is the </w:t>
      </w:r>
      <w:r>
        <w:t xml:space="preserve">2014 </w:t>
      </w:r>
      <w:r w:rsidRPr="00901BC1">
        <w:t xml:space="preserve">annual analysis of Frequency Response performance for the administration and support of NERC Reliability Standard BAL-003-1 </w:t>
      </w:r>
      <w:r w:rsidR="00AF40A6">
        <w:t xml:space="preserve">– </w:t>
      </w:r>
      <w:r w:rsidRPr="00901BC1">
        <w:t xml:space="preserve">Frequency Response and Frequency Bias Setting. It provides an update to the statistical analyses and calculations contained in the </w:t>
      </w:r>
      <w:r w:rsidRPr="00901BC1">
        <w:rPr>
          <w:i/>
        </w:rPr>
        <w:t>2012 Frequency Response Initiative Report</w:t>
      </w:r>
      <w:r w:rsidRPr="00901BC1">
        <w:t xml:space="preserve"> approved by the NERC Resources Subcommittee and Operating Committee, and accepted by the NERC Board of Trustees. No changes are proposed to the procedures recommended in that report.</w:t>
      </w:r>
    </w:p>
    <w:p w:rsidR="00901BC1" w:rsidRPr="00901BC1" w:rsidRDefault="00901BC1" w:rsidP="00901BC1"/>
    <w:p w:rsidR="00901BC1" w:rsidRDefault="004D5924" w:rsidP="00901BC1">
      <w:r>
        <w:t>This report, prepared by the NERC staff</w:t>
      </w:r>
      <w:r w:rsidR="00A313A5">
        <w:t>,</w:t>
      </w:r>
      <w:r w:rsidR="007E034A">
        <w:rPr>
          <w:rStyle w:val="FootnoteReference"/>
        </w:rPr>
        <w:footnoteReference w:id="1"/>
      </w:r>
      <w:r>
        <w:t xml:space="preserve"> </w:t>
      </w:r>
      <w:r w:rsidR="00901BC1" w:rsidRPr="00901BC1">
        <w:t>contains the analysis and annual recommendations for the calculation of the Interconnection Frequency Response Obligation (IFRO) for each of the four electrical interconnections of North America</w:t>
      </w:r>
      <w:r w:rsidR="00AF40A6">
        <w:t xml:space="preserve"> for the operational year 2015 (December 2014 through November 2015)</w:t>
      </w:r>
      <w:r w:rsidR="00901BC1" w:rsidRPr="00901BC1">
        <w:t>. This includes:</w:t>
      </w:r>
    </w:p>
    <w:p w:rsidR="00901BC1" w:rsidRPr="00901BC1" w:rsidRDefault="00901BC1" w:rsidP="00901BC1"/>
    <w:p w:rsidR="00901BC1" w:rsidRPr="00901BC1" w:rsidRDefault="00901BC1" w:rsidP="00866C29">
      <w:pPr>
        <w:pStyle w:val="ListParagraph"/>
        <w:numPr>
          <w:ilvl w:val="0"/>
          <w:numId w:val="16"/>
        </w:numPr>
      </w:pPr>
      <w:r w:rsidRPr="00901BC1">
        <w:t xml:space="preserve">Statistical analysis of the </w:t>
      </w:r>
      <w:r w:rsidR="00A565A2">
        <w:t xml:space="preserve">interconnection </w:t>
      </w:r>
      <w:r w:rsidRPr="00901BC1">
        <w:t xml:space="preserve">frequency </w:t>
      </w:r>
      <w:r w:rsidR="00A565A2">
        <w:t>characteristics</w:t>
      </w:r>
      <w:r w:rsidRPr="00901BC1">
        <w:t xml:space="preserve"> for the period January 1, 201</w:t>
      </w:r>
      <w:r w:rsidR="00A565A2">
        <w:t>1</w:t>
      </w:r>
      <w:r w:rsidRPr="00901BC1">
        <w:t xml:space="preserve"> through December 31, 201</w:t>
      </w:r>
      <w:r>
        <w:t>3</w:t>
      </w:r>
      <w:r w:rsidR="00A313A5" w:rsidRPr="00901BC1">
        <w:t>.</w:t>
      </w:r>
      <w:r w:rsidR="00A565A2">
        <w:rPr>
          <w:rStyle w:val="FootnoteReference"/>
        </w:rPr>
        <w:footnoteReference w:id="2"/>
      </w:r>
    </w:p>
    <w:p w:rsidR="00901BC1" w:rsidRPr="00901BC1" w:rsidRDefault="00901BC1" w:rsidP="00866C29">
      <w:pPr>
        <w:pStyle w:val="ListParagraph"/>
        <w:numPr>
          <w:ilvl w:val="0"/>
          <w:numId w:val="16"/>
        </w:numPr>
      </w:pPr>
      <w:r w:rsidRPr="00901BC1">
        <w:t xml:space="preserve">Analysis of the </w:t>
      </w:r>
      <w:r w:rsidR="00A565A2">
        <w:t xml:space="preserve">interconnection frequency response performance for </w:t>
      </w:r>
      <w:r w:rsidRPr="00901BC1">
        <w:t xml:space="preserve">frequency events occurring between </w:t>
      </w:r>
      <w:r w:rsidR="00AF40A6">
        <w:t>January</w:t>
      </w:r>
      <w:r w:rsidRPr="00901BC1">
        <w:t xml:space="preserve"> 1, 201</w:t>
      </w:r>
      <w:r w:rsidR="00762A74">
        <w:t>1</w:t>
      </w:r>
      <w:r w:rsidRPr="00901BC1">
        <w:t xml:space="preserve">, and </w:t>
      </w:r>
      <w:r w:rsidR="00265F10">
        <w:t>May</w:t>
      </w:r>
      <w:r w:rsidRPr="00901BC1">
        <w:t xml:space="preserve"> 3</w:t>
      </w:r>
      <w:r w:rsidR="00265F10">
        <w:t>1</w:t>
      </w:r>
      <w:r w:rsidRPr="00901BC1">
        <w:t>, 201</w:t>
      </w:r>
      <w:r w:rsidR="00265F10">
        <w:t>4</w:t>
      </w:r>
      <w:r w:rsidRPr="00901BC1">
        <w:t xml:space="preserve"> to determine appropriate adjustment factors for calculating the IFROs.</w:t>
      </w:r>
    </w:p>
    <w:p w:rsidR="00A565A2" w:rsidRPr="00901BC1" w:rsidRDefault="00A565A2" w:rsidP="00866C29">
      <w:pPr>
        <w:pStyle w:val="ListParagraph"/>
        <w:numPr>
          <w:ilvl w:val="0"/>
          <w:numId w:val="15"/>
        </w:numPr>
      </w:pPr>
      <w:r w:rsidRPr="00901BC1">
        <w:t xml:space="preserve">Dynamics analysis of the recommended IFROs. </w:t>
      </w:r>
    </w:p>
    <w:p w:rsidR="00901BC1" w:rsidRDefault="00901BC1" w:rsidP="00901BC1"/>
    <w:p w:rsidR="00901BC1" w:rsidRDefault="00221C6E" w:rsidP="00901BC1">
      <w:r>
        <w:t>This report also includes</w:t>
      </w:r>
      <w:r w:rsidR="00901BC1" w:rsidRPr="00901BC1">
        <w:t>:</w:t>
      </w:r>
    </w:p>
    <w:p w:rsidR="00901BC1" w:rsidRPr="00901BC1" w:rsidRDefault="00901BC1" w:rsidP="00901BC1"/>
    <w:p w:rsidR="00901BC1" w:rsidRDefault="00AF40A6" w:rsidP="00866C29">
      <w:pPr>
        <w:pStyle w:val="ListParagraph"/>
        <w:numPr>
          <w:ilvl w:val="0"/>
          <w:numId w:val="15"/>
        </w:numPr>
      </w:pPr>
      <w:r>
        <w:t xml:space="preserve">Analysis of </w:t>
      </w:r>
      <w:r w:rsidR="00221C6E">
        <w:t>frequency anomalies discovered in the 1-second frequency data used as the basis for calculating starting frequencies.</w:t>
      </w:r>
    </w:p>
    <w:p w:rsidR="00221C6E" w:rsidRDefault="00221C6E" w:rsidP="00866C29">
      <w:pPr>
        <w:pStyle w:val="ListParagraph"/>
        <w:numPr>
          <w:ilvl w:val="0"/>
          <w:numId w:val="15"/>
        </w:numPr>
      </w:pPr>
      <w:r>
        <w:t xml:space="preserve">Analysis of outlier events in frequency response performance contained in the </w:t>
      </w:r>
      <w:r w:rsidR="00A40C2F" w:rsidRPr="00A40C2F">
        <w:rPr>
          <w:i/>
        </w:rPr>
        <w:t>State of Reliability 2014</w:t>
      </w:r>
      <w:r w:rsidR="00A40C2F">
        <w:t xml:space="preserve"> </w:t>
      </w:r>
      <w:r>
        <w:t>report for the Eastern Interconnection.</w:t>
      </w:r>
    </w:p>
    <w:p w:rsidR="00221C6E" w:rsidRPr="00AF40A6" w:rsidRDefault="00221C6E" w:rsidP="00866C29">
      <w:pPr>
        <w:pStyle w:val="ListParagraph"/>
        <w:numPr>
          <w:ilvl w:val="0"/>
          <w:numId w:val="15"/>
        </w:numPr>
      </w:pPr>
      <w:r>
        <w:t>Recommendations for additional frequency analysis and proposed changes to the detection and selection of frequency events for the ALR 1-12 Frequency Response metric.</w:t>
      </w:r>
    </w:p>
    <w:p w:rsidR="00901BC1" w:rsidRDefault="00901BC1" w:rsidP="00901BC1"/>
    <w:p w:rsidR="00901BC1" w:rsidRDefault="00FB52B0" w:rsidP="00901BC1">
      <w:pPr>
        <w:jc w:val="left"/>
        <w:rPr>
          <w:rFonts w:ascii="Tahoma" w:hAnsi="Tahoma" w:cs="Tahoma"/>
          <w:b/>
          <w:sz w:val="24"/>
          <w:szCs w:val="24"/>
        </w:rPr>
      </w:pPr>
      <w:r>
        <w:rPr>
          <w:rFonts w:ascii="Tahoma" w:hAnsi="Tahoma" w:cs="Tahoma"/>
          <w:b/>
          <w:sz w:val="24"/>
          <w:szCs w:val="24"/>
        </w:rPr>
        <w:pict w14:anchorId="05B2FC9C">
          <v:rect id="_x0000_i1025" style="width:0;height:1.5pt" o:hralign="center" o:hrstd="t" o:hr="t" fillcolor="#a0a0a0" stroked="f"/>
        </w:pict>
      </w:r>
    </w:p>
    <w:p w:rsidR="00901BC1" w:rsidRPr="00901BC1" w:rsidRDefault="00901BC1" w:rsidP="00901BC1">
      <w:pPr>
        <w:rPr>
          <w:i/>
        </w:rPr>
      </w:pPr>
      <w:r w:rsidRPr="00901BC1">
        <w:rPr>
          <w:i/>
        </w:rPr>
        <w:t xml:space="preserve">This report was approved by the Resources Subcommittee on </w:t>
      </w:r>
      <w:r w:rsidR="001B2F19">
        <w:rPr>
          <w:i/>
          <w:highlight w:val="yellow"/>
        </w:rPr>
        <w:t>January</w:t>
      </w:r>
      <w:r w:rsidRPr="00A565A2">
        <w:rPr>
          <w:i/>
          <w:highlight w:val="yellow"/>
        </w:rPr>
        <w:t xml:space="preserve"> </w:t>
      </w:r>
      <w:r w:rsidR="00AF40A6">
        <w:rPr>
          <w:i/>
          <w:highlight w:val="yellow"/>
        </w:rPr>
        <w:t>_______</w:t>
      </w:r>
      <w:r w:rsidR="001B2F19">
        <w:rPr>
          <w:i/>
          <w:highlight w:val="yellow"/>
        </w:rPr>
        <w:t>, 2015</w:t>
      </w:r>
      <w:r w:rsidRPr="00A565A2">
        <w:rPr>
          <w:i/>
          <w:highlight w:val="yellow"/>
        </w:rPr>
        <w:t xml:space="preserve">, via </w:t>
      </w:r>
      <w:r w:rsidR="001B2F19">
        <w:rPr>
          <w:i/>
          <w:highlight w:val="yellow"/>
        </w:rPr>
        <w:t>e-mail</w:t>
      </w:r>
      <w:r w:rsidR="001B2F19" w:rsidRPr="00A565A2">
        <w:rPr>
          <w:i/>
          <w:highlight w:val="yellow"/>
        </w:rPr>
        <w:t xml:space="preserve"> vote</w:t>
      </w:r>
      <w:r w:rsidRPr="00901BC1">
        <w:rPr>
          <w:i/>
        </w:rPr>
        <w:t>.</w:t>
      </w:r>
    </w:p>
    <w:p w:rsidR="00901BC1" w:rsidRPr="00901BC1" w:rsidRDefault="00901BC1" w:rsidP="00901BC1">
      <w:pPr>
        <w:rPr>
          <w:i/>
        </w:rPr>
      </w:pPr>
    </w:p>
    <w:p w:rsidR="00901BC1" w:rsidRPr="00901BC1" w:rsidRDefault="00901BC1" w:rsidP="00901BC1">
      <w:pPr>
        <w:rPr>
          <w:i/>
        </w:rPr>
      </w:pPr>
      <w:r w:rsidRPr="00901BC1">
        <w:rPr>
          <w:i/>
        </w:rPr>
        <w:t xml:space="preserve">This report was approved by the Operating Committee Executive Committee on </w:t>
      </w:r>
      <w:r w:rsidR="001B2F19">
        <w:rPr>
          <w:i/>
        </w:rPr>
        <w:t>January</w:t>
      </w:r>
      <w:r w:rsidR="00AF40A6">
        <w:rPr>
          <w:i/>
          <w:highlight w:val="yellow"/>
        </w:rPr>
        <w:t>___________</w:t>
      </w:r>
      <w:r w:rsidR="001B2F19">
        <w:rPr>
          <w:i/>
          <w:highlight w:val="yellow"/>
        </w:rPr>
        <w:t>, 2015</w:t>
      </w:r>
      <w:r w:rsidRPr="00A565A2">
        <w:rPr>
          <w:i/>
          <w:highlight w:val="yellow"/>
        </w:rPr>
        <w:t>, via conference call</w:t>
      </w:r>
      <w:r w:rsidR="00AF40A6">
        <w:rPr>
          <w:i/>
          <w:highlight w:val="yellow"/>
        </w:rPr>
        <w:t>/e-mail</w:t>
      </w:r>
      <w:r w:rsidRPr="00A565A2">
        <w:rPr>
          <w:i/>
          <w:highlight w:val="yellow"/>
        </w:rPr>
        <w:t xml:space="preserve"> vote</w:t>
      </w:r>
      <w:r w:rsidRPr="00901BC1">
        <w:rPr>
          <w:i/>
        </w:rPr>
        <w:t>.</w:t>
      </w:r>
    </w:p>
    <w:p w:rsidR="00901BC1" w:rsidRDefault="00901BC1" w:rsidP="00901BC1">
      <w:pPr>
        <w:jc w:val="left"/>
        <w:rPr>
          <w:rFonts w:ascii="Tahoma" w:hAnsi="Tahoma" w:cs="Tahoma"/>
          <w:b/>
          <w:sz w:val="24"/>
          <w:szCs w:val="24"/>
        </w:rPr>
      </w:pPr>
    </w:p>
    <w:p w:rsidR="008A3DFA" w:rsidRDefault="008A3DFA" w:rsidP="007E3C2E">
      <w:pPr>
        <w:jc w:val="center"/>
        <w:rPr>
          <w:rFonts w:ascii="Tahoma" w:hAnsi="Tahoma" w:cs="Tahoma"/>
          <w:b/>
          <w:sz w:val="24"/>
          <w:szCs w:val="24"/>
        </w:rPr>
        <w:sectPr w:rsidR="008A3DFA" w:rsidSect="00607521">
          <w:pgSz w:w="12240" w:h="15840" w:code="1"/>
          <w:pgMar w:top="1008" w:right="1080" w:bottom="1080" w:left="1080" w:header="720" w:footer="432" w:gutter="0"/>
          <w:pgNumType w:fmt="lowerRoman"/>
          <w:cols w:space="720"/>
          <w:titlePg/>
          <w:docGrid w:linePitch="360"/>
        </w:sectPr>
      </w:pPr>
    </w:p>
    <w:p w:rsidR="00890D2C" w:rsidRDefault="00CD2259" w:rsidP="00CD2259">
      <w:pPr>
        <w:pStyle w:val="Heading1"/>
      </w:pPr>
      <w:bookmarkStart w:id="3" w:name="_Toc408812251"/>
      <w:r>
        <w:t>Executive Summary</w:t>
      </w:r>
      <w:bookmarkEnd w:id="3"/>
    </w:p>
    <w:p w:rsidR="00B113BB" w:rsidRPr="00924C17" w:rsidRDefault="00B113BB" w:rsidP="00F65383"/>
    <w:p w:rsidR="00924C17" w:rsidRDefault="00924C17" w:rsidP="00924C17">
      <w:pPr>
        <w:pStyle w:val="Heading2"/>
      </w:pPr>
      <w:bookmarkStart w:id="4" w:name="_Toc408812252"/>
      <w:r>
        <w:t>Recommendations</w:t>
      </w:r>
      <w:bookmarkEnd w:id="4"/>
    </w:p>
    <w:p w:rsidR="00267E3B" w:rsidRDefault="00924C17" w:rsidP="00924C17">
      <w:r>
        <w:t xml:space="preserve">The following are the recommended parameters and adjustments to use when calculating the IFROs for the 2015 Frequency Response period (December 2014 through November 2015) during the BAL-003-1 Field Trial. </w:t>
      </w:r>
    </w:p>
    <w:p w:rsidR="00267E3B" w:rsidRDefault="00267E3B" w:rsidP="00924C17"/>
    <w:p w:rsidR="00924C17" w:rsidRDefault="00267E3B" w:rsidP="00924C17">
      <w:r w:rsidRPr="001B2F19">
        <w:t>In accordance with the BAL-003-1 detailed implementation plan (and a</w:t>
      </w:r>
      <w:r w:rsidR="00924C17" w:rsidRPr="001B2F19">
        <w:t>s a condition of approval by the Resources Subcommittee and the Operating Committee</w:t>
      </w:r>
      <w:r w:rsidRPr="001B2F19">
        <w:t>),</w:t>
      </w:r>
      <w:r w:rsidR="00924C17" w:rsidRPr="001B2F19">
        <w:t xml:space="preserve"> these analyses are to be </w:t>
      </w:r>
      <w:r w:rsidRPr="001B2F19">
        <w:t>performed annually</w:t>
      </w:r>
      <w:r w:rsidR="00924C17" w:rsidRPr="001B2F19">
        <w:t xml:space="preserve"> </w:t>
      </w:r>
      <w:r w:rsidRPr="001B2F19">
        <w:t>and the results published by November 15 each year, starting in 2015</w:t>
      </w:r>
      <w:r w:rsidR="00924C17" w:rsidRPr="001B2F19">
        <w:t>.</w:t>
      </w:r>
    </w:p>
    <w:p w:rsidR="00924C17" w:rsidRDefault="00924C17" w:rsidP="00924C17"/>
    <w:p w:rsidR="00924C17" w:rsidRDefault="00924C17" w:rsidP="00866C29">
      <w:pPr>
        <w:pStyle w:val="ListParagraph"/>
        <w:numPr>
          <w:ilvl w:val="0"/>
          <w:numId w:val="17"/>
        </w:numPr>
      </w:pPr>
      <w:r>
        <w:t xml:space="preserve">No changes are proposed to the procedures recommended in the </w:t>
      </w:r>
      <w:r w:rsidRPr="00924C17">
        <w:rPr>
          <w:i/>
        </w:rPr>
        <w:t>2012 Frequency Response Initiative Report</w:t>
      </w:r>
      <w:r>
        <w:t>.</w:t>
      </w:r>
    </w:p>
    <w:p w:rsidR="00924C17" w:rsidRDefault="00924C17" w:rsidP="00924C17"/>
    <w:p w:rsidR="00924C17" w:rsidRDefault="00924C17" w:rsidP="00866C29">
      <w:pPr>
        <w:pStyle w:val="ListParagraph"/>
        <w:numPr>
          <w:ilvl w:val="0"/>
          <w:numId w:val="17"/>
        </w:numPr>
      </w:pPr>
      <w:r>
        <w:t xml:space="preserve">The </w:t>
      </w:r>
      <w:r w:rsidR="00221C6E">
        <w:t xml:space="preserve">IFROs for operating year 2015 (December 2014 through November 2015) </w:t>
      </w:r>
      <w:r>
        <w:t>are calculated as shown in Table A.</w:t>
      </w:r>
    </w:p>
    <w:p w:rsidR="00924C17" w:rsidRDefault="00924C17" w:rsidP="00924C17"/>
    <w:tbl>
      <w:tblPr>
        <w:tblW w:w="8650"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610"/>
        <w:gridCol w:w="1083"/>
        <w:gridCol w:w="1224"/>
        <w:gridCol w:w="1147"/>
        <w:gridCol w:w="1199"/>
        <w:gridCol w:w="1387"/>
      </w:tblGrid>
      <w:tr w:rsidR="00221C6E" w:rsidRPr="00543476" w:rsidTr="00A875BF">
        <w:trPr>
          <w:cantSplit/>
          <w:trHeight w:val="273"/>
          <w:jc w:val="center"/>
        </w:trPr>
        <w:tc>
          <w:tcPr>
            <w:tcW w:w="8650" w:type="dxa"/>
            <w:gridSpan w:val="6"/>
            <w:tcBorders>
              <w:top w:val="single" w:sz="6" w:space="0" w:color="1A3B62"/>
              <w:left w:val="single" w:sz="6" w:space="0" w:color="1A3B62"/>
              <w:bottom w:val="single" w:sz="6" w:space="0" w:color="1A3B62"/>
              <w:right w:val="single" w:sz="6" w:space="0" w:color="1A3B62"/>
            </w:tcBorders>
            <w:shd w:val="clear" w:color="auto" w:fill="264D74"/>
            <w:tcMar>
              <w:top w:w="72" w:type="dxa"/>
              <w:left w:w="115" w:type="dxa"/>
              <w:bottom w:w="72" w:type="dxa"/>
              <w:right w:w="115" w:type="dxa"/>
            </w:tcMar>
            <w:vAlign w:val="center"/>
          </w:tcPr>
          <w:p w:rsidR="00221C6E" w:rsidRPr="00543476" w:rsidRDefault="00221C6E" w:rsidP="00221C6E">
            <w:pPr>
              <w:tabs>
                <w:tab w:val="left" w:pos="721"/>
              </w:tabs>
              <w:spacing w:beforeLines="20" w:before="48" w:afterLines="20" w:after="48"/>
              <w:jc w:val="center"/>
              <w:rPr>
                <w:rFonts w:asciiTheme="minorHAnsi" w:hAnsiTheme="minorHAnsi" w:cs="Arial"/>
                <w:b/>
                <w:color w:val="FFFFFF"/>
                <w:szCs w:val="22"/>
              </w:rPr>
            </w:pPr>
            <w:r w:rsidRPr="00543476">
              <w:rPr>
                <w:rFonts w:asciiTheme="minorHAnsi" w:hAnsiTheme="minorHAnsi" w:cs="Arial"/>
                <w:b/>
                <w:color w:val="FFFFFF"/>
                <w:szCs w:val="22"/>
              </w:rPr>
              <w:t xml:space="preserve">Table </w:t>
            </w:r>
            <w:r>
              <w:rPr>
                <w:rFonts w:asciiTheme="minorHAnsi" w:hAnsiTheme="minorHAnsi" w:cs="Arial"/>
                <w:b/>
                <w:color w:val="FFFFFF"/>
                <w:szCs w:val="22"/>
              </w:rPr>
              <w:t>A</w:t>
            </w:r>
            <w:r w:rsidRPr="00543476">
              <w:rPr>
                <w:rFonts w:asciiTheme="minorHAnsi" w:hAnsiTheme="minorHAnsi" w:cs="Arial"/>
                <w:b/>
                <w:color w:val="FFFFFF"/>
                <w:szCs w:val="22"/>
              </w:rPr>
              <w:t>: Recommended IFROs</w:t>
            </w:r>
          </w:p>
        </w:tc>
      </w:tr>
      <w:tr w:rsidR="00221C6E" w:rsidRPr="00543476" w:rsidTr="00A875BF">
        <w:trPr>
          <w:cantSplit/>
          <w:jc w:val="center"/>
        </w:trPr>
        <w:tc>
          <w:tcPr>
            <w:tcW w:w="2610"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p>
        </w:tc>
        <w:tc>
          <w:tcPr>
            <w:tcW w:w="1083"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r w:rsidRPr="00543476">
              <w:rPr>
                <w:rFonts w:asciiTheme="minorHAnsi" w:hAnsiTheme="minorHAnsi" w:cs="Arial"/>
                <w:szCs w:val="22"/>
              </w:rPr>
              <w:t>Eastern</w:t>
            </w:r>
            <w:r w:rsidRPr="00543476">
              <w:rPr>
                <w:rFonts w:asciiTheme="minorHAnsi" w:hAnsiTheme="minorHAnsi" w:cs="Arial"/>
                <w:szCs w:val="22"/>
              </w:rPr>
              <w:br/>
              <w:t>(EI)</w:t>
            </w:r>
          </w:p>
        </w:tc>
        <w:tc>
          <w:tcPr>
            <w:tcW w:w="1224"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r w:rsidRPr="00543476">
              <w:rPr>
                <w:rFonts w:asciiTheme="minorHAnsi" w:hAnsiTheme="minorHAnsi" w:cs="Arial"/>
                <w:szCs w:val="22"/>
              </w:rPr>
              <w:t>Western</w:t>
            </w:r>
            <w:r w:rsidRPr="00543476">
              <w:rPr>
                <w:rFonts w:asciiTheme="minorHAnsi" w:hAnsiTheme="minorHAnsi" w:cs="Arial"/>
                <w:szCs w:val="22"/>
              </w:rPr>
              <w:br/>
              <w:t>(WI)</w:t>
            </w:r>
          </w:p>
        </w:tc>
        <w:tc>
          <w:tcPr>
            <w:tcW w:w="1147"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r w:rsidRPr="00543476">
              <w:rPr>
                <w:rFonts w:asciiTheme="minorHAnsi" w:hAnsiTheme="minorHAnsi" w:cs="Arial"/>
                <w:szCs w:val="22"/>
              </w:rPr>
              <w:t>ERCOT</w:t>
            </w:r>
            <w:r w:rsidRPr="00543476">
              <w:rPr>
                <w:rFonts w:asciiTheme="minorHAnsi" w:hAnsiTheme="minorHAnsi" w:cs="Arial"/>
                <w:szCs w:val="22"/>
              </w:rPr>
              <w:br/>
              <w:t>(TI)</w:t>
            </w:r>
          </w:p>
        </w:tc>
        <w:tc>
          <w:tcPr>
            <w:tcW w:w="1199"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r w:rsidRPr="00543476">
              <w:rPr>
                <w:rFonts w:asciiTheme="minorHAnsi" w:hAnsiTheme="minorHAnsi" w:cs="Arial"/>
                <w:szCs w:val="22"/>
              </w:rPr>
              <w:t>Québec</w:t>
            </w:r>
            <w:r w:rsidRPr="00543476">
              <w:rPr>
                <w:rFonts w:asciiTheme="minorHAnsi" w:hAnsiTheme="minorHAnsi" w:cs="Arial"/>
                <w:szCs w:val="22"/>
              </w:rPr>
              <w:br/>
              <w:t>(QI)</w:t>
            </w:r>
          </w:p>
        </w:tc>
        <w:tc>
          <w:tcPr>
            <w:tcW w:w="1387" w:type="dxa"/>
            <w:shd w:val="clear" w:color="auto" w:fill="8DB5DA"/>
            <w:vAlign w:val="center"/>
          </w:tcPr>
          <w:p w:rsidR="00221C6E" w:rsidRPr="00543476" w:rsidRDefault="00221C6E" w:rsidP="00A875BF">
            <w:pPr>
              <w:spacing w:beforeLines="20" w:before="48" w:afterLines="20" w:after="48"/>
              <w:jc w:val="center"/>
              <w:rPr>
                <w:rFonts w:asciiTheme="minorHAnsi" w:hAnsiTheme="minorHAnsi" w:cs="Arial"/>
                <w:szCs w:val="22"/>
              </w:rPr>
            </w:pPr>
            <w:r w:rsidRPr="00543476">
              <w:rPr>
                <w:rFonts w:asciiTheme="minorHAnsi" w:hAnsiTheme="minorHAnsi" w:cs="Arial"/>
                <w:szCs w:val="22"/>
              </w:rPr>
              <w:t>Units</w:t>
            </w:r>
          </w:p>
        </w:tc>
      </w:tr>
      <w:tr w:rsidR="00221C6E" w:rsidRPr="00543476" w:rsidTr="00A875BF">
        <w:trPr>
          <w:cantSplit/>
          <w:jc w:val="center"/>
        </w:trPr>
        <w:tc>
          <w:tcPr>
            <w:tcW w:w="2610" w:type="dxa"/>
            <w:vAlign w:val="center"/>
          </w:tcPr>
          <w:p w:rsidR="00221C6E" w:rsidRPr="00543476" w:rsidRDefault="00221C6E" w:rsidP="00A875BF">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Starting Frequency</w:t>
            </w:r>
          </w:p>
        </w:tc>
        <w:tc>
          <w:tcPr>
            <w:tcW w:w="1083"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59.974</w:t>
            </w:r>
          </w:p>
        </w:tc>
        <w:tc>
          <w:tcPr>
            <w:tcW w:w="1224"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59.968</w:t>
            </w:r>
          </w:p>
        </w:tc>
        <w:tc>
          <w:tcPr>
            <w:tcW w:w="1147"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59.965</w:t>
            </w:r>
          </w:p>
        </w:tc>
        <w:tc>
          <w:tcPr>
            <w:tcW w:w="1199"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59.968</w:t>
            </w:r>
          </w:p>
        </w:tc>
        <w:tc>
          <w:tcPr>
            <w:tcW w:w="1387"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Hz</w:t>
            </w:r>
          </w:p>
        </w:tc>
      </w:tr>
      <w:tr w:rsidR="00221C6E" w:rsidRPr="00543476" w:rsidTr="00A875BF">
        <w:trPr>
          <w:cantSplit/>
          <w:jc w:val="center"/>
        </w:trPr>
        <w:tc>
          <w:tcPr>
            <w:tcW w:w="2610" w:type="dxa"/>
            <w:shd w:val="clear" w:color="auto" w:fill="D5D5D5"/>
            <w:vAlign w:val="center"/>
          </w:tcPr>
          <w:p w:rsidR="00221C6E" w:rsidRPr="00543476" w:rsidRDefault="00221C6E" w:rsidP="00A875BF">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Max. Allowable Delta Frequency</w:t>
            </w:r>
          </w:p>
        </w:tc>
        <w:tc>
          <w:tcPr>
            <w:tcW w:w="1083"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0.444</w:t>
            </w:r>
          </w:p>
        </w:tc>
        <w:tc>
          <w:tcPr>
            <w:tcW w:w="1224"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0.273</w:t>
            </w:r>
          </w:p>
        </w:tc>
        <w:tc>
          <w:tcPr>
            <w:tcW w:w="114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0.391</w:t>
            </w:r>
          </w:p>
        </w:tc>
        <w:tc>
          <w:tcPr>
            <w:tcW w:w="1199"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0.927</w:t>
            </w:r>
          </w:p>
        </w:tc>
        <w:tc>
          <w:tcPr>
            <w:tcW w:w="138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Hz</w:t>
            </w:r>
          </w:p>
        </w:tc>
      </w:tr>
      <w:tr w:rsidR="00221C6E" w:rsidRPr="00543476" w:rsidTr="00A875BF">
        <w:trPr>
          <w:cantSplit/>
          <w:jc w:val="center"/>
        </w:trPr>
        <w:tc>
          <w:tcPr>
            <w:tcW w:w="2610" w:type="dxa"/>
            <w:vAlign w:val="center"/>
          </w:tcPr>
          <w:p w:rsidR="00221C6E" w:rsidRPr="00543476" w:rsidRDefault="00221C6E" w:rsidP="00A875BF">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 xml:space="preserve">Resource Contingency Protection Criteria </w:t>
            </w:r>
          </w:p>
        </w:tc>
        <w:tc>
          <w:tcPr>
            <w:tcW w:w="1083"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4,500</w:t>
            </w:r>
          </w:p>
        </w:tc>
        <w:tc>
          <w:tcPr>
            <w:tcW w:w="1224"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2,626</w:t>
            </w:r>
          </w:p>
        </w:tc>
        <w:tc>
          <w:tcPr>
            <w:tcW w:w="1147"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2,750</w:t>
            </w:r>
          </w:p>
        </w:tc>
        <w:tc>
          <w:tcPr>
            <w:tcW w:w="1199"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1,700</w:t>
            </w:r>
          </w:p>
        </w:tc>
        <w:tc>
          <w:tcPr>
            <w:tcW w:w="1387" w:type="dxa"/>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w:t>
            </w:r>
          </w:p>
        </w:tc>
      </w:tr>
      <w:tr w:rsidR="00221C6E" w:rsidRPr="00543476" w:rsidTr="00A875BF">
        <w:trPr>
          <w:cantSplit/>
          <w:jc w:val="center"/>
        </w:trPr>
        <w:tc>
          <w:tcPr>
            <w:tcW w:w="2610" w:type="dxa"/>
            <w:shd w:val="clear" w:color="auto" w:fill="D5D5D5"/>
            <w:vAlign w:val="center"/>
          </w:tcPr>
          <w:p w:rsidR="00221C6E" w:rsidRPr="00543476" w:rsidRDefault="00221C6E" w:rsidP="00A875BF">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Credit for LR</w:t>
            </w:r>
          </w:p>
        </w:tc>
        <w:tc>
          <w:tcPr>
            <w:tcW w:w="1083"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w:t>
            </w:r>
          </w:p>
        </w:tc>
        <w:tc>
          <w:tcPr>
            <w:tcW w:w="1224"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150</w:t>
            </w:r>
          </w:p>
        </w:tc>
        <w:tc>
          <w:tcPr>
            <w:tcW w:w="114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Pr>
                <w:rFonts w:asciiTheme="minorHAnsi" w:hAnsiTheme="minorHAnsi"/>
                <w:sz w:val="22"/>
                <w:szCs w:val="22"/>
              </w:rPr>
              <w:t>909</w:t>
            </w:r>
          </w:p>
        </w:tc>
        <w:tc>
          <w:tcPr>
            <w:tcW w:w="1199"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w:t>
            </w:r>
          </w:p>
        </w:tc>
        <w:tc>
          <w:tcPr>
            <w:tcW w:w="138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w:t>
            </w:r>
          </w:p>
        </w:tc>
      </w:tr>
      <w:tr w:rsidR="00221C6E" w:rsidRPr="00543476" w:rsidTr="00A875BF">
        <w:trPr>
          <w:cantSplit/>
          <w:jc w:val="center"/>
        </w:trPr>
        <w:tc>
          <w:tcPr>
            <w:tcW w:w="2610" w:type="dxa"/>
            <w:vAlign w:val="center"/>
          </w:tcPr>
          <w:p w:rsidR="00221C6E" w:rsidRPr="00543476" w:rsidRDefault="00221C6E" w:rsidP="00A875BF">
            <w:pPr>
              <w:pStyle w:val="TableBody"/>
              <w:spacing w:beforeLines="20" w:before="48" w:afterLines="20" w:after="48"/>
              <w:jc w:val="left"/>
              <w:rPr>
                <w:rFonts w:asciiTheme="minorHAnsi" w:hAnsiTheme="minorHAnsi"/>
                <w:b/>
                <w:sz w:val="22"/>
                <w:szCs w:val="22"/>
              </w:rPr>
            </w:pPr>
            <w:r w:rsidRPr="00543476">
              <w:rPr>
                <w:rFonts w:asciiTheme="minorHAnsi" w:hAnsiTheme="minorHAnsi"/>
                <w:b/>
                <w:sz w:val="22"/>
                <w:szCs w:val="22"/>
              </w:rPr>
              <w:t>IFRO</w:t>
            </w:r>
            <w:r w:rsidRPr="00543476">
              <w:rPr>
                <w:rStyle w:val="FootnoteReference"/>
                <w:rFonts w:asciiTheme="minorHAnsi" w:hAnsiTheme="minorHAnsi"/>
                <w:b/>
                <w:sz w:val="22"/>
                <w:szCs w:val="22"/>
              </w:rPr>
              <w:footnoteReference w:id="3"/>
            </w:r>
          </w:p>
        </w:tc>
        <w:tc>
          <w:tcPr>
            <w:tcW w:w="1083" w:type="dxa"/>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-1,014</w:t>
            </w:r>
          </w:p>
        </w:tc>
        <w:tc>
          <w:tcPr>
            <w:tcW w:w="1224" w:type="dxa"/>
            <w:vAlign w:val="center"/>
          </w:tcPr>
          <w:p w:rsidR="00221C6E" w:rsidRPr="00543476" w:rsidRDefault="00221C6E" w:rsidP="009D42E1">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-90</w:t>
            </w:r>
            <w:r w:rsidR="009D42E1">
              <w:rPr>
                <w:rFonts w:asciiTheme="minorHAnsi" w:hAnsiTheme="minorHAnsi"/>
                <w:b/>
                <w:sz w:val="22"/>
                <w:szCs w:val="22"/>
              </w:rPr>
              <w:t>7</w:t>
            </w:r>
          </w:p>
        </w:tc>
        <w:tc>
          <w:tcPr>
            <w:tcW w:w="1147" w:type="dxa"/>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Pr>
                <w:rFonts w:asciiTheme="minorHAnsi" w:hAnsiTheme="minorHAnsi"/>
                <w:b/>
                <w:sz w:val="22"/>
                <w:szCs w:val="22"/>
              </w:rPr>
              <w:t>-471</w:t>
            </w:r>
          </w:p>
        </w:tc>
        <w:tc>
          <w:tcPr>
            <w:tcW w:w="1199" w:type="dxa"/>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-183</w:t>
            </w:r>
          </w:p>
        </w:tc>
        <w:tc>
          <w:tcPr>
            <w:tcW w:w="1387" w:type="dxa"/>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MW/0.1Hz</w:t>
            </w:r>
          </w:p>
        </w:tc>
      </w:tr>
      <w:tr w:rsidR="00221C6E" w:rsidRPr="00543476" w:rsidTr="00A875BF">
        <w:trPr>
          <w:cantSplit/>
          <w:jc w:val="center"/>
        </w:trPr>
        <w:tc>
          <w:tcPr>
            <w:tcW w:w="2610" w:type="dxa"/>
            <w:shd w:val="clear" w:color="auto" w:fill="D5D5D5"/>
            <w:vAlign w:val="center"/>
          </w:tcPr>
          <w:p w:rsidR="00221C6E" w:rsidRPr="00543476" w:rsidRDefault="00221C6E" w:rsidP="00A875BF">
            <w:pPr>
              <w:pStyle w:val="TableBody"/>
              <w:spacing w:beforeLines="20" w:before="48" w:afterLines="20" w:after="48"/>
              <w:jc w:val="left"/>
              <w:rPr>
                <w:rFonts w:asciiTheme="minorHAnsi" w:hAnsiTheme="minorHAnsi"/>
                <w:b/>
                <w:sz w:val="22"/>
                <w:szCs w:val="22"/>
              </w:rPr>
            </w:pPr>
            <w:r w:rsidRPr="00543476">
              <w:rPr>
                <w:rFonts w:asciiTheme="minorHAnsi" w:hAnsiTheme="minorHAnsi"/>
                <w:b/>
                <w:sz w:val="22"/>
                <w:szCs w:val="22"/>
              </w:rPr>
              <w:t>Absolute Value of IFRO</w:t>
            </w:r>
          </w:p>
        </w:tc>
        <w:tc>
          <w:tcPr>
            <w:tcW w:w="1083"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1,014</w:t>
            </w:r>
          </w:p>
        </w:tc>
        <w:tc>
          <w:tcPr>
            <w:tcW w:w="1224" w:type="dxa"/>
            <w:shd w:val="clear" w:color="auto" w:fill="D5D5D5"/>
            <w:vAlign w:val="center"/>
          </w:tcPr>
          <w:p w:rsidR="00221C6E" w:rsidRPr="00543476" w:rsidRDefault="00221C6E" w:rsidP="009D42E1">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90</w:t>
            </w:r>
            <w:r w:rsidR="009D42E1">
              <w:rPr>
                <w:rFonts w:asciiTheme="minorHAnsi" w:hAnsiTheme="minorHAnsi"/>
                <w:b/>
                <w:sz w:val="22"/>
                <w:szCs w:val="22"/>
              </w:rPr>
              <w:t>7</w:t>
            </w:r>
          </w:p>
        </w:tc>
        <w:tc>
          <w:tcPr>
            <w:tcW w:w="114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Pr>
                <w:rFonts w:asciiTheme="minorHAnsi" w:hAnsiTheme="minorHAnsi"/>
                <w:b/>
                <w:sz w:val="22"/>
                <w:szCs w:val="22"/>
              </w:rPr>
              <w:t>471</w:t>
            </w:r>
          </w:p>
        </w:tc>
        <w:tc>
          <w:tcPr>
            <w:tcW w:w="1199"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183</w:t>
            </w:r>
          </w:p>
        </w:tc>
        <w:tc>
          <w:tcPr>
            <w:tcW w:w="1387" w:type="dxa"/>
            <w:shd w:val="clear" w:color="auto" w:fill="D5D5D5"/>
            <w:vAlign w:val="center"/>
          </w:tcPr>
          <w:p w:rsidR="00221C6E" w:rsidRPr="00543476" w:rsidRDefault="00221C6E" w:rsidP="00A875BF">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MW/0.1Hz</w:t>
            </w:r>
          </w:p>
        </w:tc>
      </w:tr>
      <w:tr w:rsidR="00221C6E" w:rsidRPr="00543476" w:rsidTr="00A875BF">
        <w:trPr>
          <w:cantSplit/>
          <w:jc w:val="center"/>
        </w:trPr>
        <w:tc>
          <w:tcPr>
            <w:tcW w:w="2610" w:type="dxa"/>
            <w:shd w:val="clear" w:color="auto" w:fill="auto"/>
            <w:vAlign w:val="center"/>
          </w:tcPr>
          <w:p w:rsidR="00221C6E" w:rsidRPr="00543476" w:rsidRDefault="00221C6E" w:rsidP="00A875BF">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Absolute Value of Current Interconnection Frequency Response Performance</w:t>
            </w:r>
            <w:r w:rsidRPr="00543476">
              <w:rPr>
                <w:rStyle w:val="FootnoteReference"/>
                <w:rFonts w:asciiTheme="minorHAnsi" w:hAnsiTheme="minorHAnsi"/>
                <w:sz w:val="22"/>
                <w:szCs w:val="22"/>
              </w:rPr>
              <w:footnoteReference w:id="4"/>
            </w:r>
          </w:p>
        </w:tc>
        <w:tc>
          <w:tcPr>
            <w:tcW w:w="1083" w:type="dxa"/>
            <w:shd w:val="clear" w:color="auto" w:fill="auto"/>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2,3</w:t>
            </w:r>
            <w:r>
              <w:rPr>
                <w:rFonts w:asciiTheme="minorHAnsi" w:hAnsiTheme="minorHAnsi"/>
                <w:sz w:val="22"/>
                <w:szCs w:val="22"/>
              </w:rPr>
              <w:t>09</w:t>
            </w:r>
          </w:p>
        </w:tc>
        <w:tc>
          <w:tcPr>
            <w:tcW w:w="1224" w:type="dxa"/>
            <w:shd w:val="clear" w:color="auto" w:fill="auto"/>
            <w:vAlign w:val="center"/>
          </w:tcPr>
          <w:p w:rsidR="00221C6E" w:rsidRPr="00543476" w:rsidRDefault="00221C6E" w:rsidP="00A875BF">
            <w:pPr>
              <w:pStyle w:val="TableBody"/>
              <w:spacing w:beforeLines="20" w:before="48" w:afterLines="20" w:after="48"/>
              <w:rPr>
                <w:rFonts w:asciiTheme="minorHAnsi" w:hAnsiTheme="minorHAnsi"/>
                <w:sz w:val="22"/>
                <w:szCs w:val="22"/>
              </w:rPr>
            </w:pPr>
            <w:r>
              <w:rPr>
                <w:rFonts w:asciiTheme="minorHAnsi" w:hAnsiTheme="minorHAnsi"/>
                <w:sz w:val="22"/>
                <w:szCs w:val="22"/>
              </w:rPr>
              <w:t>1,491</w:t>
            </w:r>
          </w:p>
        </w:tc>
        <w:tc>
          <w:tcPr>
            <w:tcW w:w="1147" w:type="dxa"/>
            <w:shd w:val="clear" w:color="auto" w:fill="auto"/>
            <w:vAlign w:val="center"/>
          </w:tcPr>
          <w:p w:rsidR="00221C6E" w:rsidRPr="00543476" w:rsidRDefault="00267E3B" w:rsidP="00A875BF">
            <w:pPr>
              <w:pStyle w:val="TableBody"/>
              <w:spacing w:beforeLines="20" w:before="48" w:afterLines="20" w:after="48"/>
              <w:rPr>
                <w:rFonts w:asciiTheme="minorHAnsi" w:hAnsiTheme="minorHAnsi"/>
                <w:sz w:val="22"/>
                <w:szCs w:val="22"/>
              </w:rPr>
            </w:pPr>
            <w:r>
              <w:rPr>
                <w:rFonts w:asciiTheme="minorHAnsi" w:hAnsiTheme="minorHAnsi"/>
                <w:sz w:val="22"/>
                <w:szCs w:val="22"/>
              </w:rPr>
              <w:t>810</w:t>
            </w:r>
          </w:p>
        </w:tc>
        <w:tc>
          <w:tcPr>
            <w:tcW w:w="1199" w:type="dxa"/>
            <w:shd w:val="clear" w:color="auto" w:fill="auto"/>
            <w:vAlign w:val="center"/>
          </w:tcPr>
          <w:p w:rsidR="00221C6E" w:rsidRPr="00543476" w:rsidRDefault="00221C6E" w:rsidP="00A875BF">
            <w:pPr>
              <w:pStyle w:val="TableBody"/>
              <w:spacing w:beforeLines="20" w:before="48" w:afterLines="20" w:after="48"/>
              <w:rPr>
                <w:rFonts w:asciiTheme="minorHAnsi" w:hAnsiTheme="minorHAnsi"/>
                <w:sz w:val="22"/>
                <w:szCs w:val="22"/>
              </w:rPr>
            </w:pPr>
            <w:r>
              <w:rPr>
                <w:rFonts w:asciiTheme="minorHAnsi" w:hAnsiTheme="minorHAnsi"/>
                <w:sz w:val="22"/>
                <w:szCs w:val="22"/>
              </w:rPr>
              <w:t>603</w:t>
            </w:r>
          </w:p>
        </w:tc>
        <w:tc>
          <w:tcPr>
            <w:tcW w:w="1387" w:type="dxa"/>
            <w:shd w:val="clear" w:color="auto" w:fill="auto"/>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MW/0.1Hz</w:t>
            </w:r>
          </w:p>
        </w:tc>
      </w:tr>
      <w:tr w:rsidR="00221C6E" w:rsidRPr="00543476" w:rsidTr="00A875BF">
        <w:trPr>
          <w:cantSplit/>
          <w:jc w:val="center"/>
        </w:trPr>
        <w:tc>
          <w:tcPr>
            <w:tcW w:w="2610" w:type="dxa"/>
            <w:shd w:val="clear" w:color="auto" w:fill="D9D9D9" w:themeFill="background1" w:themeFillShade="D9"/>
            <w:vAlign w:val="center"/>
          </w:tcPr>
          <w:p w:rsidR="00221C6E" w:rsidRPr="00543476" w:rsidRDefault="00EE4A3A" w:rsidP="00A875BF">
            <w:pPr>
              <w:pStyle w:val="TableBody"/>
              <w:spacing w:beforeLines="20" w:before="48" w:afterLines="20" w:after="48"/>
              <w:jc w:val="left"/>
              <w:rPr>
                <w:rFonts w:asciiTheme="minorHAnsi" w:hAnsiTheme="minorHAnsi"/>
                <w:sz w:val="22"/>
                <w:szCs w:val="22"/>
              </w:rPr>
            </w:pPr>
            <w:r>
              <w:rPr>
                <w:rFonts w:asciiTheme="minorHAnsi" w:hAnsiTheme="minorHAnsi"/>
                <w:sz w:val="22"/>
                <w:szCs w:val="22"/>
              </w:rPr>
              <w:t xml:space="preserve">2015 </w:t>
            </w:r>
            <w:r w:rsidR="00221C6E" w:rsidRPr="00543476">
              <w:rPr>
                <w:rFonts w:asciiTheme="minorHAnsi" w:hAnsiTheme="minorHAnsi"/>
                <w:sz w:val="22"/>
                <w:szCs w:val="22"/>
              </w:rPr>
              <w:t>IFRO as a % of Interconnection Load</w:t>
            </w:r>
            <w:r w:rsidR="00221C6E" w:rsidRPr="00543476">
              <w:rPr>
                <w:rStyle w:val="FootnoteReference"/>
                <w:rFonts w:asciiTheme="minorHAnsi" w:hAnsiTheme="minorHAnsi"/>
                <w:sz w:val="22"/>
                <w:szCs w:val="22"/>
              </w:rPr>
              <w:footnoteReference w:id="5"/>
            </w:r>
          </w:p>
        </w:tc>
        <w:tc>
          <w:tcPr>
            <w:tcW w:w="1083" w:type="dxa"/>
            <w:shd w:val="clear" w:color="auto" w:fill="D9D9D9" w:themeFill="background1" w:themeFillShade="D9"/>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0.16%</w:t>
            </w:r>
          </w:p>
        </w:tc>
        <w:tc>
          <w:tcPr>
            <w:tcW w:w="1224" w:type="dxa"/>
            <w:shd w:val="clear" w:color="auto" w:fill="D9D9D9" w:themeFill="background1" w:themeFillShade="D9"/>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0.58%</w:t>
            </w:r>
          </w:p>
        </w:tc>
        <w:tc>
          <w:tcPr>
            <w:tcW w:w="1147" w:type="dxa"/>
            <w:shd w:val="clear" w:color="auto" w:fill="D9D9D9" w:themeFill="background1" w:themeFillShade="D9"/>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0.68%</w:t>
            </w:r>
          </w:p>
        </w:tc>
        <w:tc>
          <w:tcPr>
            <w:tcW w:w="1199" w:type="dxa"/>
            <w:shd w:val="clear" w:color="auto" w:fill="D9D9D9" w:themeFill="background1" w:themeFillShade="D9"/>
            <w:vAlign w:val="center"/>
          </w:tcPr>
          <w:p w:rsidR="00221C6E" w:rsidRPr="00543476" w:rsidRDefault="00221C6E" w:rsidP="00A875BF">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0.48%</w:t>
            </w:r>
          </w:p>
        </w:tc>
        <w:tc>
          <w:tcPr>
            <w:tcW w:w="1387" w:type="dxa"/>
            <w:shd w:val="clear" w:color="auto" w:fill="D9D9D9" w:themeFill="background1" w:themeFillShade="D9"/>
            <w:vAlign w:val="center"/>
          </w:tcPr>
          <w:p w:rsidR="00221C6E" w:rsidRPr="00543476" w:rsidRDefault="00221C6E" w:rsidP="00A875BF">
            <w:pPr>
              <w:pStyle w:val="TableBody"/>
              <w:spacing w:beforeLines="20" w:before="48" w:afterLines="20" w:after="48"/>
              <w:rPr>
                <w:rFonts w:asciiTheme="minorHAnsi" w:hAnsiTheme="minorHAnsi"/>
                <w:sz w:val="22"/>
                <w:szCs w:val="22"/>
              </w:rPr>
            </w:pPr>
          </w:p>
        </w:tc>
      </w:tr>
    </w:tbl>
    <w:p w:rsidR="00924C17" w:rsidRDefault="00924C17" w:rsidP="00924C17"/>
    <w:p w:rsidR="00FA13A7" w:rsidRDefault="00924C17" w:rsidP="00866C29">
      <w:pPr>
        <w:pStyle w:val="ListParagraph"/>
        <w:numPr>
          <w:ilvl w:val="0"/>
          <w:numId w:val="17"/>
        </w:numPr>
      </w:pPr>
      <w:r w:rsidRPr="00221C6E">
        <w:t>A Value B to Point C prime adjustment (BC'</w:t>
      </w:r>
      <w:r w:rsidR="003F5714" w:rsidRPr="003F5714">
        <w:rPr>
          <w:vertAlign w:val="subscript"/>
        </w:rPr>
        <w:t>ADJ</w:t>
      </w:r>
      <w:r w:rsidRPr="00221C6E">
        <w:t xml:space="preserve">) of </w:t>
      </w:r>
      <w:r w:rsidR="00221C6E" w:rsidRPr="00221C6E">
        <w:t>17</w:t>
      </w:r>
      <w:r w:rsidR="00221C6E">
        <w:t>.4</w:t>
      </w:r>
      <w:r w:rsidRPr="00221C6E">
        <w:t xml:space="preserve"> mHz should </w:t>
      </w:r>
      <w:r w:rsidR="004337AE">
        <w:t xml:space="preserve">continue to </w:t>
      </w:r>
      <w:r w:rsidRPr="00221C6E">
        <w:t>be made to the Eastern Interconnection</w:t>
      </w:r>
      <w:r>
        <w:t xml:space="preserve"> allowable delta frequency to compensate for the predominant</w:t>
      </w:r>
      <w:r w:rsidR="00FA13A7">
        <w:t xml:space="preserve"> </w:t>
      </w:r>
      <w:r w:rsidR="00FA13A7" w:rsidRPr="00FA13A7">
        <w:t>withdrawal of primary frequency response exhibited in that interconnection. The BC'</w:t>
      </w:r>
      <w:r w:rsidR="00FA13A7" w:rsidRPr="00221C6E">
        <w:rPr>
          <w:vertAlign w:val="subscript"/>
        </w:rPr>
        <w:t>ADJ</w:t>
      </w:r>
      <w:r w:rsidR="00FA13A7" w:rsidRPr="00FA13A7">
        <w:t xml:space="preserve"> was introduced in the </w:t>
      </w:r>
      <w:r w:rsidR="00CB4003" w:rsidRPr="00FA13A7">
        <w:t xml:space="preserve">2012 </w:t>
      </w:r>
      <w:r w:rsidR="00FA13A7" w:rsidRPr="00CB4003">
        <w:rPr>
          <w:i/>
        </w:rPr>
        <w:t xml:space="preserve">Frequency Response Initiative </w:t>
      </w:r>
      <w:r w:rsidR="00CB4003" w:rsidRPr="00CB4003">
        <w:rPr>
          <w:i/>
        </w:rPr>
        <w:t>Report</w:t>
      </w:r>
      <w:r w:rsidR="00CB4003">
        <w:t xml:space="preserve"> </w:t>
      </w:r>
      <w:r w:rsidR="00FA13A7" w:rsidRPr="00FA13A7">
        <w:t>analysis of the Eastern Interconnection frequency response. Analysis of the frequency events for that interconnection from January 201</w:t>
      </w:r>
      <w:r w:rsidR="00221C6E">
        <w:t>1</w:t>
      </w:r>
      <w:r w:rsidR="00FA13A7" w:rsidRPr="00FA13A7">
        <w:t xml:space="preserve"> through </w:t>
      </w:r>
      <w:r w:rsidR="00221C6E">
        <w:t>May</w:t>
      </w:r>
      <w:r w:rsidR="00FA13A7" w:rsidRPr="00FA13A7">
        <w:t xml:space="preserve"> 201</w:t>
      </w:r>
      <w:r w:rsidR="00221C6E">
        <w:t>4</w:t>
      </w:r>
      <w:r w:rsidR="00FA13A7" w:rsidRPr="00FA13A7">
        <w:t xml:space="preserve"> showed a lower nadir (Point C') for the events that typically occur in the T+5</w:t>
      </w:r>
      <w:r w:rsidR="00221C6E">
        <w:t>2</w:t>
      </w:r>
      <w:r w:rsidR="00FA13A7" w:rsidRPr="00FA13A7">
        <w:t xml:space="preserve"> to T+</w:t>
      </w:r>
      <w:r w:rsidR="00221C6E">
        <w:t>65</w:t>
      </w:r>
      <w:r w:rsidR="00FA13A7" w:rsidRPr="00FA13A7">
        <w:t xml:space="preserve"> second time frame, beyond the measurements of Point C or Value B. Similar analysis of frequency events in the Western</w:t>
      </w:r>
      <w:r w:rsidR="001B1B70">
        <w:t>,</w:t>
      </w:r>
      <w:r w:rsidR="00FA13A7" w:rsidRPr="00FA13A7">
        <w:t xml:space="preserve"> </w:t>
      </w:r>
      <w:r w:rsidR="001B1B70">
        <w:t>ERCOT,</w:t>
      </w:r>
      <w:r w:rsidR="00FA13A7" w:rsidRPr="00FA13A7">
        <w:t xml:space="preserve"> </w:t>
      </w:r>
      <w:r w:rsidR="001B1B70" w:rsidRPr="00FA13A7">
        <w:t xml:space="preserve">and </w:t>
      </w:r>
      <w:r w:rsidR="001B1B70">
        <w:t xml:space="preserve">Québec </w:t>
      </w:r>
      <w:r w:rsidR="00FA13A7" w:rsidRPr="00FA13A7">
        <w:t xml:space="preserve">Interconnections showed that </w:t>
      </w:r>
      <w:r w:rsidR="00CB4003">
        <w:t>any later</w:t>
      </w:r>
      <w:r w:rsidR="00FA13A7" w:rsidRPr="00FA13A7">
        <w:t xml:space="preserve"> nadirs occurred within the time frames of the measurements of Point C or Value B. Therefore, no BC'</w:t>
      </w:r>
      <w:r w:rsidR="00FA13A7" w:rsidRPr="00D90E59">
        <w:rPr>
          <w:vertAlign w:val="subscript"/>
        </w:rPr>
        <w:t>ADJ</w:t>
      </w:r>
      <w:r w:rsidR="00FA13A7" w:rsidRPr="00FA13A7">
        <w:t xml:space="preserve"> is necessary for those interconnections.</w:t>
      </w:r>
    </w:p>
    <w:p w:rsidR="004337AE" w:rsidRDefault="004337AE" w:rsidP="004337AE">
      <w:pPr>
        <w:ind w:left="360"/>
      </w:pPr>
    </w:p>
    <w:p w:rsidR="004337AE" w:rsidRDefault="004337AE" w:rsidP="00866C29">
      <w:pPr>
        <w:pStyle w:val="ListParagraph"/>
        <w:numPr>
          <w:ilvl w:val="0"/>
          <w:numId w:val="17"/>
        </w:numPr>
      </w:pPr>
      <w:r>
        <w:t>Monthly processing of 1-second data and weekly review of frequency event candidates for both ALR 1-12 and BAL-003-1 are recommended to discover problems sooner and ensure consistency in event selection.</w:t>
      </w:r>
    </w:p>
    <w:p w:rsidR="00CB4003" w:rsidRDefault="00CB4003" w:rsidP="00CB4003">
      <w:pPr>
        <w:pStyle w:val="ListParagraph"/>
      </w:pPr>
    </w:p>
    <w:p w:rsidR="00CB4003" w:rsidRDefault="00CB4003" w:rsidP="00866C29">
      <w:pPr>
        <w:pStyle w:val="ListParagraph"/>
        <w:numPr>
          <w:ilvl w:val="0"/>
          <w:numId w:val="17"/>
        </w:numPr>
      </w:pPr>
      <w:r>
        <w:t>The frequency event detection triggers and selection criteria be modified to remove restrictions that tend to skew the statistical analysis of interconnection frequency response performance.</w:t>
      </w:r>
      <w:r>
        <w:rPr>
          <w:rStyle w:val="FootnoteReference"/>
        </w:rPr>
        <w:footnoteReference w:id="6"/>
      </w:r>
    </w:p>
    <w:p w:rsidR="00FA13A7" w:rsidRDefault="00FA13A7" w:rsidP="00FA13A7"/>
    <w:p w:rsidR="00FA13A7" w:rsidRDefault="00FA13A7" w:rsidP="00FA13A7">
      <w:pPr>
        <w:pStyle w:val="Heading2"/>
      </w:pPr>
      <w:bookmarkStart w:id="5" w:name="_Toc408812253"/>
      <w:r>
        <w:t>Findings</w:t>
      </w:r>
      <w:bookmarkEnd w:id="5"/>
    </w:p>
    <w:p w:rsidR="00FA13A7" w:rsidRDefault="00FA13A7" w:rsidP="00866C29">
      <w:pPr>
        <w:pStyle w:val="ListParagraph"/>
        <w:numPr>
          <w:ilvl w:val="0"/>
          <w:numId w:val="18"/>
        </w:numPr>
      </w:pPr>
      <w:r w:rsidRPr="00390766">
        <w:t xml:space="preserve">The Frequency Response performance </w:t>
      </w:r>
      <w:r w:rsidR="00390766" w:rsidRPr="00390766">
        <w:t>exhi</w:t>
      </w:r>
      <w:r w:rsidR="00390766">
        <w:t>bits stable trends</w:t>
      </w:r>
      <w:r w:rsidR="00390766" w:rsidRPr="00390766">
        <w:t xml:space="preserve"> </w:t>
      </w:r>
      <w:r w:rsidRPr="00390766">
        <w:t>for all four interconnections from 201</w:t>
      </w:r>
      <w:r w:rsidR="00390766" w:rsidRPr="00390766">
        <w:t>1</w:t>
      </w:r>
      <w:r w:rsidRPr="00390766">
        <w:t xml:space="preserve"> through 201</w:t>
      </w:r>
      <w:r w:rsidR="00390766" w:rsidRPr="00390766">
        <w:t>3</w:t>
      </w:r>
      <w:r>
        <w:t>.</w:t>
      </w:r>
    </w:p>
    <w:p w:rsidR="00FA13A7" w:rsidRDefault="00FA13A7" w:rsidP="00EF521B">
      <w:pPr>
        <w:pStyle w:val="ListParagraph"/>
      </w:pPr>
    </w:p>
    <w:p w:rsidR="00EF521B" w:rsidRDefault="00EF521B" w:rsidP="00866C29">
      <w:pPr>
        <w:pStyle w:val="ListParagraph"/>
        <w:numPr>
          <w:ilvl w:val="0"/>
          <w:numId w:val="18"/>
        </w:numPr>
      </w:pPr>
      <w:r>
        <w:t xml:space="preserve">Frequency event selection errors during 2013 were found in the ALR 1-12 Frequency Response metric presented in the </w:t>
      </w:r>
      <w:r w:rsidR="000020F0" w:rsidRPr="00A40C2F">
        <w:rPr>
          <w:i/>
        </w:rPr>
        <w:t>State of Reliability 2014</w:t>
      </w:r>
      <w:r w:rsidR="000020F0">
        <w:t xml:space="preserve"> </w:t>
      </w:r>
      <w:r>
        <w:t xml:space="preserve">report. This resulted in 19 </w:t>
      </w:r>
      <w:r w:rsidR="00267E3B">
        <w:t xml:space="preserve">Eastern Interconnection </w:t>
      </w:r>
      <w:r>
        <w:t>events being eliminated from the ALR 1-12 events. The analysis for the Eastern Interconnection is corrected in this report and that correction has been made to the NERC Reliability Indicators dashboard.</w:t>
      </w:r>
      <w:r>
        <w:rPr>
          <w:rStyle w:val="FootnoteReference"/>
        </w:rPr>
        <w:footnoteReference w:id="7"/>
      </w:r>
      <w:r>
        <w:t xml:space="preserve"> </w:t>
      </w:r>
    </w:p>
    <w:p w:rsidR="00EF521B" w:rsidRDefault="00EF521B" w:rsidP="00EF521B">
      <w:pPr>
        <w:pStyle w:val="ListParagraph"/>
      </w:pPr>
    </w:p>
    <w:p w:rsidR="00EF521B" w:rsidRDefault="00063761" w:rsidP="00866C29">
      <w:pPr>
        <w:pStyle w:val="ListParagraph"/>
        <w:numPr>
          <w:ilvl w:val="0"/>
          <w:numId w:val="18"/>
        </w:numPr>
      </w:pPr>
      <w:r>
        <w:t>Frequency step-change</w:t>
      </w:r>
      <w:r>
        <w:rPr>
          <w:rStyle w:val="FootnoteReference"/>
        </w:rPr>
        <w:footnoteReference w:id="8"/>
      </w:r>
      <w:r>
        <w:t xml:space="preserve"> anomalies</w:t>
      </w:r>
      <w:r w:rsidR="00EF521B">
        <w:t xml:space="preserve"> were found in the 2013 1-second Eastern Interconnection frequency data used to determine the starting frequency for the IFRO calculations. The problem was traced back to toggling back and forth between two data sources in the calculation of the 1-second averaged data. The entire 2013 </w:t>
      </w:r>
      <w:r>
        <w:t>1-second database was recalculated to correct the problem.</w:t>
      </w:r>
    </w:p>
    <w:p w:rsidR="00063761" w:rsidRDefault="00063761" w:rsidP="00063761">
      <w:pPr>
        <w:pStyle w:val="ListParagraph"/>
      </w:pPr>
    </w:p>
    <w:p w:rsidR="00063761" w:rsidRDefault="00063761" w:rsidP="004337AE">
      <w:pPr>
        <w:pStyle w:val="ListParagraph"/>
        <w:numPr>
          <w:ilvl w:val="0"/>
          <w:numId w:val="18"/>
        </w:numPr>
      </w:pPr>
      <w:r>
        <w:t>An error was discovered in several start times for frequency events in the Eastern</w:t>
      </w:r>
      <w:r w:rsidR="004337AE">
        <w:t xml:space="preserve">, </w:t>
      </w:r>
      <w:r w:rsidR="004337AE" w:rsidRPr="004337AE">
        <w:t xml:space="preserve">Western, ERCOT, and </w:t>
      </w:r>
      <w:r w:rsidR="004337AE">
        <w:t>Qu</w:t>
      </w:r>
      <w:r w:rsidR="004337AE" w:rsidRPr="004337AE">
        <w:t xml:space="preserve">ébec </w:t>
      </w:r>
      <w:r>
        <w:t>Interconnection</w:t>
      </w:r>
      <w:r w:rsidR="004337AE">
        <w:t>s</w:t>
      </w:r>
      <w:r>
        <w:t xml:space="preserve"> starting in July 2013.</w:t>
      </w:r>
      <w:r>
        <w:rPr>
          <w:rStyle w:val="FootnoteReference"/>
        </w:rPr>
        <w:footnoteReference w:id="9"/>
      </w:r>
      <w:r>
        <w:t xml:space="preserve"> The problem arose from a sign error in an adjustment factor used to remove a time skew inherent in the high-speed metrology; instead of removing the time skew, the adjustment factor was doubling it. This impacted several of the adjustment factors used in the IFRO calculation related to Point C. The error was corrected and all timing of frequency events have been recalculated for this and future analyses.</w:t>
      </w:r>
    </w:p>
    <w:p w:rsidR="004337AE" w:rsidRDefault="004337AE" w:rsidP="004337AE">
      <w:pPr>
        <w:pStyle w:val="ListParagraph"/>
      </w:pPr>
    </w:p>
    <w:p w:rsidR="004337AE" w:rsidRDefault="004337AE" w:rsidP="004337AE">
      <w:pPr>
        <w:pStyle w:val="ListParagraph"/>
        <w:numPr>
          <w:ilvl w:val="0"/>
          <w:numId w:val="18"/>
        </w:numPr>
      </w:pPr>
      <w:r w:rsidRPr="004337AE">
        <w:t>Several sources of sub-second data were determined to be in maintenance/offline mode, which resulted in the provision of inaccurate sub-second frequency data. The sub-second data was corrected by replacing the erroneous sources with data from operational data sources available during frequency events.</w:t>
      </w:r>
    </w:p>
    <w:p w:rsidR="00EF521B" w:rsidRDefault="00EF521B" w:rsidP="00EF521B">
      <w:pPr>
        <w:pStyle w:val="ListParagraph"/>
      </w:pPr>
    </w:p>
    <w:p w:rsidR="00FA13A7" w:rsidRDefault="00FA13A7" w:rsidP="00EC04F1">
      <w:pPr>
        <w:pStyle w:val="ListParagraph"/>
        <w:numPr>
          <w:ilvl w:val="0"/>
          <w:numId w:val="18"/>
        </w:numPr>
      </w:pPr>
      <w:r>
        <w:t xml:space="preserve">For the ERCOT Interconnection IFRO calculation, credit for load resources was </w:t>
      </w:r>
      <w:r w:rsidR="00390766">
        <w:t>increased</w:t>
      </w:r>
      <w:r>
        <w:t xml:space="preserve"> from </w:t>
      </w:r>
      <w:r w:rsidR="00390766">
        <w:t xml:space="preserve">895 MW </w:t>
      </w:r>
      <w:r w:rsidR="00390766" w:rsidRPr="00EF521B">
        <w:t xml:space="preserve">used </w:t>
      </w:r>
      <w:r w:rsidRPr="00EF521B">
        <w:t xml:space="preserve">in the </w:t>
      </w:r>
      <w:r w:rsidR="00390766" w:rsidRPr="00EF521B">
        <w:t>2013</w:t>
      </w:r>
      <w:r w:rsidRPr="00EF521B">
        <w:t xml:space="preserve"> calculations to a statistically determined </w:t>
      </w:r>
      <w:r w:rsidR="00390766" w:rsidRPr="00EF521B">
        <w:t>909 MW. This represents</w:t>
      </w:r>
      <w:r w:rsidRPr="00EF521B">
        <w:t xml:space="preserve"> the amount of </w:t>
      </w:r>
      <w:r w:rsidR="00390766" w:rsidRPr="00EF521B">
        <w:t xml:space="preserve">contractual 1,400 MW </w:t>
      </w:r>
      <w:r w:rsidRPr="00EF521B">
        <w:t xml:space="preserve">load resource that is available 95 percent of the time. </w:t>
      </w:r>
      <w:r w:rsidR="00D90E59" w:rsidRPr="00EF521B">
        <w:t>Additionally, the ERCOT CB</w:t>
      </w:r>
      <w:r w:rsidR="00D90E59" w:rsidRPr="00EF521B">
        <w:rPr>
          <w:vertAlign w:val="subscript"/>
        </w:rPr>
        <w:t>R</w:t>
      </w:r>
      <w:r w:rsidR="00D90E59">
        <w:t xml:space="preserve"> </w:t>
      </w:r>
      <w:r w:rsidR="00EF521B">
        <w:t xml:space="preserve">ratio increased significantly due to changes in the interconnection’s frequency response performance in 2013. </w:t>
      </w:r>
      <w:r>
        <w:t xml:space="preserve">That change </w:t>
      </w:r>
      <w:r w:rsidR="00EF521B">
        <w:t>increased</w:t>
      </w:r>
      <w:r>
        <w:t xml:space="preserve"> the ERCOT Interconnection IFRO by </w:t>
      </w:r>
      <w:r w:rsidR="00EF521B">
        <w:t>58</w:t>
      </w:r>
      <w:r>
        <w:t xml:space="preserve"> MW/0.1 Hz.</w:t>
      </w:r>
      <w:r w:rsidR="00EC04F1">
        <w:t xml:space="preserve"> </w:t>
      </w:r>
      <w:r w:rsidR="00EC04F1" w:rsidRPr="00EC04F1">
        <w:t xml:space="preserve">ERCOT has </w:t>
      </w:r>
      <w:r w:rsidR="000B637A">
        <w:t xml:space="preserve">been </w:t>
      </w:r>
      <w:r w:rsidR="00EC04F1" w:rsidRPr="00EC04F1">
        <w:t>experiencing a displacement of coal-fired generation by gas-fired combined cycle units in their dispatch due to lower prices for natural gas. While the combined cycle units are responsive in the Value B calculation timeframe (+20 to +52 seconds), they are slower tha</w:t>
      </w:r>
      <w:r w:rsidR="000B637A">
        <w:t>n</w:t>
      </w:r>
      <w:r w:rsidR="00EC04F1" w:rsidRPr="00EC04F1">
        <w:t xml:space="preserve"> the steam units to respond in the arresting power timeframe (+0 to +20 seconds). This results in a similar </w:t>
      </w:r>
      <w:r w:rsidR="00607521">
        <w:t>Value B</w:t>
      </w:r>
      <w:r w:rsidR="00EC04F1" w:rsidRPr="00EC04F1">
        <w:t xml:space="preserve"> response but a lower Point C nadir, increasing the CB</w:t>
      </w:r>
      <w:r w:rsidR="00EC04F1" w:rsidRPr="00521A2D">
        <w:rPr>
          <w:vertAlign w:val="subscript"/>
        </w:rPr>
        <w:t>R</w:t>
      </w:r>
      <w:r w:rsidR="00EC04F1" w:rsidRPr="00EC04F1">
        <w:t xml:space="preserve"> ratio</w:t>
      </w:r>
      <w:r w:rsidR="000B637A">
        <w:t>,</w:t>
      </w:r>
      <w:r w:rsidR="00EC04F1" w:rsidRPr="00EC04F1">
        <w:t xml:space="preserve"> </w:t>
      </w:r>
      <w:r w:rsidR="000B637A">
        <w:t>a</w:t>
      </w:r>
      <w:r w:rsidR="00EC04F1" w:rsidRPr="00EC04F1">
        <w:t>s the performance in 2013-2014 displaces the older performance characteristics.</w:t>
      </w:r>
    </w:p>
    <w:p w:rsidR="00FA13A7" w:rsidRDefault="00FA13A7" w:rsidP="00FA13A7">
      <w:pPr>
        <w:pStyle w:val="ListParagraph"/>
      </w:pPr>
    </w:p>
    <w:p w:rsidR="00FA13A7" w:rsidRDefault="00FA13A7" w:rsidP="00866C29">
      <w:pPr>
        <w:pStyle w:val="ListParagraph"/>
        <w:numPr>
          <w:ilvl w:val="0"/>
          <w:numId w:val="18"/>
        </w:numPr>
      </w:pPr>
      <w:r>
        <w:t>Dynamics simulations of the Eastern, Western, and ERCOT Interconnections for the recommended IFROs showed those levels of primary frequency response to be adequate to avoid tripping of the first stage of the interconnection UFLS systems. Light-load cases were used for all three of these analyses.</w:t>
      </w:r>
    </w:p>
    <w:p w:rsidR="00B113BB" w:rsidRDefault="00B113BB" w:rsidP="00DD1CA6"/>
    <w:p w:rsidR="008A3DFA" w:rsidRDefault="008A3DFA" w:rsidP="00F65383">
      <w:pPr>
        <w:sectPr w:rsidR="008A3DFA" w:rsidSect="00607521">
          <w:footerReference w:type="first" r:id="rId19"/>
          <w:pgSz w:w="12240" w:h="15840" w:code="1"/>
          <w:pgMar w:top="1008" w:right="1080" w:bottom="1080" w:left="1080" w:header="720" w:footer="432" w:gutter="0"/>
          <w:pgNumType w:start="1"/>
          <w:cols w:space="720"/>
          <w:titlePg/>
          <w:docGrid w:linePitch="360"/>
        </w:sectPr>
      </w:pPr>
    </w:p>
    <w:p w:rsidR="00890D2C" w:rsidRDefault="00871ADD" w:rsidP="00890D2C">
      <w:pPr>
        <w:pStyle w:val="Heading1"/>
      </w:pPr>
      <w:bookmarkStart w:id="6" w:name="_Toc408812254"/>
      <w:r w:rsidRPr="00871ADD">
        <w:t>Frequency Response Performance Analysi</w:t>
      </w:r>
      <w:r>
        <w:t>s</w:t>
      </w:r>
      <w:bookmarkEnd w:id="6"/>
    </w:p>
    <w:p w:rsidR="00871ADD" w:rsidRDefault="00871ADD" w:rsidP="00871ADD">
      <w:r>
        <w:t xml:space="preserve">Every year, NERC analyzes the Frequency Response performance of the four interconnections in the </w:t>
      </w:r>
      <w:r w:rsidRPr="00871ADD">
        <w:rPr>
          <w:i/>
        </w:rPr>
        <w:t>State of Reliability</w:t>
      </w:r>
      <w:r>
        <w:t xml:space="preserve"> report. The following charts and statistics are drawn from the </w:t>
      </w:r>
      <w:r w:rsidR="000020F0" w:rsidRPr="00A40C2F">
        <w:rPr>
          <w:i/>
        </w:rPr>
        <w:t>State of Reliability 2014</w:t>
      </w:r>
      <w:r w:rsidR="000020F0">
        <w:t xml:space="preserve"> </w:t>
      </w:r>
      <w:r>
        <w:t>report and the Interconnection Frequency Response from the NERC Reliability Indicators dashboard.</w:t>
      </w:r>
      <w:r w:rsidR="005C47CA">
        <w:rPr>
          <w:rStyle w:val="FootnoteReference"/>
        </w:rPr>
        <w:footnoteReference w:id="10"/>
      </w:r>
      <w:r w:rsidR="000642E2">
        <w:t xml:space="preserve"> </w:t>
      </w:r>
      <w:r>
        <w:t xml:space="preserve">The 2013 frequency response </w:t>
      </w:r>
      <w:r w:rsidR="000642E2">
        <w:t xml:space="preserve">performance </w:t>
      </w:r>
      <w:r>
        <w:t xml:space="preserve">values for each interconnection are used to compare the IFROs </w:t>
      </w:r>
      <w:r w:rsidR="000642E2">
        <w:t xml:space="preserve">calculated in 2013 for the 2014 operating year </w:t>
      </w:r>
      <w:r>
        <w:t xml:space="preserve">to </w:t>
      </w:r>
      <w:r w:rsidR="000642E2">
        <w:t>(December 2013 through November 2014)</w:t>
      </w:r>
      <w:r>
        <w:t>.</w:t>
      </w:r>
    </w:p>
    <w:p w:rsidR="00871ADD" w:rsidRDefault="00871ADD" w:rsidP="00F946A1"/>
    <w:p w:rsidR="00871ADD" w:rsidRPr="00432055" w:rsidRDefault="00871ADD" w:rsidP="00871ADD">
      <w:pPr>
        <w:pStyle w:val="Heading2"/>
      </w:pPr>
      <w:bookmarkStart w:id="7" w:name="_Toc408812255"/>
      <w:r>
        <w:t>Eastern Interconnection</w:t>
      </w:r>
      <w:bookmarkEnd w:id="7"/>
    </w:p>
    <w:p w:rsidR="000642E2" w:rsidRDefault="00F9600B" w:rsidP="004D3EC7">
      <w:r>
        <w:rPr>
          <w:noProof/>
        </w:rPr>
        <mc:AlternateContent>
          <mc:Choice Requires="wps">
            <w:drawing>
              <wp:anchor distT="0" distB="0" distL="114300" distR="114300" simplePos="0" relativeHeight="251684864" behindDoc="1" locked="0" layoutInCell="1" allowOverlap="1" wp14:anchorId="3C6C81FD" wp14:editId="3A06D99C">
                <wp:simplePos x="0" y="0"/>
                <wp:positionH relativeFrom="margin">
                  <wp:align>left</wp:align>
                </wp:positionH>
                <wp:positionV relativeFrom="paragraph">
                  <wp:posOffset>66608</wp:posOffset>
                </wp:positionV>
                <wp:extent cx="3395345" cy="1323340"/>
                <wp:effectExtent l="19050" t="19050" r="14605" b="10160"/>
                <wp:wrapTight wrapText="bothSides">
                  <wp:wrapPolygon edited="0">
                    <wp:start x="-121" y="-311"/>
                    <wp:lineTo x="-121" y="21455"/>
                    <wp:lineTo x="21572" y="21455"/>
                    <wp:lineTo x="21572" y="-311"/>
                    <wp:lineTo x="-121" y="-311"/>
                  </wp:wrapPolygon>
                </wp:wrapTight>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429" cy="1323642"/>
                        </a:xfrm>
                        <a:prstGeom prst="rect">
                          <a:avLst/>
                        </a:prstGeom>
                        <a:solidFill>
                          <a:schemeClr val="accent3">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FB52B0" w:rsidRDefault="00FB52B0" w:rsidP="00F9600B">
                            <w:r>
                              <w:t xml:space="preserve">NOTE: Frequency response performance data from the Eastern Interconnection in the </w:t>
                            </w:r>
                            <w:r w:rsidRPr="00A40C2F">
                              <w:rPr>
                                <w:i/>
                              </w:rPr>
                              <w:t>State of Reliability 2014</w:t>
                            </w:r>
                            <w:r w:rsidRPr="00A40C2F">
                              <w:t xml:space="preserve"> </w:t>
                            </w:r>
                            <w:r>
                              <w:t>report were reviewed in detail due to outliers that appeared to show a statistically significant decrease of frequency response in 2013 compared to 2011. Nineteen inappropriate frequency events were found to have been included in error.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81FD" id="Text Box 8" o:spid="_x0000_s1027" type="#_x0000_t202" style="position:absolute;left:0;text-align:left;margin-left:0;margin-top:5.25pt;width:267.35pt;height:104.2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" fillcolor="#afcde3 [3206]" strokecolor="#f2f2f2 [3041]" strokeweight="3pt">
                <v:shadow color="#346b94 [1606]" opacity=".5" offset="1pt"/>
                <v:textbox>
                  <w:txbxContent>
                    <w:p w:rsidR="00FB52B0" w:rsidRDefault="00FB52B0" w:rsidP="00F9600B">
                      <w:r>
                        <w:t xml:space="preserve">NOTE: Frequency response performance data from the Eastern Interconnection in the </w:t>
                      </w:r>
                      <w:r w:rsidRPr="00A40C2F">
                        <w:rPr>
                          <w:i/>
                        </w:rPr>
                        <w:t>State of Reliability 2014</w:t>
                      </w:r>
                      <w:r w:rsidRPr="00A40C2F">
                        <w:t xml:space="preserve"> </w:t>
                      </w:r>
                      <w:r>
                        <w:t>report were reviewed in detail due to outliers that appeared to show a statistically significant decrease of frequency response in 2013 compared to 2011. Nineteen inappropriate frequency events were found to have been included in error.</w:t>
                      </w:r>
                    </w:p>
                  </w:txbxContent>
                </v:textbox>
                <w10:wrap type="tight" anchorx="margin"/>
              </v:shape>
            </w:pict>
          </mc:Fallback>
        </mc:AlternateContent>
      </w:r>
      <w:r w:rsidR="000642E2">
        <w:t>The analysis below reflects the corrected data, showing steady frequency response performance for the Eastern Interconnection.</w:t>
      </w:r>
    </w:p>
    <w:p w:rsidR="000642E2" w:rsidRDefault="000642E2" w:rsidP="004D3EC7"/>
    <w:p w:rsidR="00871ADD" w:rsidRDefault="000642E2" w:rsidP="004D3EC7">
      <w:r>
        <w:t>Revised s</w:t>
      </w:r>
      <w:r w:rsidR="00871ADD" w:rsidRPr="00871ADD">
        <w:t xml:space="preserve">tatistical analysis of the annual changes in Eastern Interconnection Frequency Response concluded that there </w:t>
      </w:r>
      <w:r>
        <w:t xml:space="preserve">were </w:t>
      </w:r>
      <w:r w:rsidR="004D3EC7">
        <w:t>no other statistically significant changes in the expected frequency response by year for the Eastern Interconnection</w:t>
      </w:r>
      <w:r w:rsidR="00D15A13">
        <w:t>.</w:t>
      </w:r>
    </w:p>
    <w:p w:rsidR="00D15A13" w:rsidRDefault="00D15A13" w:rsidP="004D3EC7"/>
    <w:p w:rsidR="00D15A13" w:rsidRDefault="00D15A13" w:rsidP="00D15A13">
      <w:pPr>
        <w:jc w:val="center"/>
      </w:pPr>
      <w:r w:rsidRPr="00D15A13">
        <w:rPr>
          <w:noProof/>
        </w:rPr>
        <w:drawing>
          <wp:inline distT="0" distB="0" distL="0" distR="0" wp14:anchorId="418EE303" wp14:editId="605B8274">
            <wp:extent cx="5943600" cy="1801368"/>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01368"/>
                    </a:xfrm>
                    <a:prstGeom prst="rect">
                      <a:avLst/>
                    </a:prstGeom>
                    <a:noFill/>
                    <a:ln>
                      <a:noFill/>
                    </a:ln>
                  </pic:spPr>
                </pic:pic>
              </a:graphicData>
            </a:graphic>
          </wp:inline>
        </w:drawing>
      </w:r>
    </w:p>
    <w:p w:rsidR="00F8219D" w:rsidRPr="00F8219D" w:rsidRDefault="00F8219D" w:rsidP="00F8219D">
      <w:pPr>
        <w:pStyle w:val="CaptionNERC"/>
      </w:pPr>
      <w:r w:rsidRPr="00F8219D">
        <w:t xml:space="preserve">Figure </w:t>
      </w:r>
      <w:fldSimple w:instr=" SEQ Figure \* ARABIC ">
        <w:r w:rsidR="00897B0A">
          <w:rPr>
            <w:noProof/>
          </w:rPr>
          <w:t>1</w:t>
        </w:r>
      </w:fldSimple>
      <w:r w:rsidRPr="00F8219D">
        <w:t>: Eastern Interconnection Frequency Response Trend 2009–2013</w:t>
      </w:r>
    </w:p>
    <w:p w:rsidR="00F8219D" w:rsidRDefault="00F8219D" w:rsidP="00F946A1"/>
    <w:tbl>
      <w:tblPr>
        <w:tblW w:w="953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1451"/>
        <w:gridCol w:w="1169"/>
        <w:gridCol w:w="1569"/>
        <w:gridCol w:w="1439"/>
        <w:gridCol w:w="1125"/>
        <w:gridCol w:w="1128"/>
        <w:gridCol w:w="1654"/>
      </w:tblGrid>
      <w:tr w:rsidR="00871ADD" w:rsidRPr="00C11493" w:rsidTr="00743764">
        <w:trPr>
          <w:cantSplit/>
          <w:trHeight w:val="432"/>
          <w:jc w:val="center"/>
        </w:trPr>
        <w:tc>
          <w:tcPr>
            <w:tcW w:w="9535" w:type="dxa"/>
            <w:gridSpan w:val="7"/>
            <w:tcBorders>
              <w:top w:val="single" w:sz="4" w:space="0" w:color="auto"/>
              <w:left w:val="single" w:sz="4" w:space="0" w:color="auto"/>
              <w:bottom w:val="single" w:sz="4" w:space="0" w:color="auto"/>
              <w:right w:val="single" w:sz="4" w:space="0" w:color="auto"/>
            </w:tcBorders>
            <w:shd w:val="clear" w:color="auto" w:fill="264D74"/>
            <w:vAlign w:val="center"/>
          </w:tcPr>
          <w:p w:rsidR="00871ADD" w:rsidRPr="00C11493" w:rsidRDefault="00871ADD" w:rsidP="00871ADD">
            <w:pPr>
              <w:spacing w:beforeLines="20" w:before="48" w:afterLines="20" w:after="48"/>
              <w:jc w:val="center"/>
              <w:rPr>
                <w:rFonts w:asciiTheme="minorHAnsi" w:hAnsiTheme="minorHAnsi" w:cs="Arial"/>
                <w:szCs w:val="22"/>
              </w:rPr>
            </w:pPr>
            <w:r w:rsidRPr="00C11493">
              <w:rPr>
                <w:rFonts w:asciiTheme="minorHAnsi" w:hAnsiTheme="minorHAnsi" w:cs="Arial"/>
                <w:b/>
                <w:color w:val="FFFFFF"/>
                <w:szCs w:val="22"/>
              </w:rPr>
              <w:t xml:space="preserve">Table 1: </w:t>
            </w:r>
            <w:r w:rsidRPr="00C11493">
              <w:rPr>
                <w:rFonts w:asciiTheme="minorHAnsi" w:hAnsiTheme="minorHAnsi" w:cs="Tahoma"/>
                <w:b/>
                <w:bCs/>
                <w:color w:val="FFFFFF"/>
                <w:szCs w:val="22"/>
              </w:rPr>
              <w:t>Eastern Interconnection Frequency Response Statistics</w:t>
            </w:r>
          </w:p>
        </w:tc>
      </w:tr>
      <w:tr w:rsidR="00871ADD" w:rsidRPr="00C11493" w:rsidTr="00743764">
        <w:trPr>
          <w:cantSplit/>
          <w:jc w:val="center"/>
        </w:trPr>
        <w:tc>
          <w:tcPr>
            <w:tcW w:w="1451" w:type="dxa"/>
            <w:vMerge w:val="restart"/>
            <w:tcBorders>
              <w:top w:val="single" w:sz="4" w:space="0" w:color="auto"/>
              <w:left w:val="single" w:sz="4" w:space="0" w:color="auto"/>
              <w:right w:val="single" w:sz="4" w:space="0" w:color="auto"/>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cs="Arial"/>
                <w:b/>
                <w:szCs w:val="22"/>
              </w:rPr>
              <w:t>Year</w:t>
            </w:r>
          </w:p>
        </w:tc>
        <w:tc>
          <w:tcPr>
            <w:tcW w:w="1169" w:type="dxa"/>
            <w:vMerge w:val="restart"/>
            <w:tcBorders>
              <w:top w:val="single" w:sz="4" w:space="0" w:color="auto"/>
              <w:left w:val="single" w:sz="4" w:space="0" w:color="auto"/>
              <w:right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b/>
                <w:bCs/>
                <w:color w:val="000000"/>
                <w:szCs w:val="22"/>
              </w:rPr>
              <w:t>Number of Events</w:t>
            </w:r>
          </w:p>
        </w:tc>
        <w:tc>
          <w:tcPr>
            <w:tcW w:w="5261" w:type="dxa"/>
            <w:gridSpan w:val="4"/>
            <w:tcBorders>
              <w:top w:val="single" w:sz="4" w:space="0" w:color="000000"/>
              <w:left w:val="single" w:sz="4" w:space="0" w:color="000000"/>
              <w:bottom w:val="single" w:sz="4" w:space="0" w:color="000000"/>
              <w:right w:val="single" w:sz="4" w:space="0" w:color="000000"/>
            </w:tcBorders>
            <w:shd w:val="clear" w:color="auto" w:fill="8DB5DA"/>
            <w:vAlign w:val="center"/>
          </w:tcPr>
          <w:p w:rsidR="00871ADD" w:rsidRPr="00C11493" w:rsidRDefault="00871ADD" w:rsidP="00871ADD">
            <w:pPr>
              <w:spacing w:beforeLines="20" w:before="48" w:afterLines="20" w:after="48"/>
              <w:jc w:val="center"/>
              <w:rPr>
                <w:rFonts w:asciiTheme="minorHAnsi" w:hAnsiTheme="minorHAnsi" w:cs="Arial"/>
                <w:b/>
                <w:szCs w:val="22"/>
              </w:rPr>
            </w:pPr>
            <w:r w:rsidRPr="00C11493">
              <w:rPr>
                <w:rFonts w:asciiTheme="minorHAnsi" w:hAnsiTheme="minorHAnsi"/>
                <w:b/>
                <w:bCs/>
                <w:color w:val="000000"/>
                <w:szCs w:val="22"/>
              </w:rPr>
              <w:t>MW/0.1 Hz</w:t>
            </w:r>
          </w:p>
        </w:tc>
        <w:tc>
          <w:tcPr>
            <w:tcW w:w="1654" w:type="dxa"/>
            <w:vMerge w:val="restart"/>
            <w:tcBorders>
              <w:top w:val="single" w:sz="4" w:space="0" w:color="000000"/>
              <w:left w:val="single" w:sz="4" w:space="0" w:color="000000"/>
              <w:right w:val="single" w:sz="4" w:space="0" w:color="000000"/>
            </w:tcBorders>
            <w:shd w:val="clear" w:color="auto" w:fill="8DB5DA"/>
            <w:vAlign w:val="center"/>
          </w:tcPr>
          <w:p w:rsidR="00871ADD" w:rsidRPr="00C11493" w:rsidRDefault="00871ADD" w:rsidP="00871ADD">
            <w:pPr>
              <w:spacing w:beforeLines="20" w:before="48" w:afterLines="20" w:after="48"/>
              <w:jc w:val="center"/>
              <w:rPr>
                <w:rFonts w:asciiTheme="minorHAnsi" w:hAnsiTheme="minorHAnsi" w:cs="Arial"/>
                <w:b/>
                <w:szCs w:val="22"/>
              </w:rPr>
            </w:pPr>
            <w:r w:rsidRPr="00C11493">
              <w:rPr>
                <w:rFonts w:asciiTheme="minorHAnsi" w:hAnsiTheme="minorHAnsi" w:cs="Arial"/>
                <w:b/>
                <w:szCs w:val="22"/>
              </w:rPr>
              <w:t>Number of Events with</w:t>
            </w:r>
          </w:p>
          <w:p w:rsidR="00871ADD" w:rsidRPr="00C11493" w:rsidRDefault="00871ADD" w:rsidP="00871ADD">
            <w:pPr>
              <w:spacing w:beforeLines="20" w:before="48" w:afterLines="20" w:after="48"/>
              <w:jc w:val="center"/>
              <w:rPr>
                <w:rFonts w:asciiTheme="minorHAnsi" w:hAnsiTheme="minorHAnsi" w:cs="Arial"/>
                <w:b/>
                <w:szCs w:val="22"/>
              </w:rPr>
            </w:pPr>
            <w:r w:rsidRPr="00C11493">
              <w:rPr>
                <w:rFonts w:asciiTheme="minorHAnsi" w:hAnsiTheme="minorHAnsi" w:cs="Arial"/>
                <w:b/>
                <w:szCs w:val="22"/>
              </w:rPr>
              <w:t>FR below the</w:t>
            </w:r>
          </w:p>
          <w:p w:rsidR="00871ADD" w:rsidRPr="00C11493" w:rsidRDefault="00743764" w:rsidP="00871ADD">
            <w:pPr>
              <w:spacing w:beforeLines="20" w:before="48" w:afterLines="20" w:after="48"/>
              <w:jc w:val="center"/>
              <w:rPr>
                <w:rFonts w:asciiTheme="minorHAnsi" w:hAnsiTheme="minorHAnsi" w:cs="Arial"/>
                <w:b/>
                <w:szCs w:val="22"/>
              </w:rPr>
            </w:pPr>
            <w:r>
              <w:rPr>
                <w:rFonts w:asciiTheme="minorHAnsi" w:hAnsiTheme="minorHAnsi" w:cs="Arial"/>
                <w:b/>
                <w:szCs w:val="22"/>
              </w:rPr>
              <w:t>|</w:t>
            </w:r>
            <w:r w:rsidR="00871ADD" w:rsidRPr="00C11493">
              <w:rPr>
                <w:rFonts w:asciiTheme="minorHAnsi" w:hAnsiTheme="minorHAnsi" w:cs="Arial"/>
                <w:b/>
                <w:szCs w:val="22"/>
              </w:rPr>
              <w:t>IFRO=1,014</w:t>
            </w:r>
            <w:r w:rsidR="00222795" w:rsidRPr="00C11493">
              <w:rPr>
                <w:rStyle w:val="FootnoteReference"/>
                <w:rFonts w:asciiTheme="minorHAnsi" w:hAnsiTheme="minorHAnsi" w:cs="Arial"/>
                <w:b/>
                <w:szCs w:val="22"/>
              </w:rPr>
              <w:footnoteReference w:id="11"/>
            </w:r>
            <w:r>
              <w:rPr>
                <w:rFonts w:asciiTheme="minorHAnsi" w:hAnsiTheme="minorHAnsi" w:cs="Arial"/>
                <w:b/>
                <w:szCs w:val="22"/>
              </w:rPr>
              <w:t>|</w:t>
            </w:r>
          </w:p>
        </w:tc>
      </w:tr>
      <w:tr w:rsidR="00871ADD" w:rsidRPr="00C11493" w:rsidTr="00743764">
        <w:trPr>
          <w:cantSplit/>
          <w:jc w:val="center"/>
        </w:trPr>
        <w:tc>
          <w:tcPr>
            <w:tcW w:w="1451" w:type="dxa"/>
            <w:vMerge/>
            <w:tcBorders>
              <w:left w:val="single" w:sz="4" w:space="0" w:color="auto"/>
              <w:right w:val="single" w:sz="4" w:space="0" w:color="auto"/>
            </w:tcBorders>
            <w:shd w:val="clear" w:color="auto" w:fill="8DB5DA"/>
            <w:vAlign w:val="center"/>
          </w:tcPr>
          <w:p w:rsidR="00871ADD" w:rsidRPr="00C11493" w:rsidRDefault="00871ADD" w:rsidP="00871ADD">
            <w:pPr>
              <w:jc w:val="center"/>
              <w:rPr>
                <w:rFonts w:asciiTheme="minorHAnsi" w:hAnsiTheme="minorHAnsi" w:cs="Arial"/>
                <w:b/>
                <w:szCs w:val="22"/>
              </w:rPr>
            </w:pPr>
          </w:p>
        </w:tc>
        <w:tc>
          <w:tcPr>
            <w:tcW w:w="1169" w:type="dxa"/>
            <w:vMerge/>
            <w:tcBorders>
              <w:left w:val="single" w:sz="4" w:space="0" w:color="auto"/>
              <w:right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p>
        </w:tc>
        <w:tc>
          <w:tcPr>
            <w:tcW w:w="1569" w:type="dxa"/>
            <w:tcBorders>
              <w:top w:val="single" w:sz="4" w:space="0" w:color="000000"/>
              <w:left w:val="single" w:sz="4" w:space="0" w:color="000000"/>
              <w:bottom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cs="Arial"/>
                <w:b/>
                <w:szCs w:val="22"/>
              </w:rPr>
              <w:t>Mean of Frequency Response</w:t>
            </w:r>
          </w:p>
        </w:tc>
        <w:tc>
          <w:tcPr>
            <w:tcW w:w="1439" w:type="dxa"/>
            <w:tcBorders>
              <w:top w:val="single" w:sz="4" w:space="0" w:color="000000"/>
              <w:bottom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cs="Arial"/>
                <w:b/>
                <w:szCs w:val="22"/>
              </w:rPr>
              <w:t>Std. Dev. of Frequency Response</w:t>
            </w:r>
          </w:p>
        </w:tc>
        <w:tc>
          <w:tcPr>
            <w:tcW w:w="1125" w:type="dxa"/>
            <w:tcBorders>
              <w:top w:val="single" w:sz="4" w:space="0" w:color="000000"/>
              <w:bottom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b/>
                <w:bCs/>
                <w:color w:val="000000"/>
                <w:szCs w:val="22"/>
              </w:rPr>
              <w:t>Min.</w:t>
            </w:r>
          </w:p>
        </w:tc>
        <w:tc>
          <w:tcPr>
            <w:tcW w:w="1128" w:type="dxa"/>
            <w:tcBorders>
              <w:top w:val="single" w:sz="4" w:space="0" w:color="000000"/>
              <w:bottom w:val="single" w:sz="4" w:space="0" w:color="000000"/>
              <w:right w:val="single" w:sz="4" w:space="0" w:color="000000"/>
            </w:tcBorders>
            <w:shd w:val="clear" w:color="auto" w:fill="8DB5DA"/>
            <w:vAlign w:val="center"/>
          </w:tcPr>
          <w:p w:rsidR="00871ADD" w:rsidRPr="00C11493" w:rsidRDefault="00871ADD" w:rsidP="00871ADD">
            <w:pPr>
              <w:jc w:val="center"/>
              <w:rPr>
                <w:rFonts w:asciiTheme="minorHAnsi" w:hAnsiTheme="minorHAnsi" w:cs="Arial"/>
                <w:b/>
                <w:szCs w:val="22"/>
              </w:rPr>
            </w:pPr>
            <w:r w:rsidRPr="00C11493">
              <w:rPr>
                <w:rFonts w:asciiTheme="minorHAnsi" w:hAnsiTheme="minorHAnsi"/>
                <w:b/>
                <w:bCs/>
                <w:color w:val="000000"/>
                <w:szCs w:val="22"/>
              </w:rPr>
              <w:t xml:space="preserve">Max. </w:t>
            </w:r>
          </w:p>
        </w:tc>
        <w:tc>
          <w:tcPr>
            <w:tcW w:w="1654" w:type="dxa"/>
            <w:vMerge/>
            <w:tcBorders>
              <w:left w:val="single" w:sz="4" w:space="0" w:color="000000"/>
              <w:bottom w:val="single" w:sz="4" w:space="0" w:color="000000"/>
              <w:right w:val="single" w:sz="4" w:space="0" w:color="000000"/>
            </w:tcBorders>
            <w:shd w:val="clear" w:color="auto" w:fill="8DB5DA"/>
          </w:tcPr>
          <w:p w:rsidR="00871ADD" w:rsidRPr="00C11493" w:rsidRDefault="00871ADD" w:rsidP="00871ADD">
            <w:pPr>
              <w:jc w:val="center"/>
              <w:rPr>
                <w:rFonts w:asciiTheme="minorHAnsi" w:hAnsiTheme="minorHAnsi"/>
                <w:b/>
                <w:bCs/>
                <w:color w:val="000000"/>
                <w:szCs w:val="22"/>
              </w:rPr>
            </w:pPr>
          </w:p>
        </w:tc>
      </w:tr>
      <w:tr w:rsidR="00871ADD" w:rsidRPr="00C11493" w:rsidTr="00743764">
        <w:trPr>
          <w:cantSplit/>
          <w:trHeight w:val="302"/>
          <w:jc w:val="center"/>
        </w:trPr>
        <w:tc>
          <w:tcPr>
            <w:tcW w:w="1451"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2009–2013</w:t>
            </w:r>
          </w:p>
        </w:tc>
        <w:tc>
          <w:tcPr>
            <w:tcW w:w="1169" w:type="dxa"/>
            <w:vAlign w:val="center"/>
          </w:tcPr>
          <w:p w:rsidR="00D44A92" w:rsidRPr="00C11493" w:rsidRDefault="00871ADD" w:rsidP="00D44A92">
            <w:pPr>
              <w:jc w:val="center"/>
              <w:rPr>
                <w:rFonts w:asciiTheme="minorHAnsi" w:hAnsiTheme="minorHAnsi"/>
                <w:color w:val="000000"/>
                <w:szCs w:val="22"/>
              </w:rPr>
            </w:pPr>
            <w:r w:rsidRPr="00C11493">
              <w:rPr>
                <w:rFonts w:asciiTheme="minorHAnsi" w:hAnsiTheme="minorHAnsi"/>
                <w:color w:val="000000"/>
                <w:szCs w:val="22"/>
              </w:rPr>
              <w:t>2</w:t>
            </w:r>
            <w:r w:rsidR="00D44A92" w:rsidRPr="00C11493">
              <w:rPr>
                <w:rFonts w:asciiTheme="minorHAnsi" w:hAnsiTheme="minorHAnsi"/>
                <w:color w:val="000000"/>
                <w:szCs w:val="22"/>
              </w:rPr>
              <w:t>38</w:t>
            </w:r>
          </w:p>
        </w:tc>
        <w:tc>
          <w:tcPr>
            <w:tcW w:w="1569" w:type="dxa"/>
            <w:tcBorders>
              <w:top w:val="single" w:sz="4" w:space="0" w:color="000000"/>
            </w:tcBorders>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2,349.2</w:t>
            </w:r>
          </w:p>
        </w:tc>
        <w:tc>
          <w:tcPr>
            <w:tcW w:w="1439" w:type="dxa"/>
            <w:tcBorders>
              <w:top w:val="single" w:sz="4" w:space="0" w:color="000000"/>
            </w:tcBorders>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582.3</w:t>
            </w:r>
          </w:p>
        </w:tc>
        <w:tc>
          <w:tcPr>
            <w:tcW w:w="1125" w:type="dxa"/>
            <w:tcBorders>
              <w:top w:val="single" w:sz="4" w:space="0" w:color="000000"/>
            </w:tcBorders>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1,102.5</w:t>
            </w:r>
          </w:p>
        </w:tc>
        <w:tc>
          <w:tcPr>
            <w:tcW w:w="1128" w:type="dxa"/>
            <w:tcBorders>
              <w:top w:val="single" w:sz="4" w:space="0" w:color="000000"/>
            </w:tcBorders>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4,335.9</w:t>
            </w:r>
          </w:p>
        </w:tc>
        <w:tc>
          <w:tcPr>
            <w:tcW w:w="1654" w:type="dxa"/>
            <w:tcBorders>
              <w:top w:val="single" w:sz="4" w:space="0" w:color="000000"/>
            </w:tcBorders>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0</w:t>
            </w:r>
          </w:p>
        </w:tc>
      </w:tr>
      <w:tr w:rsidR="00871ADD" w:rsidRPr="00C11493" w:rsidTr="00743764">
        <w:trPr>
          <w:cantSplit/>
          <w:trHeight w:val="302"/>
          <w:jc w:val="center"/>
        </w:trPr>
        <w:tc>
          <w:tcPr>
            <w:tcW w:w="1451"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2009</w:t>
            </w:r>
          </w:p>
        </w:tc>
        <w:tc>
          <w:tcPr>
            <w:tcW w:w="116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44</w:t>
            </w:r>
          </w:p>
        </w:tc>
        <w:tc>
          <w:tcPr>
            <w:tcW w:w="156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2,258.4</w:t>
            </w:r>
          </w:p>
        </w:tc>
        <w:tc>
          <w:tcPr>
            <w:tcW w:w="143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522.5</w:t>
            </w:r>
          </w:p>
        </w:tc>
        <w:tc>
          <w:tcPr>
            <w:tcW w:w="1125"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1,404.8</w:t>
            </w:r>
          </w:p>
        </w:tc>
        <w:tc>
          <w:tcPr>
            <w:tcW w:w="1128"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3,625.0</w:t>
            </w:r>
          </w:p>
        </w:tc>
        <w:tc>
          <w:tcPr>
            <w:tcW w:w="1654" w:type="dxa"/>
            <w:shd w:val="clear" w:color="auto" w:fill="D5D5D5"/>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0</w:t>
            </w:r>
          </w:p>
        </w:tc>
      </w:tr>
      <w:tr w:rsidR="00871ADD" w:rsidRPr="00C11493" w:rsidTr="00743764">
        <w:trPr>
          <w:cantSplit/>
          <w:trHeight w:val="302"/>
          <w:jc w:val="center"/>
        </w:trPr>
        <w:tc>
          <w:tcPr>
            <w:tcW w:w="1451"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2010</w:t>
            </w:r>
          </w:p>
        </w:tc>
        <w:tc>
          <w:tcPr>
            <w:tcW w:w="116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49</w:t>
            </w:r>
          </w:p>
        </w:tc>
        <w:tc>
          <w:tcPr>
            <w:tcW w:w="156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2,335.7</w:t>
            </w:r>
          </w:p>
        </w:tc>
        <w:tc>
          <w:tcPr>
            <w:tcW w:w="143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697.6</w:t>
            </w:r>
          </w:p>
        </w:tc>
        <w:tc>
          <w:tcPr>
            <w:tcW w:w="1125"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1,102.5</w:t>
            </w:r>
          </w:p>
        </w:tc>
        <w:tc>
          <w:tcPr>
            <w:tcW w:w="1128"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4,335.9</w:t>
            </w:r>
          </w:p>
        </w:tc>
        <w:tc>
          <w:tcPr>
            <w:tcW w:w="1654" w:type="dxa"/>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0</w:t>
            </w:r>
          </w:p>
        </w:tc>
      </w:tr>
      <w:tr w:rsidR="00871ADD" w:rsidRPr="00C11493" w:rsidTr="00743764">
        <w:trPr>
          <w:cantSplit/>
          <w:trHeight w:val="302"/>
          <w:jc w:val="center"/>
        </w:trPr>
        <w:tc>
          <w:tcPr>
            <w:tcW w:w="1451"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2011</w:t>
            </w:r>
          </w:p>
        </w:tc>
        <w:tc>
          <w:tcPr>
            <w:tcW w:w="116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65</w:t>
            </w:r>
          </w:p>
        </w:tc>
        <w:tc>
          <w:tcPr>
            <w:tcW w:w="156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2,467.8</w:t>
            </w:r>
          </w:p>
        </w:tc>
        <w:tc>
          <w:tcPr>
            <w:tcW w:w="1439"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593.7</w:t>
            </w:r>
          </w:p>
        </w:tc>
        <w:tc>
          <w:tcPr>
            <w:tcW w:w="1125"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1,210.0</w:t>
            </w:r>
          </w:p>
        </w:tc>
        <w:tc>
          <w:tcPr>
            <w:tcW w:w="1128"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3,815.2</w:t>
            </w:r>
          </w:p>
        </w:tc>
        <w:tc>
          <w:tcPr>
            <w:tcW w:w="1654" w:type="dxa"/>
            <w:shd w:val="clear" w:color="auto" w:fill="D5D5D5"/>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0</w:t>
            </w:r>
          </w:p>
        </w:tc>
      </w:tr>
      <w:tr w:rsidR="00871ADD" w:rsidRPr="00C11493" w:rsidTr="00743764">
        <w:trPr>
          <w:cantSplit/>
          <w:trHeight w:val="302"/>
          <w:jc w:val="center"/>
        </w:trPr>
        <w:tc>
          <w:tcPr>
            <w:tcW w:w="1451"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2012</w:t>
            </w:r>
          </w:p>
        </w:tc>
        <w:tc>
          <w:tcPr>
            <w:tcW w:w="116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28</w:t>
            </w:r>
          </w:p>
        </w:tc>
        <w:tc>
          <w:tcPr>
            <w:tcW w:w="156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2,314.3</w:t>
            </w:r>
          </w:p>
        </w:tc>
        <w:tc>
          <w:tcPr>
            <w:tcW w:w="1439"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523.6</w:t>
            </w:r>
          </w:p>
        </w:tc>
        <w:tc>
          <w:tcPr>
            <w:tcW w:w="1125"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1,374.0</w:t>
            </w:r>
          </w:p>
        </w:tc>
        <w:tc>
          <w:tcPr>
            <w:tcW w:w="1128" w:type="dxa"/>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3,921.4</w:t>
            </w:r>
          </w:p>
        </w:tc>
        <w:tc>
          <w:tcPr>
            <w:tcW w:w="1654" w:type="dxa"/>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0</w:t>
            </w:r>
          </w:p>
        </w:tc>
      </w:tr>
      <w:tr w:rsidR="00871ADD" w:rsidRPr="00C11493" w:rsidTr="00743764">
        <w:trPr>
          <w:cantSplit/>
          <w:trHeight w:val="302"/>
          <w:jc w:val="center"/>
        </w:trPr>
        <w:tc>
          <w:tcPr>
            <w:tcW w:w="1451" w:type="dxa"/>
            <w:shd w:val="clear" w:color="auto" w:fill="D5D5D5"/>
            <w:vAlign w:val="center"/>
          </w:tcPr>
          <w:p w:rsidR="00871ADD" w:rsidRPr="00C11493" w:rsidRDefault="00871ADD" w:rsidP="00871ADD">
            <w:pPr>
              <w:jc w:val="center"/>
              <w:rPr>
                <w:rFonts w:asciiTheme="minorHAnsi" w:hAnsiTheme="minorHAnsi"/>
                <w:color w:val="000000"/>
                <w:szCs w:val="22"/>
              </w:rPr>
            </w:pPr>
            <w:r w:rsidRPr="00C11493">
              <w:rPr>
                <w:rFonts w:asciiTheme="minorHAnsi" w:hAnsiTheme="minorHAnsi"/>
                <w:color w:val="000000"/>
                <w:szCs w:val="22"/>
              </w:rPr>
              <w:t>2013</w:t>
            </w:r>
          </w:p>
        </w:tc>
        <w:tc>
          <w:tcPr>
            <w:tcW w:w="1169" w:type="dxa"/>
            <w:shd w:val="clear" w:color="auto" w:fill="D5D5D5"/>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52</w:t>
            </w:r>
          </w:p>
        </w:tc>
        <w:tc>
          <w:tcPr>
            <w:tcW w:w="1569" w:type="dxa"/>
            <w:shd w:val="clear" w:color="auto" w:fill="D5D5D5"/>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2,309.2</w:t>
            </w:r>
          </w:p>
        </w:tc>
        <w:tc>
          <w:tcPr>
            <w:tcW w:w="1439" w:type="dxa"/>
            <w:shd w:val="clear" w:color="auto" w:fill="D5D5D5"/>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523.3</w:t>
            </w:r>
          </w:p>
        </w:tc>
        <w:tc>
          <w:tcPr>
            <w:tcW w:w="1125" w:type="dxa"/>
            <w:shd w:val="clear" w:color="auto" w:fill="D5D5D5"/>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1,491.0</w:t>
            </w:r>
          </w:p>
        </w:tc>
        <w:tc>
          <w:tcPr>
            <w:tcW w:w="1128" w:type="dxa"/>
            <w:shd w:val="clear" w:color="auto" w:fill="D5D5D5"/>
            <w:vAlign w:val="center"/>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3,696.3</w:t>
            </w:r>
          </w:p>
        </w:tc>
        <w:tc>
          <w:tcPr>
            <w:tcW w:w="1654" w:type="dxa"/>
            <w:shd w:val="clear" w:color="auto" w:fill="D5D5D5"/>
          </w:tcPr>
          <w:p w:rsidR="00871ADD" w:rsidRPr="00C11493" w:rsidRDefault="00D44A92" w:rsidP="00871ADD">
            <w:pPr>
              <w:jc w:val="center"/>
              <w:rPr>
                <w:rFonts w:asciiTheme="minorHAnsi" w:hAnsiTheme="minorHAnsi"/>
                <w:color w:val="000000"/>
                <w:szCs w:val="22"/>
              </w:rPr>
            </w:pPr>
            <w:r w:rsidRPr="00C11493">
              <w:rPr>
                <w:rFonts w:asciiTheme="minorHAnsi" w:hAnsiTheme="minorHAnsi"/>
                <w:color w:val="000000"/>
                <w:szCs w:val="22"/>
              </w:rPr>
              <w:t>0</w:t>
            </w:r>
          </w:p>
        </w:tc>
      </w:tr>
    </w:tbl>
    <w:p w:rsidR="004D3EC7" w:rsidRPr="00432055" w:rsidRDefault="004D3EC7" w:rsidP="004D3EC7">
      <w:pPr>
        <w:pStyle w:val="Heading2"/>
      </w:pPr>
      <w:bookmarkStart w:id="8" w:name="_Toc408812256"/>
      <w:r>
        <w:t>Western Interconnection</w:t>
      </w:r>
      <w:bookmarkEnd w:id="8"/>
    </w:p>
    <w:p w:rsidR="004D3EC7" w:rsidRDefault="004D3EC7" w:rsidP="00F946A1">
      <w:r w:rsidRPr="004D3EC7">
        <w:t>It was not possible to statistically analyze the annual changes in the Western Interconnection Frequency Response due to the small sample sizes for each year.</w:t>
      </w:r>
    </w:p>
    <w:p w:rsidR="004D3EC7" w:rsidRDefault="004D3EC7" w:rsidP="00F946A1"/>
    <w:p w:rsidR="00F8219D" w:rsidRDefault="00D15A13" w:rsidP="00F8219D">
      <w:pPr>
        <w:jc w:val="center"/>
      </w:pPr>
      <w:r w:rsidRPr="00D15A13">
        <w:rPr>
          <w:noProof/>
        </w:rPr>
        <w:drawing>
          <wp:inline distT="0" distB="0" distL="0" distR="0" wp14:anchorId="012EA2CE" wp14:editId="64814BB2">
            <wp:extent cx="5943600" cy="1801368"/>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801368"/>
                    </a:xfrm>
                    <a:prstGeom prst="rect">
                      <a:avLst/>
                    </a:prstGeom>
                    <a:noFill/>
                    <a:ln>
                      <a:noFill/>
                    </a:ln>
                  </pic:spPr>
                </pic:pic>
              </a:graphicData>
            </a:graphic>
          </wp:inline>
        </w:drawing>
      </w:r>
    </w:p>
    <w:p w:rsidR="00F8219D" w:rsidRDefault="00F8219D" w:rsidP="00F8219D">
      <w:pPr>
        <w:pStyle w:val="CaptionNERC"/>
      </w:pPr>
      <w:r>
        <w:t xml:space="preserve">Figure </w:t>
      </w:r>
      <w:fldSimple w:instr=" SEQ Figure \* ARABIC ">
        <w:r w:rsidR="00897B0A">
          <w:rPr>
            <w:noProof/>
          </w:rPr>
          <w:t>2</w:t>
        </w:r>
      </w:fldSimple>
      <w:r>
        <w:t xml:space="preserve">: Western Interconnection Frequency Response Trend </w:t>
      </w:r>
      <w:r w:rsidRPr="00F8219D">
        <w:t>2009–2013</w:t>
      </w:r>
    </w:p>
    <w:p w:rsidR="00F8219D" w:rsidRDefault="00F8219D" w:rsidP="00F8219D"/>
    <w:tbl>
      <w:tblPr>
        <w:tblW w:w="935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1451"/>
        <w:gridCol w:w="1169"/>
        <w:gridCol w:w="1569"/>
        <w:gridCol w:w="1439"/>
        <w:gridCol w:w="1125"/>
        <w:gridCol w:w="1128"/>
        <w:gridCol w:w="1474"/>
      </w:tblGrid>
      <w:tr w:rsidR="004D3EC7" w:rsidRPr="00C11493" w:rsidTr="00743764">
        <w:trPr>
          <w:cantSplit/>
          <w:trHeight w:val="432"/>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264D74"/>
            <w:vAlign w:val="center"/>
          </w:tcPr>
          <w:p w:rsidR="004D3EC7" w:rsidRPr="00C11493" w:rsidRDefault="004D3EC7" w:rsidP="004D3EC7">
            <w:pPr>
              <w:spacing w:beforeLines="20" w:before="48" w:afterLines="20" w:after="48"/>
              <w:jc w:val="center"/>
              <w:rPr>
                <w:rFonts w:asciiTheme="minorHAnsi" w:hAnsiTheme="minorHAnsi" w:cs="Arial"/>
                <w:szCs w:val="22"/>
              </w:rPr>
            </w:pPr>
            <w:r w:rsidRPr="00C11493">
              <w:rPr>
                <w:rFonts w:asciiTheme="minorHAnsi" w:hAnsiTheme="minorHAnsi" w:cs="Arial"/>
                <w:b/>
                <w:color w:val="FFFFFF"/>
                <w:szCs w:val="22"/>
              </w:rPr>
              <w:t xml:space="preserve">Table 2: </w:t>
            </w:r>
            <w:r w:rsidRPr="00C11493">
              <w:rPr>
                <w:rFonts w:asciiTheme="minorHAnsi" w:hAnsiTheme="minorHAnsi" w:cs="Tahoma"/>
                <w:b/>
                <w:bCs/>
                <w:color w:val="FFFFFF"/>
                <w:szCs w:val="22"/>
              </w:rPr>
              <w:t>Western Interconnection Frequency Response Statistics</w:t>
            </w:r>
          </w:p>
        </w:tc>
      </w:tr>
      <w:tr w:rsidR="004D3EC7" w:rsidRPr="00C11493" w:rsidTr="00743764">
        <w:trPr>
          <w:cantSplit/>
          <w:jc w:val="center"/>
        </w:trPr>
        <w:tc>
          <w:tcPr>
            <w:tcW w:w="1451" w:type="dxa"/>
            <w:vMerge w:val="restart"/>
            <w:tcBorders>
              <w:top w:val="single" w:sz="4" w:space="0" w:color="auto"/>
              <w:left w:val="single" w:sz="4" w:space="0" w:color="auto"/>
              <w:right w:val="single" w:sz="4" w:space="0" w:color="auto"/>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cs="Arial"/>
                <w:b/>
                <w:szCs w:val="22"/>
              </w:rPr>
              <w:t>Year</w:t>
            </w:r>
          </w:p>
        </w:tc>
        <w:tc>
          <w:tcPr>
            <w:tcW w:w="1169" w:type="dxa"/>
            <w:vMerge w:val="restart"/>
            <w:tcBorders>
              <w:top w:val="single" w:sz="4" w:space="0" w:color="auto"/>
              <w:left w:val="single" w:sz="4" w:space="0" w:color="auto"/>
              <w:right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b/>
                <w:bCs/>
                <w:color w:val="000000"/>
                <w:szCs w:val="22"/>
              </w:rPr>
              <w:t>Number of Events</w:t>
            </w:r>
          </w:p>
        </w:tc>
        <w:tc>
          <w:tcPr>
            <w:tcW w:w="5261" w:type="dxa"/>
            <w:gridSpan w:val="4"/>
            <w:tcBorders>
              <w:top w:val="single" w:sz="4" w:space="0" w:color="000000"/>
              <w:left w:val="single" w:sz="4" w:space="0" w:color="000000"/>
              <w:bottom w:val="single" w:sz="4" w:space="0" w:color="000000"/>
              <w:right w:val="single" w:sz="4" w:space="0" w:color="000000"/>
            </w:tcBorders>
            <w:shd w:val="clear" w:color="auto" w:fill="8DB5DA"/>
            <w:vAlign w:val="center"/>
          </w:tcPr>
          <w:p w:rsidR="004D3EC7" w:rsidRPr="00C11493" w:rsidRDefault="004D3EC7" w:rsidP="00102473">
            <w:pPr>
              <w:spacing w:beforeLines="20" w:before="48" w:afterLines="20" w:after="48"/>
              <w:jc w:val="center"/>
              <w:rPr>
                <w:rFonts w:asciiTheme="minorHAnsi" w:hAnsiTheme="minorHAnsi" w:cs="Arial"/>
                <w:b/>
                <w:szCs w:val="22"/>
              </w:rPr>
            </w:pPr>
            <w:r w:rsidRPr="00C11493">
              <w:rPr>
                <w:rFonts w:asciiTheme="minorHAnsi" w:hAnsiTheme="minorHAnsi"/>
                <w:b/>
                <w:bCs/>
                <w:color w:val="000000"/>
                <w:szCs w:val="22"/>
              </w:rPr>
              <w:t>MW/0.1 Hz</w:t>
            </w:r>
          </w:p>
        </w:tc>
        <w:tc>
          <w:tcPr>
            <w:tcW w:w="1474" w:type="dxa"/>
            <w:vMerge w:val="restart"/>
            <w:tcBorders>
              <w:top w:val="single" w:sz="4" w:space="0" w:color="000000"/>
              <w:left w:val="single" w:sz="4" w:space="0" w:color="000000"/>
              <w:right w:val="single" w:sz="4" w:space="0" w:color="000000"/>
            </w:tcBorders>
            <w:shd w:val="clear" w:color="auto" w:fill="8DB5DA"/>
            <w:vAlign w:val="center"/>
          </w:tcPr>
          <w:p w:rsidR="004D3EC7" w:rsidRPr="00C11493" w:rsidRDefault="004D3EC7" w:rsidP="00102473">
            <w:pPr>
              <w:spacing w:beforeLines="20" w:before="48" w:afterLines="20" w:after="48"/>
              <w:jc w:val="center"/>
              <w:rPr>
                <w:rFonts w:asciiTheme="minorHAnsi" w:hAnsiTheme="minorHAnsi" w:cs="Arial"/>
                <w:b/>
                <w:szCs w:val="22"/>
              </w:rPr>
            </w:pPr>
            <w:r w:rsidRPr="00C11493">
              <w:rPr>
                <w:rFonts w:asciiTheme="minorHAnsi" w:hAnsiTheme="minorHAnsi" w:cs="Arial"/>
                <w:b/>
                <w:szCs w:val="22"/>
              </w:rPr>
              <w:t>Number of Events with</w:t>
            </w:r>
          </w:p>
          <w:p w:rsidR="004D3EC7" w:rsidRPr="00C11493" w:rsidRDefault="004D3EC7" w:rsidP="00102473">
            <w:pPr>
              <w:spacing w:beforeLines="20" w:before="48" w:afterLines="20" w:after="48"/>
              <w:jc w:val="center"/>
              <w:rPr>
                <w:rFonts w:asciiTheme="minorHAnsi" w:hAnsiTheme="minorHAnsi" w:cs="Arial"/>
                <w:b/>
                <w:szCs w:val="22"/>
              </w:rPr>
            </w:pPr>
            <w:r w:rsidRPr="00C11493">
              <w:rPr>
                <w:rFonts w:asciiTheme="minorHAnsi" w:hAnsiTheme="minorHAnsi" w:cs="Arial"/>
                <w:b/>
                <w:szCs w:val="22"/>
              </w:rPr>
              <w:t>FR below the</w:t>
            </w:r>
          </w:p>
          <w:p w:rsidR="004D3EC7" w:rsidRPr="00C11493" w:rsidRDefault="00743764" w:rsidP="00120B08">
            <w:pPr>
              <w:spacing w:beforeLines="20" w:before="48" w:afterLines="20" w:after="48"/>
              <w:jc w:val="center"/>
              <w:rPr>
                <w:rFonts w:asciiTheme="minorHAnsi" w:hAnsiTheme="minorHAnsi" w:cs="Arial"/>
                <w:b/>
                <w:szCs w:val="22"/>
              </w:rPr>
            </w:pPr>
            <w:r>
              <w:rPr>
                <w:rFonts w:asciiTheme="minorHAnsi" w:hAnsiTheme="minorHAnsi" w:cs="Arial"/>
                <w:b/>
                <w:szCs w:val="22"/>
              </w:rPr>
              <w:t>|</w:t>
            </w:r>
            <w:r w:rsidR="004D3EC7" w:rsidRPr="00C11493">
              <w:rPr>
                <w:rFonts w:asciiTheme="minorHAnsi" w:hAnsiTheme="minorHAnsi" w:cs="Arial"/>
                <w:b/>
                <w:szCs w:val="22"/>
              </w:rPr>
              <w:t>IFRO=</w:t>
            </w:r>
            <w:r w:rsidR="00120B08" w:rsidRPr="00C11493">
              <w:rPr>
                <w:rFonts w:asciiTheme="minorHAnsi" w:hAnsiTheme="minorHAnsi" w:cs="Arial"/>
                <w:b/>
                <w:szCs w:val="22"/>
              </w:rPr>
              <w:t>949</w:t>
            </w:r>
            <w:r w:rsidR="00222795" w:rsidRPr="00C11493">
              <w:rPr>
                <w:rStyle w:val="FootnoteReference"/>
                <w:rFonts w:asciiTheme="minorHAnsi" w:hAnsiTheme="minorHAnsi" w:cs="Arial"/>
                <w:b/>
                <w:szCs w:val="22"/>
              </w:rPr>
              <w:footnoteReference w:id="12"/>
            </w:r>
            <w:r>
              <w:rPr>
                <w:rFonts w:asciiTheme="minorHAnsi" w:hAnsiTheme="minorHAnsi" w:cs="Arial"/>
                <w:b/>
                <w:szCs w:val="22"/>
              </w:rPr>
              <w:t>|</w:t>
            </w:r>
          </w:p>
        </w:tc>
      </w:tr>
      <w:tr w:rsidR="004D3EC7" w:rsidRPr="00C11493" w:rsidTr="00743764">
        <w:trPr>
          <w:cantSplit/>
          <w:jc w:val="center"/>
        </w:trPr>
        <w:tc>
          <w:tcPr>
            <w:tcW w:w="1451" w:type="dxa"/>
            <w:vMerge/>
            <w:tcBorders>
              <w:left w:val="single" w:sz="4" w:space="0" w:color="auto"/>
              <w:right w:val="single" w:sz="4" w:space="0" w:color="auto"/>
            </w:tcBorders>
            <w:shd w:val="clear" w:color="auto" w:fill="8DB5DA"/>
            <w:vAlign w:val="center"/>
          </w:tcPr>
          <w:p w:rsidR="004D3EC7" w:rsidRPr="00C11493" w:rsidRDefault="004D3EC7" w:rsidP="00102473">
            <w:pPr>
              <w:jc w:val="center"/>
              <w:rPr>
                <w:rFonts w:asciiTheme="minorHAnsi" w:hAnsiTheme="minorHAnsi" w:cs="Arial"/>
                <w:b/>
                <w:szCs w:val="22"/>
              </w:rPr>
            </w:pPr>
          </w:p>
        </w:tc>
        <w:tc>
          <w:tcPr>
            <w:tcW w:w="1169" w:type="dxa"/>
            <w:vMerge/>
            <w:tcBorders>
              <w:left w:val="single" w:sz="4" w:space="0" w:color="auto"/>
              <w:right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p>
        </w:tc>
        <w:tc>
          <w:tcPr>
            <w:tcW w:w="1569" w:type="dxa"/>
            <w:tcBorders>
              <w:top w:val="single" w:sz="4" w:space="0" w:color="000000"/>
              <w:left w:val="single" w:sz="4" w:space="0" w:color="000000"/>
              <w:bottom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cs="Arial"/>
                <w:b/>
                <w:szCs w:val="22"/>
              </w:rPr>
              <w:t>Mean of Frequency Response</w:t>
            </w:r>
          </w:p>
        </w:tc>
        <w:tc>
          <w:tcPr>
            <w:tcW w:w="1439" w:type="dxa"/>
            <w:tcBorders>
              <w:top w:val="single" w:sz="4" w:space="0" w:color="000000"/>
              <w:bottom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cs="Arial"/>
                <w:b/>
                <w:szCs w:val="22"/>
              </w:rPr>
              <w:t>Std. Dev. of Frequency Response</w:t>
            </w:r>
          </w:p>
        </w:tc>
        <w:tc>
          <w:tcPr>
            <w:tcW w:w="1125" w:type="dxa"/>
            <w:tcBorders>
              <w:top w:val="single" w:sz="4" w:space="0" w:color="000000"/>
              <w:bottom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b/>
                <w:bCs/>
                <w:color w:val="000000"/>
                <w:szCs w:val="22"/>
              </w:rPr>
              <w:t>Min.</w:t>
            </w:r>
          </w:p>
        </w:tc>
        <w:tc>
          <w:tcPr>
            <w:tcW w:w="1128" w:type="dxa"/>
            <w:tcBorders>
              <w:top w:val="single" w:sz="4" w:space="0" w:color="000000"/>
              <w:bottom w:val="single" w:sz="4" w:space="0" w:color="000000"/>
              <w:right w:val="single" w:sz="4" w:space="0" w:color="000000"/>
            </w:tcBorders>
            <w:shd w:val="clear" w:color="auto" w:fill="8DB5DA"/>
            <w:vAlign w:val="center"/>
          </w:tcPr>
          <w:p w:rsidR="004D3EC7" w:rsidRPr="00C11493" w:rsidRDefault="004D3EC7" w:rsidP="00102473">
            <w:pPr>
              <w:jc w:val="center"/>
              <w:rPr>
                <w:rFonts w:asciiTheme="minorHAnsi" w:hAnsiTheme="minorHAnsi" w:cs="Arial"/>
                <w:b/>
                <w:szCs w:val="22"/>
              </w:rPr>
            </w:pPr>
            <w:r w:rsidRPr="00C11493">
              <w:rPr>
                <w:rFonts w:asciiTheme="minorHAnsi" w:hAnsiTheme="minorHAnsi"/>
                <w:b/>
                <w:bCs/>
                <w:color w:val="000000"/>
                <w:szCs w:val="22"/>
              </w:rPr>
              <w:t xml:space="preserve">Max. </w:t>
            </w:r>
          </w:p>
        </w:tc>
        <w:tc>
          <w:tcPr>
            <w:tcW w:w="1474" w:type="dxa"/>
            <w:vMerge/>
            <w:tcBorders>
              <w:left w:val="single" w:sz="4" w:space="0" w:color="000000"/>
              <w:bottom w:val="single" w:sz="4" w:space="0" w:color="000000"/>
              <w:right w:val="single" w:sz="4" w:space="0" w:color="000000"/>
            </w:tcBorders>
            <w:shd w:val="clear" w:color="auto" w:fill="8DB5DA"/>
          </w:tcPr>
          <w:p w:rsidR="004D3EC7" w:rsidRPr="00C11493" w:rsidRDefault="004D3EC7" w:rsidP="00102473">
            <w:pPr>
              <w:jc w:val="center"/>
              <w:rPr>
                <w:rFonts w:asciiTheme="minorHAnsi" w:hAnsiTheme="minorHAnsi"/>
                <w:b/>
                <w:bCs/>
                <w:color w:val="000000"/>
                <w:szCs w:val="22"/>
              </w:rPr>
            </w:pPr>
          </w:p>
        </w:tc>
      </w:tr>
      <w:tr w:rsidR="0015418F" w:rsidRPr="00C11493" w:rsidTr="00743764">
        <w:trPr>
          <w:cantSplit/>
          <w:trHeight w:val="302"/>
          <w:jc w:val="center"/>
        </w:trPr>
        <w:tc>
          <w:tcPr>
            <w:tcW w:w="1451" w:type="dxa"/>
            <w:vAlign w:val="center"/>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2009–2013</w:t>
            </w:r>
          </w:p>
        </w:tc>
        <w:tc>
          <w:tcPr>
            <w:tcW w:w="1169" w:type="dxa"/>
            <w:vAlign w:val="center"/>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119</w:t>
            </w:r>
          </w:p>
        </w:tc>
        <w:tc>
          <w:tcPr>
            <w:tcW w:w="1569" w:type="dxa"/>
            <w:tcBorders>
              <w:top w:val="single" w:sz="4" w:space="0" w:color="000000"/>
            </w:tcBorders>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 xml:space="preserve">1,514.0 </w:t>
            </w:r>
          </w:p>
        </w:tc>
        <w:tc>
          <w:tcPr>
            <w:tcW w:w="1439" w:type="dxa"/>
            <w:tcBorders>
              <w:top w:val="single" w:sz="4" w:space="0" w:color="000000"/>
            </w:tcBorders>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422.9</w:t>
            </w:r>
          </w:p>
        </w:tc>
        <w:tc>
          <w:tcPr>
            <w:tcW w:w="1125" w:type="dxa"/>
            <w:tcBorders>
              <w:top w:val="single" w:sz="4" w:space="0" w:color="000000"/>
            </w:tcBorders>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816.7</w:t>
            </w:r>
          </w:p>
        </w:tc>
        <w:tc>
          <w:tcPr>
            <w:tcW w:w="1128" w:type="dxa"/>
            <w:tcBorders>
              <w:top w:val="single" w:sz="4" w:space="0" w:color="000000"/>
            </w:tcBorders>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3,125.0</w:t>
            </w:r>
          </w:p>
        </w:tc>
        <w:tc>
          <w:tcPr>
            <w:tcW w:w="1474" w:type="dxa"/>
            <w:tcBorders>
              <w:top w:val="single" w:sz="4" w:space="0" w:color="000000"/>
            </w:tcBorders>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3</w:t>
            </w:r>
          </w:p>
        </w:tc>
      </w:tr>
      <w:tr w:rsidR="0015418F" w:rsidRPr="00C11493" w:rsidTr="00743764">
        <w:trPr>
          <w:cantSplit/>
          <w:trHeight w:val="302"/>
          <w:jc w:val="center"/>
        </w:trPr>
        <w:tc>
          <w:tcPr>
            <w:tcW w:w="1451" w:type="dxa"/>
            <w:shd w:val="clear" w:color="auto" w:fill="D5D5D5"/>
            <w:vAlign w:val="center"/>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2009</w:t>
            </w:r>
          </w:p>
        </w:tc>
        <w:tc>
          <w:tcPr>
            <w:tcW w:w="1169" w:type="dxa"/>
            <w:shd w:val="clear" w:color="auto" w:fill="D5D5D5"/>
            <w:vAlign w:val="center"/>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25</w:t>
            </w:r>
          </w:p>
        </w:tc>
        <w:tc>
          <w:tcPr>
            <w:tcW w:w="1569" w:type="dxa"/>
            <w:shd w:val="clear" w:color="auto" w:fill="D5D5D5"/>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1,513.6</w:t>
            </w:r>
          </w:p>
        </w:tc>
        <w:tc>
          <w:tcPr>
            <w:tcW w:w="1439" w:type="dxa"/>
            <w:shd w:val="clear" w:color="auto" w:fill="D5D5D5"/>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295.7</w:t>
            </w:r>
          </w:p>
        </w:tc>
        <w:tc>
          <w:tcPr>
            <w:tcW w:w="1125" w:type="dxa"/>
            <w:shd w:val="clear" w:color="auto" w:fill="D5D5D5"/>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1,000.0</w:t>
            </w:r>
          </w:p>
        </w:tc>
        <w:tc>
          <w:tcPr>
            <w:tcW w:w="1128" w:type="dxa"/>
            <w:shd w:val="clear" w:color="auto" w:fill="D5D5D5"/>
          </w:tcPr>
          <w:p w:rsidR="0015418F" w:rsidRPr="00C11493" w:rsidRDefault="0015418F" w:rsidP="0015418F">
            <w:pPr>
              <w:jc w:val="center"/>
              <w:rPr>
                <w:rFonts w:asciiTheme="minorHAnsi" w:hAnsiTheme="minorHAnsi"/>
                <w:color w:val="000000"/>
                <w:szCs w:val="22"/>
              </w:rPr>
            </w:pPr>
            <w:r w:rsidRPr="00C11493">
              <w:rPr>
                <w:rFonts w:asciiTheme="minorHAnsi" w:hAnsiTheme="minorHAnsi"/>
                <w:szCs w:val="22"/>
              </w:rPr>
              <w:t>2,027.0</w:t>
            </w:r>
          </w:p>
        </w:tc>
        <w:tc>
          <w:tcPr>
            <w:tcW w:w="1474" w:type="dxa"/>
            <w:shd w:val="clear" w:color="auto" w:fill="D5D5D5"/>
          </w:tcPr>
          <w:p w:rsidR="0015418F" w:rsidRPr="00C11493" w:rsidRDefault="0015418F" w:rsidP="0015418F">
            <w:pPr>
              <w:jc w:val="center"/>
              <w:rPr>
                <w:rFonts w:asciiTheme="minorHAnsi" w:hAnsiTheme="minorHAnsi"/>
                <w:color w:val="000000"/>
                <w:szCs w:val="22"/>
              </w:rPr>
            </w:pPr>
            <w:r w:rsidRPr="00C11493">
              <w:rPr>
                <w:rFonts w:asciiTheme="minorHAnsi" w:hAnsiTheme="minorHAnsi"/>
                <w:color w:val="000000"/>
                <w:szCs w:val="22"/>
              </w:rPr>
              <w:t>0</w:t>
            </w:r>
          </w:p>
        </w:tc>
      </w:tr>
      <w:tr w:rsidR="004D3EC7" w:rsidRPr="00C11493" w:rsidTr="00743764">
        <w:trPr>
          <w:cantSplit/>
          <w:trHeight w:val="302"/>
          <w:jc w:val="center"/>
        </w:trPr>
        <w:tc>
          <w:tcPr>
            <w:tcW w:w="1451" w:type="dxa"/>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2010</w:t>
            </w:r>
          </w:p>
        </w:tc>
        <w:tc>
          <w:tcPr>
            <w:tcW w:w="1169" w:type="dxa"/>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29</w:t>
            </w:r>
          </w:p>
        </w:tc>
        <w:tc>
          <w:tcPr>
            <w:tcW w:w="1569"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1,572.2</w:t>
            </w:r>
          </w:p>
        </w:tc>
        <w:tc>
          <w:tcPr>
            <w:tcW w:w="1439"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512.3</w:t>
            </w:r>
          </w:p>
        </w:tc>
        <w:tc>
          <w:tcPr>
            <w:tcW w:w="1125"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816.7</w:t>
            </w:r>
          </w:p>
        </w:tc>
        <w:tc>
          <w:tcPr>
            <w:tcW w:w="1128"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3,125.0</w:t>
            </w:r>
          </w:p>
        </w:tc>
        <w:tc>
          <w:tcPr>
            <w:tcW w:w="1474" w:type="dxa"/>
          </w:tcPr>
          <w:p w:rsidR="004D3EC7" w:rsidRPr="00C11493" w:rsidRDefault="0015418F" w:rsidP="004D3EC7">
            <w:pPr>
              <w:jc w:val="center"/>
              <w:rPr>
                <w:rFonts w:asciiTheme="minorHAnsi" w:hAnsiTheme="minorHAnsi"/>
                <w:color w:val="000000"/>
                <w:szCs w:val="22"/>
              </w:rPr>
            </w:pPr>
            <w:r w:rsidRPr="00C11493">
              <w:rPr>
                <w:rFonts w:asciiTheme="minorHAnsi" w:hAnsiTheme="minorHAnsi"/>
                <w:color w:val="000000"/>
                <w:szCs w:val="22"/>
              </w:rPr>
              <w:t>2</w:t>
            </w:r>
          </w:p>
        </w:tc>
      </w:tr>
      <w:tr w:rsidR="004D3EC7" w:rsidRPr="00C11493" w:rsidTr="00743764">
        <w:trPr>
          <w:cantSplit/>
          <w:trHeight w:val="302"/>
          <w:jc w:val="center"/>
        </w:trPr>
        <w:tc>
          <w:tcPr>
            <w:tcW w:w="1451" w:type="dxa"/>
            <w:shd w:val="clear" w:color="auto" w:fill="D5D5D5"/>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2011</w:t>
            </w:r>
          </w:p>
        </w:tc>
        <w:tc>
          <w:tcPr>
            <w:tcW w:w="1169" w:type="dxa"/>
            <w:shd w:val="clear" w:color="auto" w:fill="D5D5D5"/>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25</w:t>
            </w:r>
          </w:p>
        </w:tc>
        <w:tc>
          <w:tcPr>
            <w:tcW w:w="1569"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szCs w:val="22"/>
              </w:rPr>
              <w:t>1,496.5</w:t>
            </w:r>
          </w:p>
        </w:tc>
        <w:tc>
          <w:tcPr>
            <w:tcW w:w="1439"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szCs w:val="22"/>
              </w:rPr>
              <w:t>391.9</w:t>
            </w:r>
          </w:p>
        </w:tc>
        <w:tc>
          <w:tcPr>
            <w:tcW w:w="1125"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szCs w:val="22"/>
              </w:rPr>
              <w:t>1,078.6</w:t>
            </w:r>
          </w:p>
        </w:tc>
        <w:tc>
          <w:tcPr>
            <w:tcW w:w="1128"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szCs w:val="22"/>
              </w:rPr>
              <w:t>2,894.6</w:t>
            </w:r>
          </w:p>
        </w:tc>
        <w:tc>
          <w:tcPr>
            <w:tcW w:w="1474"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0</w:t>
            </w:r>
          </w:p>
        </w:tc>
      </w:tr>
      <w:tr w:rsidR="004D3EC7" w:rsidRPr="00C11493" w:rsidTr="00743764">
        <w:trPr>
          <w:cantSplit/>
          <w:trHeight w:val="302"/>
          <w:jc w:val="center"/>
        </w:trPr>
        <w:tc>
          <w:tcPr>
            <w:tcW w:w="1451" w:type="dxa"/>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2012</w:t>
            </w:r>
          </w:p>
        </w:tc>
        <w:tc>
          <w:tcPr>
            <w:tcW w:w="1169" w:type="dxa"/>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12</w:t>
            </w:r>
          </w:p>
        </w:tc>
        <w:tc>
          <w:tcPr>
            <w:tcW w:w="1569"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1,466.8</w:t>
            </w:r>
          </w:p>
        </w:tc>
        <w:tc>
          <w:tcPr>
            <w:tcW w:w="1439"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557.2</w:t>
            </w:r>
          </w:p>
        </w:tc>
        <w:tc>
          <w:tcPr>
            <w:tcW w:w="1125"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997.0</w:t>
            </w:r>
          </w:p>
        </w:tc>
        <w:tc>
          <w:tcPr>
            <w:tcW w:w="1128"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3,123.5</w:t>
            </w:r>
          </w:p>
        </w:tc>
        <w:tc>
          <w:tcPr>
            <w:tcW w:w="1474" w:type="dxa"/>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0</w:t>
            </w:r>
          </w:p>
        </w:tc>
      </w:tr>
      <w:tr w:rsidR="004D3EC7" w:rsidRPr="00C11493" w:rsidTr="00743764">
        <w:trPr>
          <w:cantSplit/>
          <w:trHeight w:val="302"/>
          <w:jc w:val="center"/>
        </w:trPr>
        <w:tc>
          <w:tcPr>
            <w:tcW w:w="1451" w:type="dxa"/>
            <w:shd w:val="clear" w:color="auto" w:fill="D5D5D5"/>
            <w:vAlign w:val="center"/>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2013</w:t>
            </w:r>
          </w:p>
        </w:tc>
        <w:tc>
          <w:tcPr>
            <w:tcW w:w="1169"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28</w:t>
            </w:r>
          </w:p>
        </w:tc>
        <w:tc>
          <w:tcPr>
            <w:tcW w:w="1569"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1,491.2</w:t>
            </w:r>
          </w:p>
        </w:tc>
        <w:tc>
          <w:tcPr>
            <w:tcW w:w="1439"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404.3</w:t>
            </w:r>
          </w:p>
        </w:tc>
        <w:tc>
          <w:tcPr>
            <w:tcW w:w="1125"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821.9</w:t>
            </w:r>
          </w:p>
        </w:tc>
        <w:tc>
          <w:tcPr>
            <w:tcW w:w="1128"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s="Calibri"/>
                <w:szCs w:val="22"/>
              </w:rPr>
              <w:t>2,851.0</w:t>
            </w:r>
          </w:p>
        </w:tc>
        <w:tc>
          <w:tcPr>
            <w:tcW w:w="1474" w:type="dxa"/>
            <w:shd w:val="clear" w:color="auto" w:fill="D5D5D5"/>
          </w:tcPr>
          <w:p w:rsidR="004D3EC7" w:rsidRPr="00C11493" w:rsidRDefault="004D3EC7" w:rsidP="004D3EC7">
            <w:pPr>
              <w:jc w:val="center"/>
              <w:rPr>
                <w:rFonts w:asciiTheme="minorHAnsi" w:hAnsiTheme="minorHAnsi"/>
                <w:color w:val="000000"/>
                <w:szCs w:val="22"/>
              </w:rPr>
            </w:pPr>
            <w:r w:rsidRPr="00C11493">
              <w:rPr>
                <w:rFonts w:asciiTheme="minorHAnsi" w:hAnsiTheme="minorHAnsi"/>
                <w:color w:val="000000"/>
                <w:szCs w:val="22"/>
              </w:rPr>
              <w:t>1</w:t>
            </w:r>
          </w:p>
        </w:tc>
      </w:tr>
    </w:tbl>
    <w:p w:rsidR="004D3EC7" w:rsidRDefault="004D3EC7" w:rsidP="00F946A1"/>
    <w:p w:rsidR="00B50203" w:rsidRDefault="00B50203" w:rsidP="004D226A">
      <w:pPr>
        <w:pStyle w:val="Heading2"/>
      </w:pPr>
      <w:r>
        <w:br w:type="page"/>
      </w:r>
    </w:p>
    <w:p w:rsidR="004D226A" w:rsidRPr="00432055" w:rsidRDefault="004D226A" w:rsidP="004D226A">
      <w:pPr>
        <w:pStyle w:val="Heading2"/>
      </w:pPr>
      <w:bookmarkStart w:id="9" w:name="_Toc408812257"/>
      <w:r>
        <w:t>ERCOT Interconnection</w:t>
      </w:r>
      <w:bookmarkEnd w:id="9"/>
    </w:p>
    <w:p w:rsidR="004D226A" w:rsidRDefault="004D226A" w:rsidP="004D226A">
      <w:r w:rsidRPr="004D226A">
        <w:t xml:space="preserve">Statistical analysis of the annual changes in ERCOT Interconnection Frequency Response found </w:t>
      </w:r>
      <w:r>
        <w:t>four statistically significant improvements in the expected frequency response (between 2009 and 2013, between 2010 and 2013, between 2011 and 2013, and between 2012 and 2013).</w:t>
      </w:r>
    </w:p>
    <w:p w:rsidR="004D226A" w:rsidRDefault="004D226A" w:rsidP="00F946A1"/>
    <w:p w:rsidR="00B50203" w:rsidRDefault="00BE5C89" w:rsidP="00B50203">
      <w:pPr>
        <w:jc w:val="center"/>
      </w:pPr>
      <w:r w:rsidRPr="00BE5C89">
        <w:rPr>
          <w:noProof/>
        </w:rPr>
        <w:drawing>
          <wp:inline distT="0" distB="0" distL="0" distR="0" wp14:anchorId="396989FD" wp14:editId="19E6BBE9">
            <wp:extent cx="5942965" cy="1793240"/>
            <wp:effectExtent l="0" t="0" r="63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2965" cy="1793240"/>
                    </a:xfrm>
                    <a:prstGeom prst="rect">
                      <a:avLst/>
                    </a:prstGeom>
                    <a:noFill/>
                    <a:ln>
                      <a:noFill/>
                    </a:ln>
                  </pic:spPr>
                </pic:pic>
              </a:graphicData>
            </a:graphic>
          </wp:inline>
        </w:drawing>
      </w:r>
    </w:p>
    <w:p w:rsidR="00F8219D" w:rsidRDefault="00B50203" w:rsidP="00B50203">
      <w:pPr>
        <w:pStyle w:val="CaptionNERC"/>
      </w:pPr>
      <w:r>
        <w:t xml:space="preserve">Figure </w:t>
      </w:r>
      <w:fldSimple w:instr=" SEQ Figure \* ARABIC ">
        <w:r w:rsidR="00897B0A">
          <w:rPr>
            <w:noProof/>
          </w:rPr>
          <w:t>3</w:t>
        </w:r>
      </w:fldSimple>
      <w:r>
        <w:t xml:space="preserve">: </w:t>
      </w:r>
      <w:r w:rsidRPr="00062CC4">
        <w:t>ERCOT Interconnection Frequency Response Analysis for 2009–201</w:t>
      </w:r>
      <w:r>
        <w:t>3</w:t>
      </w:r>
    </w:p>
    <w:p w:rsidR="00F8219D" w:rsidRDefault="00F8219D" w:rsidP="00F946A1"/>
    <w:tbl>
      <w:tblPr>
        <w:tblW w:w="935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1451"/>
        <w:gridCol w:w="1169"/>
        <w:gridCol w:w="1569"/>
        <w:gridCol w:w="1439"/>
        <w:gridCol w:w="1125"/>
        <w:gridCol w:w="1128"/>
        <w:gridCol w:w="1474"/>
      </w:tblGrid>
      <w:tr w:rsidR="004D226A" w:rsidRPr="00C11493" w:rsidTr="00743764">
        <w:trPr>
          <w:cantSplit/>
          <w:trHeight w:val="432"/>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264D74"/>
            <w:vAlign w:val="center"/>
          </w:tcPr>
          <w:p w:rsidR="004D226A" w:rsidRPr="00C11493" w:rsidRDefault="004D226A" w:rsidP="004D226A">
            <w:pPr>
              <w:spacing w:beforeLines="20" w:before="48" w:afterLines="20" w:after="48"/>
              <w:jc w:val="center"/>
              <w:rPr>
                <w:rFonts w:asciiTheme="minorHAnsi" w:hAnsiTheme="minorHAnsi" w:cs="Arial"/>
                <w:szCs w:val="22"/>
              </w:rPr>
            </w:pPr>
            <w:r w:rsidRPr="00C11493">
              <w:rPr>
                <w:rFonts w:asciiTheme="minorHAnsi" w:hAnsiTheme="minorHAnsi" w:cs="Arial"/>
                <w:b/>
                <w:color w:val="FFFFFF"/>
                <w:szCs w:val="22"/>
              </w:rPr>
              <w:t xml:space="preserve">Table 3: </w:t>
            </w:r>
            <w:r w:rsidRPr="00C11493">
              <w:rPr>
                <w:rFonts w:asciiTheme="minorHAnsi" w:hAnsiTheme="minorHAnsi" w:cs="Tahoma"/>
                <w:b/>
                <w:bCs/>
                <w:color w:val="FFFFFF"/>
                <w:szCs w:val="22"/>
              </w:rPr>
              <w:t>ERCOT Interconnection Frequency Response Statistics</w:t>
            </w:r>
          </w:p>
        </w:tc>
      </w:tr>
      <w:tr w:rsidR="004D226A" w:rsidRPr="00C11493" w:rsidTr="00743764">
        <w:trPr>
          <w:cantSplit/>
          <w:jc w:val="center"/>
        </w:trPr>
        <w:tc>
          <w:tcPr>
            <w:tcW w:w="1451" w:type="dxa"/>
            <w:vMerge w:val="restart"/>
            <w:tcBorders>
              <w:top w:val="single" w:sz="4" w:space="0" w:color="auto"/>
              <w:left w:val="single" w:sz="4" w:space="0" w:color="auto"/>
              <w:right w:val="single" w:sz="4" w:space="0" w:color="auto"/>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cs="Arial"/>
                <w:b/>
                <w:szCs w:val="22"/>
              </w:rPr>
              <w:t>Year</w:t>
            </w:r>
          </w:p>
        </w:tc>
        <w:tc>
          <w:tcPr>
            <w:tcW w:w="1169" w:type="dxa"/>
            <w:vMerge w:val="restart"/>
            <w:tcBorders>
              <w:top w:val="single" w:sz="4" w:space="0" w:color="auto"/>
              <w:left w:val="single" w:sz="4" w:space="0" w:color="auto"/>
              <w:right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b/>
                <w:bCs/>
                <w:color w:val="000000"/>
                <w:szCs w:val="22"/>
              </w:rPr>
              <w:t>Number of Events</w:t>
            </w:r>
          </w:p>
        </w:tc>
        <w:tc>
          <w:tcPr>
            <w:tcW w:w="5261" w:type="dxa"/>
            <w:gridSpan w:val="4"/>
            <w:tcBorders>
              <w:top w:val="single" w:sz="4" w:space="0" w:color="000000"/>
              <w:left w:val="single" w:sz="4" w:space="0" w:color="000000"/>
              <w:bottom w:val="single" w:sz="4" w:space="0" w:color="000000"/>
              <w:right w:val="single" w:sz="4" w:space="0" w:color="000000"/>
            </w:tcBorders>
            <w:shd w:val="clear" w:color="auto" w:fill="8DB5DA"/>
            <w:vAlign w:val="center"/>
          </w:tcPr>
          <w:p w:rsidR="004D226A" w:rsidRPr="00C11493" w:rsidRDefault="004D226A" w:rsidP="00102473">
            <w:pPr>
              <w:spacing w:beforeLines="20" w:before="48" w:afterLines="20" w:after="48"/>
              <w:jc w:val="center"/>
              <w:rPr>
                <w:rFonts w:asciiTheme="minorHAnsi" w:hAnsiTheme="minorHAnsi" w:cs="Arial"/>
                <w:b/>
                <w:szCs w:val="22"/>
              </w:rPr>
            </w:pPr>
            <w:r w:rsidRPr="00C11493">
              <w:rPr>
                <w:rFonts w:asciiTheme="minorHAnsi" w:hAnsiTheme="minorHAnsi"/>
                <w:b/>
                <w:bCs/>
                <w:color w:val="000000"/>
                <w:szCs w:val="22"/>
              </w:rPr>
              <w:t>MW/0.1 Hz</w:t>
            </w:r>
          </w:p>
        </w:tc>
        <w:tc>
          <w:tcPr>
            <w:tcW w:w="1474" w:type="dxa"/>
            <w:vMerge w:val="restart"/>
            <w:tcBorders>
              <w:top w:val="single" w:sz="4" w:space="0" w:color="000000"/>
              <w:left w:val="single" w:sz="4" w:space="0" w:color="000000"/>
              <w:right w:val="single" w:sz="4" w:space="0" w:color="000000"/>
            </w:tcBorders>
            <w:shd w:val="clear" w:color="auto" w:fill="8DB5DA"/>
            <w:vAlign w:val="center"/>
          </w:tcPr>
          <w:p w:rsidR="004D226A" w:rsidRPr="00C11493" w:rsidRDefault="004D226A" w:rsidP="00102473">
            <w:pPr>
              <w:spacing w:beforeLines="20" w:before="48" w:afterLines="20" w:after="48"/>
              <w:jc w:val="center"/>
              <w:rPr>
                <w:rFonts w:asciiTheme="minorHAnsi" w:hAnsiTheme="minorHAnsi" w:cs="Arial"/>
                <w:b/>
                <w:szCs w:val="22"/>
              </w:rPr>
            </w:pPr>
            <w:r w:rsidRPr="00C11493">
              <w:rPr>
                <w:rFonts w:asciiTheme="minorHAnsi" w:hAnsiTheme="minorHAnsi" w:cs="Arial"/>
                <w:b/>
                <w:szCs w:val="22"/>
              </w:rPr>
              <w:t>Number of Events with</w:t>
            </w:r>
          </w:p>
          <w:p w:rsidR="004D226A" w:rsidRPr="00C11493" w:rsidRDefault="004D226A" w:rsidP="00102473">
            <w:pPr>
              <w:spacing w:beforeLines="20" w:before="48" w:afterLines="20" w:after="48"/>
              <w:jc w:val="center"/>
              <w:rPr>
                <w:rFonts w:asciiTheme="minorHAnsi" w:hAnsiTheme="minorHAnsi" w:cs="Arial"/>
                <w:b/>
                <w:szCs w:val="22"/>
              </w:rPr>
            </w:pPr>
            <w:r w:rsidRPr="00C11493">
              <w:rPr>
                <w:rFonts w:asciiTheme="minorHAnsi" w:hAnsiTheme="minorHAnsi" w:cs="Arial"/>
                <w:b/>
                <w:szCs w:val="22"/>
              </w:rPr>
              <w:t>FR below the</w:t>
            </w:r>
          </w:p>
          <w:p w:rsidR="004D226A" w:rsidRPr="00C11493" w:rsidRDefault="00743764" w:rsidP="00120B08">
            <w:pPr>
              <w:spacing w:beforeLines="20" w:before="48" w:afterLines="20" w:after="48"/>
              <w:jc w:val="center"/>
              <w:rPr>
                <w:rFonts w:asciiTheme="minorHAnsi" w:hAnsiTheme="minorHAnsi" w:cs="Arial"/>
                <w:b/>
                <w:szCs w:val="22"/>
              </w:rPr>
            </w:pPr>
            <w:r>
              <w:rPr>
                <w:rFonts w:asciiTheme="minorHAnsi" w:hAnsiTheme="minorHAnsi" w:cs="Arial"/>
                <w:b/>
                <w:szCs w:val="22"/>
              </w:rPr>
              <w:t>|</w:t>
            </w:r>
            <w:r w:rsidR="004D226A" w:rsidRPr="00C11493">
              <w:rPr>
                <w:rFonts w:asciiTheme="minorHAnsi" w:hAnsiTheme="minorHAnsi" w:cs="Arial"/>
                <w:b/>
                <w:szCs w:val="22"/>
              </w:rPr>
              <w:t>IFRO=</w:t>
            </w:r>
            <w:r w:rsidR="00120B08" w:rsidRPr="00C11493">
              <w:rPr>
                <w:rFonts w:asciiTheme="minorHAnsi" w:hAnsiTheme="minorHAnsi" w:cs="Arial"/>
                <w:b/>
                <w:szCs w:val="22"/>
              </w:rPr>
              <w:t>413</w:t>
            </w:r>
            <w:r w:rsidR="00222795" w:rsidRPr="00C11493">
              <w:rPr>
                <w:rStyle w:val="FootnoteReference"/>
                <w:rFonts w:asciiTheme="minorHAnsi" w:hAnsiTheme="minorHAnsi" w:cs="Arial"/>
                <w:b/>
                <w:szCs w:val="22"/>
              </w:rPr>
              <w:footnoteReference w:id="13"/>
            </w:r>
            <w:r>
              <w:rPr>
                <w:rFonts w:asciiTheme="minorHAnsi" w:hAnsiTheme="minorHAnsi" w:cs="Arial"/>
                <w:b/>
                <w:szCs w:val="22"/>
              </w:rPr>
              <w:t>|</w:t>
            </w:r>
          </w:p>
        </w:tc>
      </w:tr>
      <w:tr w:rsidR="004D226A" w:rsidRPr="00C11493" w:rsidTr="00743764">
        <w:trPr>
          <w:cantSplit/>
          <w:jc w:val="center"/>
        </w:trPr>
        <w:tc>
          <w:tcPr>
            <w:tcW w:w="1451" w:type="dxa"/>
            <w:vMerge/>
            <w:tcBorders>
              <w:left w:val="single" w:sz="4" w:space="0" w:color="auto"/>
              <w:right w:val="single" w:sz="4" w:space="0" w:color="auto"/>
            </w:tcBorders>
            <w:shd w:val="clear" w:color="auto" w:fill="8DB5DA"/>
            <w:vAlign w:val="center"/>
          </w:tcPr>
          <w:p w:rsidR="004D226A" w:rsidRPr="00C11493" w:rsidRDefault="004D226A" w:rsidP="00102473">
            <w:pPr>
              <w:jc w:val="center"/>
              <w:rPr>
                <w:rFonts w:asciiTheme="minorHAnsi" w:hAnsiTheme="minorHAnsi" w:cs="Arial"/>
                <w:b/>
                <w:szCs w:val="22"/>
              </w:rPr>
            </w:pPr>
          </w:p>
        </w:tc>
        <w:tc>
          <w:tcPr>
            <w:tcW w:w="1169" w:type="dxa"/>
            <w:vMerge/>
            <w:tcBorders>
              <w:left w:val="single" w:sz="4" w:space="0" w:color="auto"/>
              <w:right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p>
        </w:tc>
        <w:tc>
          <w:tcPr>
            <w:tcW w:w="1569" w:type="dxa"/>
            <w:tcBorders>
              <w:top w:val="single" w:sz="4" w:space="0" w:color="000000"/>
              <w:left w:val="single" w:sz="4" w:space="0" w:color="000000"/>
              <w:bottom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cs="Arial"/>
                <w:b/>
                <w:szCs w:val="22"/>
              </w:rPr>
              <w:t>Mean of Frequency Response</w:t>
            </w:r>
          </w:p>
        </w:tc>
        <w:tc>
          <w:tcPr>
            <w:tcW w:w="1439" w:type="dxa"/>
            <w:tcBorders>
              <w:top w:val="single" w:sz="4" w:space="0" w:color="000000"/>
              <w:bottom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cs="Arial"/>
                <w:b/>
                <w:szCs w:val="22"/>
              </w:rPr>
              <w:t>Std. Dev. of Frequency Response</w:t>
            </w:r>
          </w:p>
        </w:tc>
        <w:tc>
          <w:tcPr>
            <w:tcW w:w="1125" w:type="dxa"/>
            <w:tcBorders>
              <w:top w:val="single" w:sz="4" w:space="0" w:color="000000"/>
              <w:bottom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b/>
                <w:bCs/>
                <w:color w:val="000000"/>
                <w:szCs w:val="22"/>
              </w:rPr>
              <w:t>Min.</w:t>
            </w:r>
          </w:p>
        </w:tc>
        <w:tc>
          <w:tcPr>
            <w:tcW w:w="1128" w:type="dxa"/>
            <w:tcBorders>
              <w:top w:val="single" w:sz="4" w:space="0" w:color="000000"/>
              <w:bottom w:val="single" w:sz="4" w:space="0" w:color="000000"/>
              <w:right w:val="single" w:sz="4" w:space="0" w:color="000000"/>
            </w:tcBorders>
            <w:shd w:val="clear" w:color="auto" w:fill="8DB5DA"/>
            <w:vAlign w:val="center"/>
          </w:tcPr>
          <w:p w:rsidR="004D226A" w:rsidRPr="00C11493" w:rsidRDefault="004D226A" w:rsidP="00102473">
            <w:pPr>
              <w:jc w:val="center"/>
              <w:rPr>
                <w:rFonts w:asciiTheme="minorHAnsi" w:hAnsiTheme="minorHAnsi" w:cs="Arial"/>
                <w:b/>
                <w:szCs w:val="22"/>
              </w:rPr>
            </w:pPr>
            <w:r w:rsidRPr="00C11493">
              <w:rPr>
                <w:rFonts w:asciiTheme="minorHAnsi" w:hAnsiTheme="minorHAnsi"/>
                <w:b/>
                <w:bCs/>
                <w:color w:val="000000"/>
                <w:szCs w:val="22"/>
              </w:rPr>
              <w:t xml:space="preserve">Max. </w:t>
            </w:r>
          </w:p>
        </w:tc>
        <w:tc>
          <w:tcPr>
            <w:tcW w:w="1474" w:type="dxa"/>
            <w:vMerge/>
            <w:tcBorders>
              <w:left w:val="single" w:sz="4" w:space="0" w:color="000000"/>
              <w:bottom w:val="single" w:sz="4" w:space="0" w:color="000000"/>
              <w:right w:val="single" w:sz="4" w:space="0" w:color="000000"/>
            </w:tcBorders>
            <w:shd w:val="clear" w:color="auto" w:fill="8DB5DA"/>
          </w:tcPr>
          <w:p w:rsidR="004D226A" w:rsidRPr="00C11493" w:rsidRDefault="004D226A" w:rsidP="00102473">
            <w:pPr>
              <w:jc w:val="center"/>
              <w:rPr>
                <w:rFonts w:asciiTheme="minorHAnsi" w:hAnsiTheme="minorHAnsi"/>
                <w:b/>
                <w:bCs/>
                <w:color w:val="000000"/>
                <w:szCs w:val="22"/>
              </w:rPr>
            </w:pPr>
          </w:p>
        </w:tc>
      </w:tr>
      <w:tr w:rsidR="004D226A" w:rsidRPr="00C11493" w:rsidTr="00743764">
        <w:trPr>
          <w:cantSplit/>
          <w:trHeight w:val="302"/>
          <w:jc w:val="center"/>
        </w:trPr>
        <w:tc>
          <w:tcPr>
            <w:tcW w:w="1451" w:type="dxa"/>
            <w:vAlign w:val="center"/>
          </w:tcPr>
          <w:p w:rsidR="004D226A" w:rsidRPr="00C11493" w:rsidRDefault="004D226A" w:rsidP="004D226A">
            <w:pPr>
              <w:jc w:val="center"/>
              <w:rPr>
                <w:rFonts w:asciiTheme="minorHAnsi" w:hAnsiTheme="minorHAnsi"/>
                <w:color w:val="000000"/>
                <w:szCs w:val="22"/>
              </w:rPr>
            </w:pPr>
            <w:r w:rsidRPr="00C11493">
              <w:rPr>
                <w:rFonts w:asciiTheme="minorHAnsi" w:hAnsiTheme="minorHAnsi"/>
                <w:color w:val="000000"/>
                <w:szCs w:val="22"/>
              </w:rPr>
              <w:t>2009–2013</w:t>
            </w:r>
          </w:p>
        </w:tc>
        <w:tc>
          <w:tcPr>
            <w:tcW w:w="1169" w:type="dxa"/>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298</w:t>
            </w:r>
          </w:p>
        </w:tc>
        <w:tc>
          <w:tcPr>
            <w:tcW w:w="1569" w:type="dxa"/>
            <w:tcBorders>
              <w:top w:val="single" w:sz="4" w:space="0" w:color="000000"/>
            </w:tcBorders>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 xml:space="preserve">612.2 </w:t>
            </w:r>
          </w:p>
        </w:tc>
        <w:tc>
          <w:tcPr>
            <w:tcW w:w="1439" w:type="dxa"/>
            <w:tcBorders>
              <w:top w:val="single" w:sz="4" w:space="0" w:color="000000"/>
            </w:tcBorders>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240.8</w:t>
            </w:r>
          </w:p>
        </w:tc>
        <w:tc>
          <w:tcPr>
            <w:tcW w:w="1125" w:type="dxa"/>
            <w:tcBorders>
              <w:top w:val="single" w:sz="4" w:space="0" w:color="000000"/>
            </w:tcBorders>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228.0</w:t>
            </w:r>
          </w:p>
        </w:tc>
        <w:tc>
          <w:tcPr>
            <w:tcW w:w="1128" w:type="dxa"/>
            <w:tcBorders>
              <w:top w:val="single" w:sz="4" w:space="0" w:color="000000"/>
            </w:tcBorders>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2,552.8</w:t>
            </w:r>
          </w:p>
        </w:tc>
        <w:tc>
          <w:tcPr>
            <w:tcW w:w="1474" w:type="dxa"/>
            <w:tcBorders>
              <w:top w:val="single" w:sz="4" w:space="0" w:color="000000"/>
            </w:tcBorders>
          </w:tcPr>
          <w:p w:rsidR="004D226A" w:rsidRPr="00C11493" w:rsidRDefault="004D226A" w:rsidP="004D226A">
            <w:pPr>
              <w:jc w:val="center"/>
              <w:rPr>
                <w:rFonts w:asciiTheme="minorHAnsi" w:hAnsiTheme="minorHAnsi"/>
                <w:color w:val="000000"/>
                <w:szCs w:val="22"/>
              </w:rPr>
            </w:pPr>
            <w:r w:rsidRPr="00C11493">
              <w:rPr>
                <w:rFonts w:asciiTheme="minorHAnsi" w:hAnsiTheme="minorHAnsi"/>
                <w:color w:val="000000"/>
                <w:szCs w:val="22"/>
              </w:rPr>
              <w:t>34</w:t>
            </w:r>
          </w:p>
        </w:tc>
      </w:tr>
      <w:tr w:rsidR="004D226A" w:rsidRPr="00C11493" w:rsidTr="00743764">
        <w:trPr>
          <w:cantSplit/>
          <w:trHeight w:val="302"/>
          <w:jc w:val="center"/>
        </w:trPr>
        <w:tc>
          <w:tcPr>
            <w:tcW w:w="1451" w:type="dxa"/>
            <w:shd w:val="clear" w:color="auto" w:fill="D5D5D5"/>
            <w:vAlign w:val="center"/>
          </w:tcPr>
          <w:p w:rsidR="004D226A" w:rsidRPr="00C11493" w:rsidRDefault="004D226A" w:rsidP="004D226A">
            <w:pPr>
              <w:jc w:val="center"/>
              <w:rPr>
                <w:rFonts w:asciiTheme="minorHAnsi" w:hAnsiTheme="minorHAnsi"/>
                <w:color w:val="000000"/>
                <w:szCs w:val="22"/>
              </w:rPr>
            </w:pPr>
            <w:r w:rsidRPr="00C11493">
              <w:rPr>
                <w:rFonts w:asciiTheme="minorHAnsi" w:hAnsiTheme="minorHAnsi"/>
                <w:color w:val="000000"/>
                <w:szCs w:val="22"/>
              </w:rPr>
              <w:t>2009</w:t>
            </w:r>
          </w:p>
        </w:tc>
        <w:tc>
          <w:tcPr>
            <w:tcW w:w="1169" w:type="dxa"/>
            <w:shd w:val="clear" w:color="auto" w:fill="D5D5D5"/>
          </w:tcPr>
          <w:p w:rsidR="004D226A" w:rsidRPr="00C11493" w:rsidRDefault="004D226A" w:rsidP="00791812">
            <w:pPr>
              <w:jc w:val="center"/>
              <w:rPr>
                <w:rFonts w:asciiTheme="minorHAnsi" w:hAnsiTheme="minorHAnsi"/>
                <w:color w:val="000000"/>
                <w:szCs w:val="22"/>
              </w:rPr>
            </w:pPr>
            <w:r w:rsidRPr="00C11493">
              <w:rPr>
                <w:rFonts w:asciiTheme="minorHAnsi" w:hAnsiTheme="minorHAnsi"/>
                <w:szCs w:val="22"/>
              </w:rPr>
              <w:t>51</w:t>
            </w:r>
          </w:p>
        </w:tc>
        <w:tc>
          <w:tcPr>
            <w:tcW w:w="1569" w:type="dxa"/>
            <w:shd w:val="clear" w:color="auto" w:fill="D5D5D5"/>
          </w:tcPr>
          <w:p w:rsidR="004D226A" w:rsidRPr="00C11493" w:rsidRDefault="004D226A" w:rsidP="00791812">
            <w:pPr>
              <w:jc w:val="center"/>
              <w:rPr>
                <w:rFonts w:asciiTheme="minorHAnsi" w:hAnsiTheme="minorHAnsi"/>
                <w:color w:val="000000"/>
                <w:szCs w:val="22"/>
              </w:rPr>
            </w:pPr>
            <w:r w:rsidRPr="00C11493">
              <w:rPr>
                <w:rFonts w:asciiTheme="minorHAnsi" w:hAnsiTheme="minorHAnsi"/>
                <w:szCs w:val="22"/>
              </w:rPr>
              <w:t>595.2</w:t>
            </w:r>
          </w:p>
        </w:tc>
        <w:tc>
          <w:tcPr>
            <w:tcW w:w="1439" w:type="dxa"/>
            <w:shd w:val="clear" w:color="auto" w:fill="D5D5D5"/>
          </w:tcPr>
          <w:p w:rsidR="004D226A" w:rsidRPr="00C11493" w:rsidRDefault="004D226A" w:rsidP="00791812">
            <w:pPr>
              <w:jc w:val="center"/>
              <w:rPr>
                <w:rFonts w:asciiTheme="minorHAnsi" w:hAnsiTheme="minorHAnsi"/>
                <w:color w:val="000000"/>
                <w:szCs w:val="22"/>
              </w:rPr>
            </w:pPr>
            <w:r w:rsidRPr="00C11493">
              <w:rPr>
                <w:rFonts w:asciiTheme="minorHAnsi" w:hAnsiTheme="minorHAnsi"/>
                <w:szCs w:val="22"/>
              </w:rPr>
              <w:t>185.0</w:t>
            </w:r>
          </w:p>
        </w:tc>
        <w:tc>
          <w:tcPr>
            <w:tcW w:w="1125" w:type="dxa"/>
            <w:shd w:val="clear" w:color="auto" w:fill="D5D5D5"/>
          </w:tcPr>
          <w:p w:rsidR="004D226A" w:rsidRPr="00C11493" w:rsidRDefault="004D226A" w:rsidP="00791812">
            <w:pPr>
              <w:jc w:val="center"/>
              <w:rPr>
                <w:rFonts w:asciiTheme="minorHAnsi" w:hAnsiTheme="minorHAnsi"/>
                <w:color w:val="000000"/>
                <w:szCs w:val="22"/>
              </w:rPr>
            </w:pPr>
            <w:r w:rsidRPr="00C11493">
              <w:rPr>
                <w:rFonts w:asciiTheme="minorHAnsi" w:hAnsiTheme="minorHAnsi"/>
                <w:szCs w:val="22"/>
              </w:rPr>
              <w:t>263.5</w:t>
            </w:r>
          </w:p>
        </w:tc>
        <w:tc>
          <w:tcPr>
            <w:tcW w:w="1128" w:type="dxa"/>
            <w:shd w:val="clear" w:color="auto" w:fill="D5D5D5"/>
          </w:tcPr>
          <w:p w:rsidR="004D226A" w:rsidRPr="00C11493" w:rsidRDefault="004D226A" w:rsidP="004D226A">
            <w:pPr>
              <w:jc w:val="center"/>
              <w:rPr>
                <w:rFonts w:asciiTheme="minorHAnsi" w:hAnsiTheme="minorHAnsi"/>
                <w:color w:val="000000"/>
                <w:szCs w:val="22"/>
              </w:rPr>
            </w:pPr>
            <w:r w:rsidRPr="00C11493">
              <w:rPr>
                <w:rFonts w:asciiTheme="minorHAnsi" w:hAnsiTheme="minorHAnsi"/>
                <w:szCs w:val="22"/>
              </w:rPr>
              <w:t>1</w:t>
            </w:r>
            <w:r w:rsidR="00791812" w:rsidRPr="00C11493">
              <w:rPr>
                <w:rFonts w:asciiTheme="minorHAnsi" w:hAnsiTheme="minorHAnsi"/>
                <w:szCs w:val="22"/>
              </w:rPr>
              <w:t>,</w:t>
            </w:r>
            <w:r w:rsidRPr="00C11493">
              <w:rPr>
                <w:rFonts w:asciiTheme="minorHAnsi" w:hAnsiTheme="minorHAnsi"/>
                <w:szCs w:val="22"/>
              </w:rPr>
              <w:t>299.1</w:t>
            </w:r>
          </w:p>
        </w:tc>
        <w:tc>
          <w:tcPr>
            <w:tcW w:w="1474" w:type="dxa"/>
            <w:shd w:val="clear" w:color="auto" w:fill="D5D5D5"/>
          </w:tcPr>
          <w:p w:rsidR="004D226A" w:rsidRPr="00C11493" w:rsidRDefault="00791812" w:rsidP="004D226A">
            <w:pPr>
              <w:jc w:val="center"/>
              <w:rPr>
                <w:rFonts w:asciiTheme="minorHAnsi" w:hAnsiTheme="minorHAnsi"/>
                <w:color w:val="000000"/>
                <w:szCs w:val="22"/>
              </w:rPr>
            </w:pPr>
            <w:r w:rsidRPr="00C11493">
              <w:rPr>
                <w:rFonts w:asciiTheme="minorHAnsi" w:hAnsiTheme="minorHAnsi"/>
                <w:color w:val="000000"/>
                <w:szCs w:val="22"/>
              </w:rPr>
              <w:t>5</w:t>
            </w:r>
          </w:p>
        </w:tc>
      </w:tr>
      <w:tr w:rsidR="00791812" w:rsidRPr="00C11493" w:rsidTr="00743764">
        <w:trPr>
          <w:cantSplit/>
          <w:trHeight w:val="302"/>
          <w:jc w:val="center"/>
        </w:trPr>
        <w:tc>
          <w:tcPr>
            <w:tcW w:w="1451" w:type="dxa"/>
            <w:vAlign w:val="center"/>
          </w:tcPr>
          <w:p w:rsidR="00791812" w:rsidRPr="00C11493" w:rsidRDefault="00791812" w:rsidP="00791812">
            <w:pPr>
              <w:jc w:val="center"/>
              <w:rPr>
                <w:rFonts w:asciiTheme="minorHAnsi" w:hAnsiTheme="minorHAnsi"/>
                <w:color w:val="000000"/>
                <w:szCs w:val="22"/>
              </w:rPr>
            </w:pPr>
            <w:r w:rsidRPr="00C11493">
              <w:rPr>
                <w:rFonts w:asciiTheme="minorHAnsi" w:hAnsiTheme="minorHAnsi"/>
                <w:color w:val="000000"/>
                <w:szCs w:val="22"/>
              </w:rPr>
              <w:t>2010</w:t>
            </w:r>
          </w:p>
        </w:tc>
        <w:tc>
          <w:tcPr>
            <w:tcW w:w="1169"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szCs w:val="22"/>
              </w:rPr>
              <w:t>67</w:t>
            </w:r>
          </w:p>
        </w:tc>
        <w:tc>
          <w:tcPr>
            <w:tcW w:w="1569"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szCs w:val="22"/>
              </w:rPr>
              <w:t>609.7</w:t>
            </w:r>
          </w:p>
        </w:tc>
        <w:tc>
          <w:tcPr>
            <w:tcW w:w="1439"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szCs w:val="22"/>
              </w:rPr>
              <w:t>164.8</w:t>
            </w:r>
          </w:p>
        </w:tc>
        <w:tc>
          <w:tcPr>
            <w:tcW w:w="1125"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szCs w:val="22"/>
              </w:rPr>
              <w:t>367.6</w:t>
            </w:r>
          </w:p>
        </w:tc>
        <w:tc>
          <w:tcPr>
            <w:tcW w:w="1128"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szCs w:val="22"/>
              </w:rPr>
              <w:t>1,152.5</w:t>
            </w:r>
          </w:p>
        </w:tc>
        <w:tc>
          <w:tcPr>
            <w:tcW w:w="1474" w:type="dxa"/>
          </w:tcPr>
          <w:p w:rsidR="00791812" w:rsidRPr="00C11493" w:rsidRDefault="00791812" w:rsidP="00791812">
            <w:pPr>
              <w:jc w:val="center"/>
              <w:rPr>
                <w:rFonts w:asciiTheme="minorHAnsi" w:hAnsiTheme="minorHAnsi"/>
                <w:color w:val="000000"/>
                <w:szCs w:val="22"/>
              </w:rPr>
            </w:pPr>
            <w:r w:rsidRPr="00C11493">
              <w:rPr>
                <w:rFonts w:asciiTheme="minorHAnsi" w:hAnsiTheme="minorHAnsi"/>
                <w:color w:val="000000"/>
                <w:szCs w:val="22"/>
              </w:rPr>
              <w:t>3</w:t>
            </w:r>
          </w:p>
        </w:tc>
      </w:tr>
      <w:tr w:rsidR="009D23D3" w:rsidRPr="00C11493" w:rsidTr="00743764">
        <w:trPr>
          <w:cantSplit/>
          <w:trHeight w:val="302"/>
          <w:jc w:val="center"/>
        </w:trPr>
        <w:tc>
          <w:tcPr>
            <w:tcW w:w="1451" w:type="dxa"/>
            <w:shd w:val="clear" w:color="auto" w:fill="D5D5D5"/>
            <w:vAlign w:val="center"/>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2011</w:t>
            </w:r>
          </w:p>
        </w:tc>
        <w:tc>
          <w:tcPr>
            <w:tcW w:w="116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65</w:t>
            </w:r>
          </w:p>
        </w:tc>
        <w:tc>
          <w:tcPr>
            <w:tcW w:w="156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509.6</w:t>
            </w:r>
          </w:p>
        </w:tc>
        <w:tc>
          <w:tcPr>
            <w:tcW w:w="143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131.3</w:t>
            </w:r>
          </w:p>
        </w:tc>
        <w:tc>
          <w:tcPr>
            <w:tcW w:w="1125"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228.0</w:t>
            </w:r>
          </w:p>
        </w:tc>
        <w:tc>
          <w:tcPr>
            <w:tcW w:w="1128"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993.0</w:t>
            </w:r>
          </w:p>
        </w:tc>
        <w:tc>
          <w:tcPr>
            <w:tcW w:w="1474"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15</w:t>
            </w:r>
          </w:p>
        </w:tc>
      </w:tr>
      <w:tr w:rsidR="009D23D3" w:rsidRPr="00C11493" w:rsidTr="00743764">
        <w:trPr>
          <w:cantSplit/>
          <w:trHeight w:val="302"/>
          <w:jc w:val="center"/>
        </w:trPr>
        <w:tc>
          <w:tcPr>
            <w:tcW w:w="1451" w:type="dxa"/>
            <w:vAlign w:val="center"/>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2012</w:t>
            </w:r>
          </w:p>
        </w:tc>
        <w:tc>
          <w:tcPr>
            <w:tcW w:w="1169"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63</w:t>
            </w:r>
          </w:p>
        </w:tc>
        <w:tc>
          <w:tcPr>
            <w:tcW w:w="1569"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571.2</w:t>
            </w:r>
          </w:p>
        </w:tc>
        <w:tc>
          <w:tcPr>
            <w:tcW w:w="1439"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191.9</w:t>
            </w:r>
          </w:p>
        </w:tc>
        <w:tc>
          <w:tcPr>
            <w:tcW w:w="1125"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290.4</w:t>
            </w:r>
          </w:p>
        </w:tc>
        <w:tc>
          <w:tcPr>
            <w:tcW w:w="1128"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1,417.9</w:t>
            </w:r>
          </w:p>
        </w:tc>
        <w:tc>
          <w:tcPr>
            <w:tcW w:w="1474" w:type="dxa"/>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9</w:t>
            </w:r>
          </w:p>
        </w:tc>
      </w:tr>
      <w:tr w:rsidR="009D23D3" w:rsidRPr="00C11493" w:rsidTr="00743764">
        <w:trPr>
          <w:cantSplit/>
          <w:trHeight w:val="302"/>
          <w:jc w:val="center"/>
        </w:trPr>
        <w:tc>
          <w:tcPr>
            <w:tcW w:w="1451" w:type="dxa"/>
            <w:shd w:val="clear" w:color="auto" w:fill="D5D5D5"/>
            <w:vAlign w:val="center"/>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2013</w:t>
            </w:r>
          </w:p>
        </w:tc>
        <w:tc>
          <w:tcPr>
            <w:tcW w:w="116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52</w:t>
            </w:r>
          </w:p>
        </w:tc>
        <w:tc>
          <w:tcPr>
            <w:tcW w:w="156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809.8</w:t>
            </w:r>
          </w:p>
        </w:tc>
        <w:tc>
          <w:tcPr>
            <w:tcW w:w="1439"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383.2</w:t>
            </w:r>
          </w:p>
        </w:tc>
        <w:tc>
          <w:tcPr>
            <w:tcW w:w="1125"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378.7</w:t>
            </w:r>
          </w:p>
        </w:tc>
        <w:tc>
          <w:tcPr>
            <w:tcW w:w="1128"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szCs w:val="22"/>
              </w:rPr>
              <w:t>2,552.8</w:t>
            </w:r>
          </w:p>
        </w:tc>
        <w:tc>
          <w:tcPr>
            <w:tcW w:w="1474" w:type="dxa"/>
            <w:shd w:val="clear" w:color="auto" w:fill="D5D5D5"/>
          </w:tcPr>
          <w:p w:rsidR="009D23D3" w:rsidRPr="00C11493" w:rsidRDefault="009D23D3" w:rsidP="009D23D3">
            <w:pPr>
              <w:jc w:val="center"/>
              <w:rPr>
                <w:rFonts w:asciiTheme="minorHAnsi" w:hAnsiTheme="minorHAnsi"/>
                <w:color w:val="000000"/>
                <w:szCs w:val="22"/>
              </w:rPr>
            </w:pPr>
            <w:r w:rsidRPr="00C11493">
              <w:rPr>
                <w:rFonts w:asciiTheme="minorHAnsi" w:hAnsiTheme="minorHAnsi"/>
                <w:color w:val="000000"/>
                <w:szCs w:val="22"/>
              </w:rPr>
              <w:t>2</w:t>
            </w:r>
          </w:p>
        </w:tc>
      </w:tr>
    </w:tbl>
    <w:p w:rsidR="004D226A" w:rsidRDefault="004D226A" w:rsidP="004D226A"/>
    <w:p w:rsidR="004D226A" w:rsidRDefault="004D226A" w:rsidP="00E019B5">
      <w:r>
        <w:t xml:space="preserve">Several factors contributed to the frequency response performance </w:t>
      </w:r>
      <w:r w:rsidR="00267E3B">
        <w:t xml:space="preserve">improvement </w:t>
      </w:r>
      <w:r>
        <w:t xml:space="preserve">in the ERCOT Interconnection </w:t>
      </w:r>
      <w:r w:rsidR="00267E3B">
        <w:t>in</w:t>
      </w:r>
      <w:r>
        <w:t xml:space="preserve"> </w:t>
      </w:r>
      <w:r w:rsidR="00E019B5">
        <w:t>201</w:t>
      </w:r>
      <w:r w:rsidR="00267E3B">
        <w:t>2</w:t>
      </w:r>
      <w:r w:rsidR="00E019B5">
        <w:t xml:space="preserve"> </w:t>
      </w:r>
      <w:r w:rsidR="00267E3B">
        <w:t>and</w:t>
      </w:r>
      <w:r w:rsidR="00E019B5">
        <w:t xml:space="preserve"> 2013</w:t>
      </w:r>
      <w:r w:rsidR="00267E3B">
        <w:t>.</w:t>
      </w:r>
    </w:p>
    <w:p w:rsidR="00C97A54" w:rsidRDefault="00C97A54" w:rsidP="00E019B5"/>
    <w:p w:rsidR="00267E3B" w:rsidRPr="001B2F19" w:rsidRDefault="00267E3B" w:rsidP="00866C29">
      <w:pPr>
        <w:pStyle w:val="ListParagraph"/>
        <w:numPr>
          <w:ilvl w:val="0"/>
          <w:numId w:val="15"/>
        </w:numPr>
      </w:pPr>
      <w:r w:rsidRPr="001B2F19">
        <w:t>During 2013 generators continued to improve their delivery of Primary Frequency Response as they completed process control improvements as a result of the 2012 TRE investigations into Primary Frequency Response performance of generators.</w:t>
      </w:r>
    </w:p>
    <w:p w:rsidR="00267E3B" w:rsidRPr="001B2F19" w:rsidRDefault="00267E3B" w:rsidP="00267E3B">
      <w:pPr>
        <w:pStyle w:val="ListParagraph"/>
        <w:numPr>
          <w:ilvl w:val="0"/>
          <w:numId w:val="15"/>
        </w:numPr>
      </w:pPr>
      <w:r w:rsidRPr="001B2F19">
        <w:t>Approval and implementation of Regional Standard BAL-001-TRE-1 - Primary Frequency Response in the ERCOT Region has begun.  This regional standard sets specific Governor droop and dead-band settings and provides performance measures to assure delivery of Primary Frequency Response from generators.  Generators and the Balancing Authority are actively working to meet the implementation deadlines set in this regional standard.</w:t>
      </w:r>
    </w:p>
    <w:p w:rsidR="00FB52B0" w:rsidRDefault="00FB52B0" w:rsidP="007C1228">
      <w:r>
        <w:br w:type="page"/>
      </w:r>
    </w:p>
    <w:p w:rsidR="007C1228" w:rsidRDefault="007C1228" w:rsidP="007C1228"/>
    <w:p w:rsidR="00120B08" w:rsidRPr="00432055" w:rsidRDefault="00120B08" w:rsidP="00120B08">
      <w:pPr>
        <w:pStyle w:val="Heading2"/>
      </w:pPr>
      <w:bookmarkStart w:id="10" w:name="_Toc408812258"/>
      <w:r>
        <w:t>Québec Interconnection</w:t>
      </w:r>
      <w:bookmarkEnd w:id="10"/>
    </w:p>
    <w:p w:rsidR="00120B08" w:rsidRDefault="00120B08" w:rsidP="00120B08">
      <w:r w:rsidRPr="00120B08">
        <w:t xml:space="preserve">Statistical analysis of the annual changes in Québec Interconnection Frequency Response found </w:t>
      </w:r>
      <w:r>
        <w:t>there are no statistically significant changes in the expected frequency response by year for Québec Interconnection.</w:t>
      </w:r>
    </w:p>
    <w:p w:rsidR="00120B08" w:rsidRDefault="00120B08" w:rsidP="00120B08"/>
    <w:p w:rsidR="00B50203" w:rsidRDefault="00BF6220" w:rsidP="006D46B3">
      <w:pPr>
        <w:jc w:val="center"/>
      </w:pPr>
      <w:r w:rsidRPr="00BF6220">
        <w:drawing>
          <wp:inline distT="0" distB="0" distL="0" distR="0" wp14:anchorId="1E599732" wp14:editId="177BF43D">
            <wp:extent cx="5943600" cy="141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17320"/>
                    </a:xfrm>
                    <a:prstGeom prst="rect">
                      <a:avLst/>
                    </a:prstGeom>
                    <a:noFill/>
                    <a:ln>
                      <a:noFill/>
                    </a:ln>
                  </pic:spPr>
                </pic:pic>
              </a:graphicData>
            </a:graphic>
          </wp:inline>
        </w:drawing>
      </w:r>
    </w:p>
    <w:p w:rsidR="00B50203" w:rsidRDefault="00B50203" w:rsidP="00B50203">
      <w:pPr>
        <w:pStyle w:val="CaptionNERC"/>
      </w:pPr>
      <w:r>
        <w:t xml:space="preserve">Figure </w:t>
      </w:r>
      <w:fldSimple w:instr=" SEQ Figure \* ARABIC ">
        <w:r w:rsidR="00897B0A">
          <w:rPr>
            <w:noProof/>
          </w:rPr>
          <w:t>4</w:t>
        </w:r>
      </w:fldSimple>
      <w:r>
        <w:t xml:space="preserve">: </w:t>
      </w:r>
      <w:r w:rsidRPr="00A00787">
        <w:t>Québec Interconnection Frequency Response Analysis for 2011–201</w:t>
      </w:r>
      <w:r>
        <w:t>3</w:t>
      </w:r>
    </w:p>
    <w:p w:rsidR="00B50203" w:rsidRDefault="00B50203" w:rsidP="00120B08"/>
    <w:tbl>
      <w:tblPr>
        <w:tblW w:w="935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1451"/>
        <w:gridCol w:w="1169"/>
        <w:gridCol w:w="1569"/>
        <w:gridCol w:w="1439"/>
        <w:gridCol w:w="1125"/>
        <w:gridCol w:w="1128"/>
        <w:gridCol w:w="1474"/>
      </w:tblGrid>
      <w:tr w:rsidR="00120B08" w:rsidRPr="00222795" w:rsidTr="00743764">
        <w:trPr>
          <w:cantSplit/>
          <w:trHeight w:val="432"/>
          <w:jc w:val="center"/>
        </w:trPr>
        <w:tc>
          <w:tcPr>
            <w:tcW w:w="9355" w:type="dxa"/>
            <w:gridSpan w:val="7"/>
            <w:tcBorders>
              <w:top w:val="single" w:sz="4" w:space="0" w:color="auto"/>
              <w:left w:val="single" w:sz="4" w:space="0" w:color="auto"/>
              <w:bottom w:val="single" w:sz="4" w:space="0" w:color="auto"/>
              <w:right w:val="single" w:sz="4" w:space="0" w:color="auto"/>
            </w:tcBorders>
            <w:shd w:val="clear" w:color="auto" w:fill="264D74"/>
            <w:vAlign w:val="center"/>
          </w:tcPr>
          <w:p w:rsidR="00120B08" w:rsidRPr="00222795" w:rsidRDefault="00120B08" w:rsidP="00120B08">
            <w:pPr>
              <w:spacing w:beforeLines="20" w:before="48" w:afterLines="20" w:after="48"/>
              <w:jc w:val="center"/>
              <w:rPr>
                <w:rFonts w:cs="Arial"/>
              </w:rPr>
            </w:pPr>
            <w:r w:rsidRPr="00222795">
              <w:rPr>
                <w:rFonts w:cs="Arial"/>
                <w:b/>
                <w:color w:val="FFFFFF"/>
              </w:rPr>
              <w:t xml:space="preserve">Table 4: </w:t>
            </w:r>
            <w:r w:rsidRPr="00222795">
              <w:rPr>
                <w:rFonts w:cs="Tahoma"/>
                <w:b/>
                <w:bCs/>
                <w:color w:val="FFFFFF"/>
              </w:rPr>
              <w:t>Québec Interconnection Frequency Response Statistics</w:t>
            </w:r>
          </w:p>
        </w:tc>
      </w:tr>
      <w:tr w:rsidR="00120B08" w:rsidRPr="00222795" w:rsidTr="00743764">
        <w:trPr>
          <w:cantSplit/>
          <w:jc w:val="center"/>
        </w:trPr>
        <w:tc>
          <w:tcPr>
            <w:tcW w:w="1451" w:type="dxa"/>
            <w:vMerge w:val="restart"/>
            <w:tcBorders>
              <w:top w:val="single" w:sz="4" w:space="0" w:color="auto"/>
              <w:left w:val="single" w:sz="4" w:space="0" w:color="auto"/>
              <w:right w:val="single" w:sz="4" w:space="0" w:color="auto"/>
            </w:tcBorders>
            <w:shd w:val="clear" w:color="auto" w:fill="8DB5DA"/>
            <w:vAlign w:val="center"/>
          </w:tcPr>
          <w:p w:rsidR="00120B08" w:rsidRPr="00222795" w:rsidRDefault="00120B08" w:rsidP="00102473">
            <w:pPr>
              <w:jc w:val="center"/>
              <w:rPr>
                <w:rFonts w:cs="Arial"/>
                <w:b/>
              </w:rPr>
            </w:pPr>
            <w:r w:rsidRPr="00222795">
              <w:rPr>
                <w:rFonts w:cs="Arial"/>
                <w:b/>
              </w:rPr>
              <w:t>Year</w:t>
            </w:r>
          </w:p>
        </w:tc>
        <w:tc>
          <w:tcPr>
            <w:tcW w:w="1169" w:type="dxa"/>
            <w:vMerge w:val="restart"/>
            <w:tcBorders>
              <w:top w:val="single" w:sz="4" w:space="0" w:color="auto"/>
              <w:left w:val="single" w:sz="4" w:space="0" w:color="auto"/>
              <w:right w:val="single" w:sz="4" w:space="0" w:color="000000"/>
            </w:tcBorders>
            <w:shd w:val="clear" w:color="auto" w:fill="8DB5DA"/>
            <w:vAlign w:val="center"/>
          </w:tcPr>
          <w:p w:rsidR="00120B08" w:rsidRPr="00222795" w:rsidRDefault="00120B08" w:rsidP="00102473">
            <w:pPr>
              <w:jc w:val="center"/>
              <w:rPr>
                <w:rFonts w:cs="Arial"/>
                <w:b/>
              </w:rPr>
            </w:pPr>
            <w:r w:rsidRPr="00222795">
              <w:rPr>
                <w:b/>
                <w:bCs/>
                <w:color w:val="000000"/>
              </w:rPr>
              <w:t>Number of Events</w:t>
            </w:r>
          </w:p>
        </w:tc>
        <w:tc>
          <w:tcPr>
            <w:tcW w:w="5261" w:type="dxa"/>
            <w:gridSpan w:val="4"/>
            <w:tcBorders>
              <w:top w:val="single" w:sz="4" w:space="0" w:color="000000"/>
              <w:left w:val="single" w:sz="4" w:space="0" w:color="000000"/>
              <w:bottom w:val="single" w:sz="4" w:space="0" w:color="000000"/>
              <w:right w:val="single" w:sz="4" w:space="0" w:color="000000"/>
            </w:tcBorders>
            <w:shd w:val="clear" w:color="auto" w:fill="8DB5DA"/>
            <w:vAlign w:val="center"/>
          </w:tcPr>
          <w:p w:rsidR="00120B08" w:rsidRPr="00222795" w:rsidRDefault="00120B08" w:rsidP="00102473">
            <w:pPr>
              <w:spacing w:beforeLines="20" w:before="48" w:afterLines="20" w:after="48"/>
              <w:jc w:val="center"/>
              <w:rPr>
                <w:rFonts w:cs="Arial"/>
                <w:b/>
              </w:rPr>
            </w:pPr>
            <w:r w:rsidRPr="00222795">
              <w:rPr>
                <w:b/>
                <w:bCs/>
                <w:color w:val="000000"/>
              </w:rPr>
              <w:t>MW/0.1 Hz</w:t>
            </w:r>
          </w:p>
        </w:tc>
        <w:tc>
          <w:tcPr>
            <w:tcW w:w="1474" w:type="dxa"/>
            <w:vMerge w:val="restart"/>
            <w:tcBorders>
              <w:top w:val="single" w:sz="4" w:space="0" w:color="000000"/>
              <w:left w:val="single" w:sz="4" w:space="0" w:color="000000"/>
              <w:right w:val="single" w:sz="4" w:space="0" w:color="000000"/>
            </w:tcBorders>
            <w:shd w:val="clear" w:color="auto" w:fill="8DB5DA"/>
            <w:vAlign w:val="center"/>
          </w:tcPr>
          <w:p w:rsidR="00120B08" w:rsidRPr="00222795" w:rsidRDefault="00120B08" w:rsidP="00102473">
            <w:pPr>
              <w:spacing w:beforeLines="20" w:before="48" w:afterLines="20" w:after="48"/>
              <w:jc w:val="center"/>
              <w:rPr>
                <w:rFonts w:cs="Arial"/>
                <w:b/>
              </w:rPr>
            </w:pPr>
            <w:r w:rsidRPr="00222795">
              <w:rPr>
                <w:rFonts w:cs="Arial"/>
                <w:b/>
              </w:rPr>
              <w:t>Number of Events with</w:t>
            </w:r>
          </w:p>
          <w:p w:rsidR="00120B08" w:rsidRPr="00222795" w:rsidRDefault="00120B08" w:rsidP="00102473">
            <w:pPr>
              <w:spacing w:beforeLines="20" w:before="48" w:afterLines="20" w:after="48"/>
              <w:jc w:val="center"/>
              <w:rPr>
                <w:rFonts w:cs="Arial"/>
                <w:b/>
              </w:rPr>
            </w:pPr>
            <w:r w:rsidRPr="00222795">
              <w:rPr>
                <w:rFonts w:cs="Arial"/>
                <w:b/>
              </w:rPr>
              <w:t>FR below the</w:t>
            </w:r>
          </w:p>
          <w:p w:rsidR="00120B08" w:rsidRPr="00222795" w:rsidRDefault="00743764" w:rsidP="00120B08">
            <w:pPr>
              <w:spacing w:beforeLines="20" w:before="48" w:afterLines="20" w:after="48"/>
              <w:jc w:val="center"/>
              <w:rPr>
                <w:rFonts w:cs="Arial"/>
                <w:b/>
              </w:rPr>
            </w:pPr>
            <w:r>
              <w:rPr>
                <w:rFonts w:cs="Arial"/>
                <w:b/>
              </w:rPr>
              <w:t>|</w:t>
            </w:r>
            <w:r w:rsidR="00120B08" w:rsidRPr="00222795">
              <w:rPr>
                <w:rFonts w:cs="Arial"/>
                <w:b/>
              </w:rPr>
              <w:t>IFRO=180</w:t>
            </w:r>
            <w:r w:rsidR="00222795">
              <w:rPr>
                <w:rStyle w:val="FootnoteReference"/>
                <w:rFonts w:cs="Arial"/>
                <w:b/>
              </w:rPr>
              <w:footnoteReference w:id="14"/>
            </w:r>
            <w:r>
              <w:rPr>
                <w:rFonts w:cs="Arial"/>
                <w:b/>
              </w:rPr>
              <w:t>|</w:t>
            </w:r>
          </w:p>
        </w:tc>
      </w:tr>
      <w:tr w:rsidR="00120B08" w:rsidRPr="00222795" w:rsidTr="00743764">
        <w:trPr>
          <w:cantSplit/>
          <w:jc w:val="center"/>
        </w:trPr>
        <w:tc>
          <w:tcPr>
            <w:tcW w:w="1451" w:type="dxa"/>
            <w:vMerge/>
            <w:tcBorders>
              <w:left w:val="single" w:sz="4" w:space="0" w:color="auto"/>
              <w:right w:val="single" w:sz="4" w:space="0" w:color="auto"/>
            </w:tcBorders>
            <w:shd w:val="clear" w:color="auto" w:fill="8DB5DA"/>
            <w:vAlign w:val="center"/>
          </w:tcPr>
          <w:p w:rsidR="00120B08" w:rsidRPr="00222795" w:rsidRDefault="00120B08" w:rsidP="00102473">
            <w:pPr>
              <w:jc w:val="center"/>
              <w:rPr>
                <w:rFonts w:cs="Arial"/>
                <w:b/>
              </w:rPr>
            </w:pPr>
          </w:p>
        </w:tc>
        <w:tc>
          <w:tcPr>
            <w:tcW w:w="1169" w:type="dxa"/>
            <w:vMerge/>
            <w:tcBorders>
              <w:left w:val="single" w:sz="4" w:space="0" w:color="auto"/>
              <w:right w:val="single" w:sz="4" w:space="0" w:color="000000"/>
            </w:tcBorders>
            <w:shd w:val="clear" w:color="auto" w:fill="8DB5DA"/>
            <w:vAlign w:val="center"/>
          </w:tcPr>
          <w:p w:rsidR="00120B08" w:rsidRPr="00222795" w:rsidRDefault="00120B08" w:rsidP="00102473">
            <w:pPr>
              <w:jc w:val="center"/>
              <w:rPr>
                <w:rFonts w:cs="Arial"/>
                <w:b/>
              </w:rPr>
            </w:pPr>
          </w:p>
        </w:tc>
        <w:tc>
          <w:tcPr>
            <w:tcW w:w="1569" w:type="dxa"/>
            <w:tcBorders>
              <w:top w:val="single" w:sz="4" w:space="0" w:color="000000"/>
              <w:left w:val="single" w:sz="4" w:space="0" w:color="000000"/>
              <w:bottom w:val="single" w:sz="4" w:space="0" w:color="000000"/>
            </w:tcBorders>
            <w:shd w:val="clear" w:color="auto" w:fill="8DB5DA"/>
            <w:vAlign w:val="center"/>
          </w:tcPr>
          <w:p w:rsidR="00120B08" w:rsidRPr="00222795" w:rsidRDefault="00120B08" w:rsidP="00102473">
            <w:pPr>
              <w:jc w:val="center"/>
              <w:rPr>
                <w:rFonts w:cs="Arial"/>
                <w:b/>
              </w:rPr>
            </w:pPr>
            <w:r w:rsidRPr="00222795">
              <w:rPr>
                <w:rFonts w:cs="Arial"/>
                <w:b/>
              </w:rPr>
              <w:t>Mean of Frequency Response</w:t>
            </w:r>
          </w:p>
        </w:tc>
        <w:tc>
          <w:tcPr>
            <w:tcW w:w="1439" w:type="dxa"/>
            <w:tcBorders>
              <w:top w:val="single" w:sz="4" w:space="0" w:color="000000"/>
              <w:bottom w:val="single" w:sz="4" w:space="0" w:color="000000"/>
            </w:tcBorders>
            <w:shd w:val="clear" w:color="auto" w:fill="8DB5DA"/>
            <w:vAlign w:val="center"/>
          </w:tcPr>
          <w:p w:rsidR="00120B08" w:rsidRPr="00222795" w:rsidRDefault="00120B08" w:rsidP="00102473">
            <w:pPr>
              <w:jc w:val="center"/>
              <w:rPr>
                <w:rFonts w:cs="Arial"/>
                <w:b/>
              </w:rPr>
            </w:pPr>
            <w:r w:rsidRPr="00222795">
              <w:rPr>
                <w:rFonts w:cs="Arial"/>
                <w:b/>
              </w:rPr>
              <w:t>Std. Dev. of Frequency Response</w:t>
            </w:r>
          </w:p>
        </w:tc>
        <w:tc>
          <w:tcPr>
            <w:tcW w:w="1125" w:type="dxa"/>
            <w:tcBorders>
              <w:top w:val="single" w:sz="4" w:space="0" w:color="000000"/>
              <w:bottom w:val="single" w:sz="4" w:space="0" w:color="000000"/>
            </w:tcBorders>
            <w:shd w:val="clear" w:color="auto" w:fill="8DB5DA"/>
            <w:vAlign w:val="center"/>
          </w:tcPr>
          <w:p w:rsidR="00120B08" w:rsidRPr="00222795" w:rsidRDefault="00120B08" w:rsidP="00102473">
            <w:pPr>
              <w:jc w:val="center"/>
              <w:rPr>
                <w:rFonts w:cs="Arial"/>
                <w:b/>
              </w:rPr>
            </w:pPr>
            <w:r w:rsidRPr="00222795">
              <w:rPr>
                <w:b/>
                <w:bCs/>
                <w:color w:val="000000"/>
              </w:rPr>
              <w:t>Min.</w:t>
            </w:r>
          </w:p>
        </w:tc>
        <w:tc>
          <w:tcPr>
            <w:tcW w:w="1128" w:type="dxa"/>
            <w:tcBorders>
              <w:top w:val="single" w:sz="4" w:space="0" w:color="000000"/>
              <w:bottom w:val="single" w:sz="4" w:space="0" w:color="000000"/>
              <w:right w:val="single" w:sz="4" w:space="0" w:color="000000"/>
            </w:tcBorders>
            <w:shd w:val="clear" w:color="auto" w:fill="8DB5DA"/>
            <w:vAlign w:val="center"/>
          </w:tcPr>
          <w:p w:rsidR="00120B08" w:rsidRPr="00222795" w:rsidRDefault="00120B08" w:rsidP="00102473">
            <w:pPr>
              <w:jc w:val="center"/>
              <w:rPr>
                <w:rFonts w:cs="Arial"/>
                <w:b/>
              </w:rPr>
            </w:pPr>
            <w:r w:rsidRPr="00222795">
              <w:rPr>
                <w:b/>
                <w:bCs/>
                <w:color w:val="000000"/>
              </w:rPr>
              <w:t xml:space="preserve">Max. </w:t>
            </w:r>
          </w:p>
        </w:tc>
        <w:tc>
          <w:tcPr>
            <w:tcW w:w="1474" w:type="dxa"/>
            <w:vMerge/>
            <w:tcBorders>
              <w:left w:val="single" w:sz="4" w:space="0" w:color="000000"/>
              <w:bottom w:val="single" w:sz="4" w:space="0" w:color="000000"/>
              <w:right w:val="single" w:sz="4" w:space="0" w:color="000000"/>
            </w:tcBorders>
            <w:shd w:val="clear" w:color="auto" w:fill="8DB5DA"/>
          </w:tcPr>
          <w:p w:rsidR="00120B08" w:rsidRPr="00222795" w:rsidRDefault="00120B08" w:rsidP="00102473">
            <w:pPr>
              <w:jc w:val="center"/>
              <w:rPr>
                <w:b/>
                <w:bCs/>
                <w:color w:val="000000"/>
              </w:rPr>
            </w:pPr>
          </w:p>
        </w:tc>
      </w:tr>
      <w:tr w:rsidR="00120B08" w:rsidRPr="00222795" w:rsidTr="00743764">
        <w:trPr>
          <w:cantSplit/>
          <w:trHeight w:val="302"/>
          <w:jc w:val="center"/>
        </w:trPr>
        <w:tc>
          <w:tcPr>
            <w:tcW w:w="1451" w:type="dxa"/>
            <w:vAlign w:val="center"/>
          </w:tcPr>
          <w:p w:rsidR="00120B08" w:rsidRPr="00222795" w:rsidRDefault="00403B1E" w:rsidP="00B50203">
            <w:pPr>
              <w:jc w:val="center"/>
              <w:rPr>
                <w:color w:val="000000"/>
              </w:rPr>
            </w:pPr>
            <w:r>
              <w:rPr>
                <w:color w:val="000000"/>
              </w:rPr>
              <w:t>20</w:t>
            </w:r>
            <w:r w:rsidR="00B50203" w:rsidRPr="00222795">
              <w:rPr>
                <w:color w:val="000000"/>
              </w:rPr>
              <w:t>11</w:t>
            </w:r>
            <w:r w:rsidR="00120B08" w:rsidRPr="00222795">
              <w:rPr>
                <w:color w:val="000000"/>
              </w:rPr>
              <w:t>–2013</w:t>
            </w:r>
          </w:p>
        </w:tc>
        <w:tc>
          <w:tcPr>
            <w:tcW w:w="1169" w:type="dxa"/>
          </w:tcPr>
          <w:p w:rsidR="00120B08" w:rsidRPr="00222795" w:rsidRDefault="00120B08" w:rsidP="00120B08">
            <w:pPr>
              <w:jc w:val="center"/>
              <w:rPr>
                <w:color w:val="000000"/>
              </w:rPr>
            </w:pPr>
            <w:r w:rsidRPr="00222795">
              <w:t>85</w:t>
            </w:r>
          </w:p>
        </w:tc>
        <w:tc>
          <w:tcPr>
            <w:tcW w:w="1569" w:type="dxa"/>
            <w:tcBorders>
              <w:top w:val="single" w:sz="4" w:space="0" w:color="000000"/>
            </w:tcBorders>
          </w:tcPr>
          <w:p w:rsidR="00120B08" w:rsidRPr="00222795" w:rsidRDefault="00120B08" w:rsidP="00120B08">
            <w:pPr>
              <w:jc w:val="center"/>
              <w:rPr>
                <w:color w:val="000000"/>
              </w:rPr>
            </w:pPr>
            <w:r w:rsidRPr="00222795">
              <w:t>575.3</w:t>
            </w:r>
          </w:p>
        </w:tc>
        <w:tc>
          <w:tcPr>
            <w:tcW w:w="1439" w:type="dxa"/>
            <w:tcBorders>
              <w:top w:val="single" w:sz="4" w:space="0" w:color="000000"/>
            </w:tcBorders>
          </w:tcPr>
          <w:p w:rsidR="00120B08" w:rsidRPr="00222795" w:rsidRDefault="00120B08" w:rsidP="00120B08">
            <w:pPr>
              <w:jc w:val="center"/>
              <w:rPr>
                <w:color w:val="000000"/>
              </w:rPr>
            </w:pPr>
            <w:r w:rsidRPr="00222795">
              <w:t>202.9</w:t>
            </w:r>
          </w:p>
        </w:tc>
        <w:tc>
          <w:tcPr>
            <w:tcW w:w="1125" w:type="dxa"/>
            <w:tcBorders>
              <w:top w:val="single" w:sz="4" w:space="0" w:color="000000"/>
            </w:tcBorders>
          </w:tcPr>
          <w:p w:rsidR="00120B08" w:rsidRPr="00222795" w:rsidRDefault="00120B08" w:rsidP="00120B08">
            <w:pPr>
              <w:jc w:val="center"/>
              <w:rPr>
                <w:color w:val="000000"/>
              </w:rPr>
            </w:pPr>
            <w:r w:rsidRPr="00222795">
              <w:t>214.7</w:t>
            </w:r>
          </w:p>
        </w:tc>
        <w:tc>
          <w:tcPr>
            <w:tcW w:w="1128" w:type="dxa"/>
            <w:tcBorders>
              <w:top w:val="single" w:sz="4" w:space="0" w:color="000000"/>
            </w:tcBorders>
          </w:tcPr>
          <w:p w:rsidR="00120B08" w:rsidRPr="00222795" w:rsidRDefault="00120B08" w:rsidP="00120B08">
            <w:pPr>
              <w:jc w:val="center"/>
              <w:rPr>
                <w:color w:val="000000"/>
              </w:rPr>
            </w:pPr>
            <w:r w:rsidRPr="00222795">
              <w:t>1,228.0</w:t>
            </w:r>
          </w:p>
        </w:tc>
        <w:tc>
          <w:tcPr>
            <w:tcW w:w="1474" w:type="dxa"/>
            <w:tcBorders>
              <w:top w:val="single" w:sz="4" w:space="0" w:color="000000"/>
            </w:tcBorders>
          </w:tcPr>
          <w:p w:rsidR="00120B08" w:rsidRPr="00222795" w:rsidRDefault="00120B08" w:rsidP="00120B08">
            <w:pPr>
              <w:jc w:val="center"/>
              <w:rPr>
                <w:color w:val="000000"/>
              </w:rPr>
            </w:pPr>
            <w:r w:rsidRPr="00222795">
              <w:rPr>
                <w:color w:val="000000"/>
              </w:rPr>
              <w:t>0</w:t>
            </w:r>
          </w:p>
        </w:tc>
      </w:tr>
      <w:tr w:rsidR="00120B08" w:rsidRPr="00222795" w:rsidTr="00743764">
        <w:trPr>
          <w:cantSplit/>
          <w:trHeight w:val="302"/>
          <w:jc w:val="center"/>
        </w:trPr>
        <w:tc>
          <w:tcPr>
            <w:tcW w:w="1451" w:type="dxa"/>
            <w:shd w:val="clear" w:color="auto" w:fill="D5D5D5"/>
            <w:vAlign w:val="center"/>
          </w:tcPr>
          <w:p w:rsidR="00120B08" w:rsidRPr="00222795" w:rsidRDefault="00120B08" w:rsidP="00120B08">
            <w:pPr>
              <w:jc w:val="center"/>
              <w:rPr>
                <w:color w:val="000000"/>
              </w:rPr>
            </w:pPr>
            <w:r w:rsidRPr="00222795">
              <w:rPr>
                <w:color w:val="000000"/>
              </w:rPr>
              <w:t>2011</w:t>
            </w:r>
          </w:p>
        </w:tc>
        <w:tc>
          <w:tcPr>
            <w:tcW w:w="1169" w:type="dxa"/>
            <w:shd w:val="clear" w:color="auto" w:fill="D5D5D5"/>
          </w:tcPr>
          <w:p w:rsidR="00120B08" w:rsidRPr="00222795" w:rsidRDefault="00120B08" w:rsidP="00120B08">
            <w:pPr>
              <w:jc w:val="center"/>
              <w:rPr>
                <w:color w:val="000000"/>
              </w:rPr>
            </w:pPr>
            <w:r w:rsidRPr="00222795">
              <w:rPr>
                <w:color w:val="000000"/>
              </w:rPr>
              <w:t>20</w:t>
            </w:r>
          </w:p>
        </w:tc>
        <w:tc>
          <w:tcPr>
            <w:tcW w:w="1569" w:type="dxa"/>
            <w:shd w:val="clear" w:color="auto" w:fill="D5D5D5"/>
          </w:tcPr>
          <w:p w:rsidR="00120B08" w:rsidRPr="00222795" w:rsidRDefault="00120B08" w:rsidP="00120B08">
            <w:pPr>
              <w:jc w:val="center"/>
              <w:rPr>
                <w:color w:val="000000"/>
              </w:rPr>
            </w:pPr>
            <w:r w:rsidRPr="00222795">
              <w:t>499.1</w:t>
            </w:r>
          </w:p>
        </w:tc>
        <w:tc>
          <w:tcPr>
            <w:tcW w:w="1439" w:type="dxa"/>
            <w:shd w:val="clear" w:color="auto" w:fill="D5D5D5"/>
          </w:tcPr>
          <w:p w:rsidR="00120B08" w:rsidRPr="00222795" w:rsidRDefault="00120B08" w:rsidP="00120B08">
            <w:pPr>
              <w:jc w:val="center"/>
              <w:rPr>
                <w:color w:val="000000"/>
              </w:rPr>
            </w:pPr>
            <w:r w:rsidRPr="00222795">
              <w:t>153.6</w:t>
            </w:r>
          </w:p>
        </w:tc>
        <w:tc>
          <w:tcPr>
            <w:tcW w:w="1125" w:type="dxa"/>
            <w:shd w:val="clear" w:color="auto" w:fill="D5D5D5"/>
          </w:tcPr>
          <w:p w:rsidR="00120B08" w:rsidRPr="00222795" w:rsidRDefault="00120B08" w:rsidP="00120B08">
            <w:pPr>
              <w:jc w:val="center"/>
              <w:rPr>
                <w:color w:val="000000"/>
              </w:rPr>
            </w:pPr>
            <w:r w:rsidRPr="00222795">
              <w:t>214.7</w:t>
            </w:r>
          </w:p>
        </w:tc>
        <w:tc>
          <w:tcPr>
            <w:tcW w:w="1128" w:type="dxa"/>
            <w:shd w:val="clear" w:color="auto" w:fill="D5D5D5"/>
          </w:tcPr>
          <w:p w:rsidR="00120B08" w:rsidRPr="00222795" w:rsidRDefault="00120B08" w:rsidP="00120B08">
            <w:pPr>
              <w:jc w:val="center"/>
              <w:rPr>
                <w:color w:val="000000"/>
              </w:rPr>
            </w:pPr>
            <w:r w:rsidRPr="00222795">
              <w:t>829.9</w:t>
            </w:r>
          </w:p>
        </w:tc>
        <w:tc>
          <w:tcPr>
            <w:tcW w:w="1474" w:type="dxa"/>
            <w:shd w:val="clear" w:color="auto" w:fill="D5D5D5"/>
          </w:tcPr>
          <w:p w:rsidR="00120B08" w:rsidRPr="00222795" w:rsidRDefault="00120B08" w:rsidP="00120B08">
            <w:pPr>
              <w:jc w:val="center"/>
              <w:rPr>
                <w:color w:val="000000"/>
              </w:rPr>
            </w:pPr>
            <w:r w:rsidRPr="00222795">
              <w:rPr>
                <w:color w:val="000000"/>
              </w:rPr>
              <w:t>0</w:t>
            </w:r>
          </w:p>
        </w:tc>
      </w:tr>
      <w:tr w:rsidR="00120B08" w:rsidRPr="00222795" w:rsidTr="00743764">
        <w:trPr>
          <w:cantSplit/>
          <w:trHeight w:val="302"/>
          <w:jc w:val="center"/>
        </w:trPr>
        <w:tc>
          <w:tcPr>
            <w:tcW w:w="1451" w:type="dxa"/>
            <w:vAlign w:val="center"/>
          </w:tcPr>
          <w:p w:rsidR="00120B08" w:rsidRPr="00222795" w:rsidRDefault="00120B08" w:rsidP="00120B08">
            <w:pPr>
              <w:jc w:val="center"/>
              <w:rPr>
                <w:color w:val="000000"/>
              </w:rPr>
            </w:pPr>
            <w:r w:rsidRPr="00222795">
              <w:rPr>
                <w:color w:val="000000"/>
              </w:rPr>
              <w:t>2012</w:t>
            </w:r>
          </w:p>
        </w:tc>
        <w:tc>
          <w:tcPr>
            <w:tcW w:w="1169" w:type="dxa"/>
          </w:tcPr>
          <w:p w:rsidR="00120B08" w:rsidRPr="00222795" w:rsidRDefault="00120B08" w:rsidP="00120B08">
            <w:pPr>
              <w:jc w:val="center"/>
              <w:rPr>
                <w:color w:val="000000"/>
              </w:rPr>
            </w:pPr>
            <w:r w:rsidRPr="00222795">
              <w:t xml:space="preserve">28 </w:t>
            </w:r>
          </w:p>
        </w:tc>
        <w:tc>
          <w:tcPr>
            <w:tcW w:w="1569" w:type="dxa"/>
          </w:tcPr>
          <w:p w:rsidR="00120B08" w:rsidRPr="00222795" w:rsidRDefault="00120B08" w:rsidP="00120B08">
            <w:pPr>
              <w:jc w:val="center"/>
              <w:rPr>
                <w:color w:val="000000"/>
              </w:rPr>
            </w:pPr>
            <w:r w:rsidRPr="00222795">
              <w:t>592.7</w:t>
            </w:r>
          </w:p>
        </w:tc>
        <w:tc>
          <w:tcPr>
            <w:tcW w:w="1439" w:type="dxa"/>
          </w:tcPr>
          <w:p w:rsidR="00120B08" w:rsidRPr="00222795" w:rsidRDefault="00120B08" w:rsidP="00120B08">
            <w:pPr>
              <w:jc w:val="center"/>
              <w:rPr>
                <w:color w:val="000000"/>
              </w:rPr>
            </w:pPr>
            <w:r w:rsidRPr="00222795">
              <w:t>212.4</w:t>
            </w:r>
          </w:p>
        </w:tc>
        <w:tc>
          <w:tcPr>
            <w:tcW w:w="1125" w:type="dxa"/>
          </w:tcPr>
          <w:p w:rsidR="00120B08" w:rsidRPr="00222795" w:rsidRDefault="00120B08" w:rsidP="00120B08">
            <w:pPr>
              <w:jc w:val="center"/>
              <w:rPr>
                <w:color w:val="000000"/>
              </w:rPr>
            </w:pPr>
            <w:r w:rsidRPr="00222795">
              <w:t>305.9</w:t>
            </w:r>
          </w:p>
        </w:tc>
        <w:tc>
          <w:tcPr>
            <w:tcW w:w="1128" w:type="dxa"/>
          </w:tcPr>
          <w:p w:rsidR="00120B08" w:rsidRPr="00222795" w:rsidRDefault="00120B08" w:rsidP="00120B08">
            <w:pPr>
              <w:jc w:val="center"/>
            </w:pPr>
            <w:r w:rsidRPr="00222795">
              <w:t>1,202.1</w:t>
            </w:r>
          </w:p>
        </w:tc>
        <w:tc>
          <w:tcPr>
            <w:tcW w:w="1474" w:type="dxa"/>
          </w:tcPr>
          <w:p w:rsidR="00120B08" w:rsidRPr="00222795" w:rsidRDefault="00120B08" w:rsidP="00120B08">
            <w:pPr>
              <w:jc w:val="center"/>
              <w:rPr>
                <w:color w:val="000000"/>
              </w:rPr>
            </w:pPr>
            <w:r w:rsidRPr="00222795">
              <w:rPr>
                <w:color w:val="000000"/>
              </w:rPr>
              <w:t>0</w:t>
            </w:r>
          </w:p>
        </w:tc>
      </w:tr>
      <w:tr w:rsidR="00120B08" w:rsidRPr="00222795" w:rsidTr="00743764">
        <w:trPr>
          <w:cantSplit/>
          <w:trHeight w:val="302"/>
          <w:jc w:val="center"/>
        </w:trPr>
        <w:tc>
          <w:tcPr>
            <w:tcW w:w="1451" w:type="dxa"/>
            <w:shd w:val="clear" w:color="auto" w:fill="D5D5D5"/>
            <w:vAlign w:val="center"/>
          </w:tcPr>
          <w:p w:rsidR="00120B08" w:rsidRPr="00222795" w:rsidRDefault="00120B08" w:rsidP="00120B08">
            <w:pPr>
              <w:jc w:val="center"/>
              <w:rPr>
                <w:color w:val="000000"/>
              </w:rPr>
            </w:pPr>
            <w:r w:rsidRPr="00222795">
              <w:rPr>
                <w:color w:val="000000"/>
              </w:rPr>
              <w:t>2013</w:t>
            </w:r>
          </w:p>
        </w:tc>
        <w:tc>
          <w:tcPr>
            <w:tcW w:w="1169" w:type="dxa"/>
            <w:shd w:val="clear" w:color="auto" w:fill="D5D5D5"/>
          </w:tcPr>
          <w:p w:rsidR="00120B08" w:rsidRPr="00222795" w:rsidRDefault="00120B08" w:rsidP="00120B08">
            <w:pPr>
              <w:jc w:val="center"/>
              <w:rPr>
                <w:color w:val="000000"/>
              </w:rPr>
            </w:pPr>
            <w:r w:rsidRPr="00222795">
              <w:t>37</w:t>
            </w:r>
          </w:p>
        </w:tc>
        <w:tc>
          <w:tcPr>
            <w:tcW w:w="1569" w:type="dxa"/>
            <w:shd w:val="clear" w:color="auto" w:fill="D5D5D5"/>
          </w:tcPr>
          <w:p w:rsidR="00120B08" w:rsidRPr="00222795" w:rsidRDefault="00120B08" w:rsidP="00120B08">
            <w:pPr>
              <w:jc w:val="center"/>
              <w:rPr>
                <w:color w:val="000000"/>
              </w:rPr>
            </w:pPr>
            <w:r w:rsidRPr="00222795">
              <w:t>603.3</w:t>
            </w:r>
          </w:p>
        </w:tc>
        <w:tc>
          <w:tcPr>
            <w:tcW w:w="1439" w:type="dxa"/>
            <w:shd w:val="clear" w:color="auto" w:fill="D5D5D5"/>
          </w:tcPr>
          <w:p w:rsidR="00120B08" w:rsidRPr="00222795" w:rsidRDefault="00120B08" w:rsidP="00120B08">
            <w:pPr>
              <w:jc w:val="center"/>
              <w:rPr>
                <w:color w:val="000000"/>
              </w:rPr>
            </w:pPr>
            <w:r w:rsidRPr="00222795">
              <w:t>213.3</w:t>
            </w:r>
          </w:p>
        </w:tc>
        <w:tc>
          <w:tcPr>
            <w:tcW w:w="1125" w:type="dxa"/>
            <w:shd w:val="clear" w:color="auto" w:fill="D5D5D5"/>
          </w:tcPr>
          <w:p w:rsidR="00120B08" w:rsidRPr="00222795" w:rsidRDefault="00120B08" w:rsidP="00120B08">
            <w:pPr>
              <w:jc w:val="center"/>
              <w:rPr>
                <w:color w:val="000000"/>
              </w:rPr>
            </w:pPr>
            <w:r w:rsidRPr="00222795">
              <w:t>250.9</w:t>
            </w:r>
          </w:p>
        </w:tc>
        <w:tc>
          <w:tcPr>
            <w:tcW w:w="1128" w:type="dxa"/>
            <w:shd w:val="clear" w:color="auto" w:fill="D5D5D5"/>
          </w:tcPr>
          <w:p w:rsidR="00120B08" w:rsidRPr="00222795" w:rsidRDefault="00120B08" w:rsidP="00120B08">
            <w:pPr>
              <w:jc w:val="center"/>
              <w:rPr>
                <w:color w:val="000000"/>
              </w:rPr>
            </w:pPr>
            <w:r w:rsidRPr="00222795">
              <w:t>1,227.8</w:t>
            </w:r>
          </w:p>
        </w:tc>
        <w:tc>
          <w:tcPr>
            <w:tcW w:w="1474" w:type="dxa"/>
            <w:shd w:val="clear" w:color="auto" w:fill="D5D5D5"/>
          </w:tcPr>
          <w:p w:rsidR="00120B08" w:rsidRPr="00222795" w:rsidRDefault="00120B08" w:rsidP="00120B08">
            <w:pPr>
              <w:jc w:val="center"/>
              <w:rPr>
                <w:color w:val="000000"/>
              </w:rPr>
            </w:pPr>
            <w:r w:rsidRPr="00222795">
              <w:rPr>
                <w:color w:val="000000"/>
              </w:rPr>
              <w:t>0</w:t>
            </w:r>
          </w:p>
        </w:tc>
      </w:tr>
    </w:tbl>
    <w:p w:rsidR="00120B08" w:rsidRDefault="00120B08" w:rsidP="00120B08"/>
    <w:p w:rsidR="00C7128B" w:rsidRDefault="00C7128B" w:rsidP="00120B08"/>
    <w:p w:rsidR="00C7128B" w:rsidRDefault="00C7128B" w:rsidP="00120B08">
      <w:pPr>
        <w:sectPr w:rsidR="00C7128B" w:rsidSect="00607521">
          <w:footerReference w:type="default" r:id="rId24"/>
          <w:footerReference w:type="first" r:id="rId25"/>
          <w:pgSz w:w="12240" w:h="15840" w:code="1"/>
          <w:pgMar w:top="1008" w:right="1080" w:bottom="1080" w:left="1080" w:header="720" w:footer="432" w:gutter="0"/>
          <w:cols w:space="720"/>
          <w:titlePg/>
          <w:docGrid w:linePitch="360"/>
        </w:sectPr>
      </w:pPr>
    </w:p>
    <w:p w:rsidR="00C7128B" w:rsidRDefault="00C7128B" w:rsidP="00C7128B">
      <w:pPr>
        <w:pStyle w:val="Heading1"/>
      </w:pPr>
      <w:bookmarkStart w:id="11" w:name="_Toc408812259"/>
      <w:r w:rsidRPr="00C7128B">
        <w:t>Interconne</w:t>
      </w:r>
      <w:r>
        <w:t xml:space="preserve">ction Frequency Characteristic </w:t>
      </w:r>
      <w:r w:rsidRPr="00871ADD">
        <w:t>Analysi</w:t>
      </w:r>
      <w:r>
        <w:t>s</w:t>
      </w:r>
      <w:bookmarkEnd w:id="11"/>
    </w:p>
    <w:p w:rsidR="00C7128B" w:rsidRDefault="00C7128B" w:rsidP="00C7128B">
      <w:pPr>
        <w:pStyle w:val="Heading2"/>
      </w:pPr>
      <w:bookmarkStart w:id="12" w:name="_Toc408812260"/>
      <w:r w:rsidRPr="00C7128B">
        <w:t>Frequency Variation Statistical Analysis</w:t>
      </w:r>
      <w:bookmarkEnd w:id="12"/>
    </w:p>
    <w:p w:rsidR="00C7128B" w:rsidRDefault="00C7128B" w:rsidP="00C7128B">
      <w:r>
        <w:t xml:space="preserve">NERC staff </w:t>
      </w:r>
      <w:r w:rsidR="00435108">
        <w:t>annually performs</w:t>
      </w:r>
      <w:r>
        <w:t xml:space="preserve"> a statistical analysis</w:t>
      </w:r>
      <w:r>
        <w:rPr>
          <w:rStyle w:val="FootnoteReference"/>
        </w:rPr>
        <w:footnoteReference w:id="15"/>
      </w:r>
      <w:r w:rsidR="00403B1E">
        <w:t xml:space="preserve"> </w:t>
      </w:r>
      <w:r>
        <w:t xml:space="preserve">of the variability of frequency for each of the four </w:t>
      </w:r>
      <w:r w:rsidRPr="008A005C">
        <w:t xml:space="preserve">interconnections using </w:t>
      </w:r>
      <w:r w:rsidR="009E400A">
        <w:t xml:space="preserve">a three-year window of </w:t>
      </w:r>
      <w:r w:rsidRPr="008A005C">
        <w:t>one-second measured frequency</w:t>
      </w:r>
      <w:r w:rsidR="009E400A">
        <w:t xml:space="preserve">. For this report’s analysis, frequency data from </w:t>
      </w:r>
      <w:r w:rsidRPr="008A005C">
        <w:t>201</w:t>
      </w:r>
      <w:r w:rsidR="008A005C" w:rsidRPr="008A005C">
        <w:t>1</w:t>
      </w:r>
      <w:r w:rsidRPr="008A005C">
        <w:t xml:space="preserve">–2013 </w:t>
      </w:r>
      <w:r w:rsidR="009E400A">
        <w:t>was used and summarized in Table 5</w:t>
      </w:r>
      <w:r w:rsidR="00421CE8">
        <w:t>.</w:t>
      </w:r>
    </w:p>
    <w:p w:rsidR="00C7128B" w:rsidRDefault="00C7128B" w:rsidP="00C7128B"/>
    <w:p w:rsidR="00C7128B" w:rsidRDefault="00C7128B" w:rsidP="00C7128B">
      <w:r>
        <w:t>This variability accounts for items such as time-error correction; variability of load, interchange, and frequency over the course of a normal day; and other uncertainties, including all frequency events.</w:t>
      </w:r>
    </w:p>
    <w:p w:rsidR="00C7128B" w:rsidRDefault="00C7128B" w:rsidP="00120B08"/>
    <w:tbl>
      <w:tblPr>
        <w:tblW w:w="884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3085"/>
        <w:gridCol w:w="1440"/>
        <w:gridCol w:w="1440"/>
        <w:gridCol w:w="1440"/>
        <w:gridCol w:w="1440"/>
      </w:tblGrid>
      <w:tr w:rsidR="00435108" w:rsidRPr="00C11493" w:rsidTr="00C97A54">
        <w:trPr>
          <w:cantSplit/>
          <w:trHeight w:val="432"/>
          <w:jc w:val="center"/>
        </w:trPr>
        <w:tc>
          <w:tcPr>
            <w:tcW w:w="8845" w:type="dxa"/>
            <w:gridSpan w:val="5"/>
            <w:shd w:val="clear" w:color="auto" w:fill="264D74"/>
            <w:tcMar>
              <w:top w:w="72" w:type="dxa"/>
              <w:left w:w="115" w:type="dxa"/>
              <w:bottom w:w="72" w:type="dxa"/>
              <w:right w:w="115" w:type="dxa"/>
            </w:tcMar>
            <w:vAlign w:val="center"/>
          </w:tcPr>
          <w:p w:rsidR="00435108" w:rsidRPr="00C11493" w:rsidRDefault="00435108" w:rsidP="00102473">
            <w:pPr>
              <w:tabs>
                <w:tab w:val="left" w:pos="721"/>
              </w:tabs>
              <w:spacing w:beforeLines="20" w:before="48" w:afterLines="20" w:after="48"/>
              <w:jc w:val="center"/>
              <w:rPr>
                <w:rFonts w:asciiTheme="minorHAnsi" w:hAnsiTheme="minorHAnsi" w:cs="Arial"/>
                <w:b/>
                <w:color w:val="FFFFFF"/>
                <w:szCs w:val="22"/>
              </w:rPr>
            </w:pPr>
            <w:r w:rsidRPr="00C11493">
              <w:rPr>
                <w:rFonts w:asciiTheme="minorHAnsi" w:hAnsiTheme="minorHAnsi" w:cs="Arial"/>
                <w:b/>
                <w:color w:val="FFFFFF"/>
                <w:szCs w:val="22"/>
              </w:rPr>
              <w:t>Table 5: Interconnection Frequency Variation Analysis</w:t>
            </w:r>
          </w:p>
        </w:tc>
      </w:tr>
      <w:tr w:rsidR="00435108" w:rsidRPr="00C11493" w:rsidTr="00102473">
        <w:trPr>
          <w:cantSplit/>
          <w:jc w:val="center"/>
        </w:trPr>
        <w:tc>
          <w:tcPr>
            <w:tcW w:w="3085" w:type="dxa"/>
            <w:shd w:val="clear" w:color="auto" w:fill="8DB5DA"/>
            <w:tcMar>
              <w:top w:w="72" w:type="dxa"/>
              <w:left w:w="115" w:type="dxa"/>
              <w:bottom w:w="72" w:type="dxa"/>
              <w:right w:w="115" w:type="dxa"/>
            </w:tcMar>
            <w:vAlign w:val="center"/>
          </w:tcPr>
          <w:p w:rsidR="00435108" w:rsidRPr="00C11493" w:rsidRDefault="00435108" w:rsidP="00102473">
            <w:pPr>
              <w:spacing w:beforeLines="20" w:before="48" w:afterLines="20" w:after="48"/>
              <w:rPr>
                <w:rFonts w:asciiTheme="minorHAnsi" w:hAnsiTheme="minorHAnsi"/>
                <w:szCs w:val="22"/>
              </w:rPr>
            </w:pPr>
            <w:r w:rsidRPr="00C11493">
              <w:rPr>
                <w:rFonts w:asciiTheme="minorHAnsi" w:hAnsiTheme="minorHAnsi"/>
                <w:szCs w:val="22"/>
              </w:rPr>
              <w:t>Value</w:t>
            </w:r>
          </w:p>
        </w:tc>
        <w:tc>
          <w:tcPr>
            <w:tcW w:w="1440" w:type="dxa"/>
            <w:shd w:val="clear" w:color="auto" w:fill="8DB5DA"/>
          </w:tcPr>
          <w:p w:rsidR="00435108" w:rsidRPr="00C11493" w:rsidRDefault="00435108" w:rsidP="00102473">
            <w:pPr>
              <w:tabs>
                <w:tab w:val="left" w:pos="721"/>
              </w:tabs>
              <w:spacing w:beforeLines="20" w:before="48" w:afterLines="20" w:after="48"/>
              <w:jc w:val="center"/>
              <w:rPr>
                <w:rFonts w:asciiTheme="minorHAnsi" w:hAnsiTheme="minorHAnsi"/>
                <w:szCs w:val="22"/>
              </w:rPr>
            </w:pPr>
            <w:r w:rsidRPr="00C11493">
              <w:rPr>
                <w:rFonts w:asciiTheme="minorHAnsi" w:hAnsiTheme="minorHAnsi"/>
                <w:szCs w:val="22"/>
              </w:rPr>
              <w:t>Eastern</w:t>
            </w:r>
          </w:p>
        </w:tc>
        <w:tc>
          <w:tcPr>
            <w:tcW w:w="1440" w:type="dxa"/>
            <w:shd w:val="clear" w:color="auto" w:fill="8DB5DA"/>
          </w:tcPr>
          <w:p w:rsidR="00435108" w:rsidRPr="00C11493" w:rsidRDefault="00435108" w:rsidP="00102473">
            <w:pPr>
              <w:tabs>
                <w:tab w:val="left" w:pos="721"/>
              </w:tabs>
              <w:spacing w:beforeLines="20" w:before="48" w:afterLines="20" w:after="48"/>
              <w:jc w:val="center"/>
              <w:rPr>
                <w:rFonts w:asciiTheme="minorHAnsi" w:hAnsiTheme="minorHAnsi"/>
                <w:szCs w:val="22"/>
              </w:rPr>
            </w:pPr>
            <w:r w:rsidRPr="00C11493">
              <w:rPr>
                <w:rFonts w:asciiTheme="minorHAnsi" w:hAnsiTheme="minorHAnsi"/>
                <w:szCs w:val="22"/>
              </w:rPr>
              <w:t>Western</w:t>
            </w:r>
          </w:p>
        </w:tc>
        <w:tc>
          <w:tcPr>
            <w:tcW w:w="1440" w:type="dxa"/>
            <w:shd w:val="clear" w:color="auto" w:fill="8DB5DA"/>
            <w:tcMar>
              <w:top w:w="72" w:type="dxa"/>
              <w:left w:w="115" w:type="dxa"/>
              <w:bottom w:w="72" w:type="dxa"/>
              <w:right w:w="115" w:type="dxa"/>
            </w:tcMar>
            <w:vAlign w:val="center"/>
          </w:tcPr>
          <w:p w:rsidR="00435108" w:rsidRPr="00C11493" w:rsidRDefault="00435108" w:rsidP="00102473">
            <w:pPr>
              <w:tabs>
                <w:tab w:val="left" w:pos="721"/>
              </w:tabs>
              <w:spacing w:beforeLines="20" w:before="48" w:afterLines="20" w:after="48"/>
              <w:jc w:val="center"/>
              <w:rPr>
                <w:rFonts w:asciiTheme="minorHAnsi" w:hAnsiTheme="minorHAnsi"/>
                <w:szCs w:val="22"/>
              </w:rPr>
            </w:pPr>
            <w:r w:rsidRPr="00C11493">
              <w:rPr>
                <w:rFonts w:asciiTheme="minorHAnsi" w:hAnsiTheme="minorHAnsi"/>
                <w:szCs w:val="22"/>
              </w:rPr>
              <w:t>ERCOT</w:t>
            </w:r>
          </w:p>
        </w:tc>
        <w:tc>
          <w:tcPr>
            <w:tcW w:w="1440" w:type="dxa"/>
            <w:shd w:val="clear" w:color="auto" w:fill="8DB5DA"/>
            <w:tcMar>
              <w:top w:w="72" w:type="dxa"/>
              <w:left w:w="115" w:type="dxa"/>
              <w:bottom w:w="72" w:type="dxa"/>
              <w:right w:w="115" w:type="dxa"/>
            </w:tcMar>
            <w:vAlign w:val="center"/>
          </w:tcPr>
          <w:p w:rsidR="00435108" w:rsidRPr="00C11493" w:rsidRDefault="00435108" w:rsidP="00102473">
            <w:pPr>
              <w:pStyle w:val="TableHeaderRow"/>
              <w:tabs>
                <w:tab w:val="left" w:pos="721"/>
              </w:tabs>
              <w:spacing w:beforeLines="20" w:before="48" w:afterLines="20" w:after="48"/>
              <w:rPr>
                <w:rFonts w:asciiTheme="minorHAnsi" w:hAnsiTheme="minorHAnsi"/>
                <w:b w:val="0"/>
                <w:sz w:val="22"/>
                <w:szCs w:val="22"/>
              </w:rPr>
            </w:pPr>
            <w:r w:rsidRPr="00C11493">
              <w:rPr>
                <w:rFonts w:asciiTheme="minorHAnsi" w:hAnsiTheme="minorHAnsi" w:cs="Arial"/>
                <w:b w:val="0"/>
                <w:sz w:val="22"/>
                <w:szCs w:val="22"/>
              </w:rPr>
              <w:t>Québec</w:t>
            </w:r>
          </w:p>
        </w:tc>
      </w:tr>
      <w:tr w:rsidR="004C7660" w:rsidRPr="00C11493" w:rsidTr="004C7660">
        <w:trPr>
          <w:cantSplit/>
          <w:jc w:val="center"/>
        </w:trPr>
        <w:tc>
          <w:tcPr>
            <w:tcW w:w="3085" w:type="dxa"/>
            <w:shd w:val="clear" w:color="auto" w:fill="auto"/>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Time Frame</w:t>
            </w:r>
          </w:p>
        </w:tc>
        <w:tc>
          <w:tcPr>
            <w:tcW w:w="1440" w:type="dxa"/>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2011-2013</w:t>
            </w:r>
          </w:p>
        </w:tc>
        <w:tc>
          <w:tcPr>
            <w:tcW w:w="1440" w:type="dxa"/>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2011-2013</w:t>
            </w:r>
          </w:p>
        </w:tc>
        <w:tc>
          <w:tcPr>
            <w:tcW w:w="1440" w:type="dxa"/>
            <w:shd w:val="clear" w:color="auto" w:fill="auto"/>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2011-2013</w:t>
            </w:r>
          </w:p>
        </w:tc>
        <w:tc>
          <w:tcPr>
            <w:tcW w:w="1440" w:type="dxa"/>
            <w:shd w:val="clear" w:color="auto" w:fill="auto"/>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2011-2013</w:t>
            </w:r>
          </w:p>
        </w:tc>
      </w:tr>
      <w:tr w:rsidR="004C7660" w:rsidRPr="00C11493" w:rsidTr="004C7660">
        <w:trPr>
          <w:cantSplit/>
          <w:jc w:val="center"/>
        </w:trPr>
        <w:tc>
          <w:tcPr>
            <w:tcW w:w="3085" w:type="dxa"/>
            <w:shd w:val="clear" w:color="auto" w:fill="E0E0E0"/>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Number</w:t>
            </w:r>
            <w:r w:rsidRPr="00C11493">
              <w:rPr>
                <w:rStyle w:val="FootnoteReference"/>
                <w:rFonts w:asciiTheme="minorHAnsi" w:hAnsiTheme="minorHAnsi"/>
                <w:sz w:val="22"/>
                <w:szCs w:val="22"/>
              </w:rPr>
              <w:footnoteReference w:id="16"/>
            </w:r>
            <w:r w:rsidRPr="00C11493">
              <w:rPr>
                <w:rFonts w:asciiTheme="minorHAnsi" w:hAnsiTheme="minorHAnsi"/>
                <w:sz w:val="22"/>
                <w:szCs w:val="22"/>
              </w:rPr>
              <w:t xml:space="preserve"> of Samples</w:t>
            </w:r>
          </w:p>
        </w:tc>
        <w:tc>
          <w:tcPr>
            <w:tcW w:w="1440" w:type="dxa"/>
            <w:shd w:val="clear" w:color="auto" w:fill="E0E0E0"/>
            <w:vAlign w:val="cente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91,199,012</w:t>
            </w:r>
          </w:p>
        </w:tc>
        <w:tc>
          <w:tcPr>
            <w:tcW w:w="1440" w:type="dxa"/>
            <w:shd w:val="clear" w:color="auto" w:fill="E0E0E0"/>
            <w:vAlign w:val="cente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91,520,116</w:t>
            </w:r>
          </w:p>
        </w:tc>
        <w:tc>
          <w:tcPr>
            <w:tcW w:w="1440" w:type="dxa"/>
            <w:shd w:val="clear" w:color="auto" w:fill="E0E0E0"/>
            <w:tcMar>
              <w:top w:w="72" w:type="dxa"/>
              <w:left w:w="115" w:type="dxa"/>
              <w:bottom w:w="72" w:type="dxa"/>
              <w:right w:w="115" w:type="dxa"/>
            </w:tcMar>
            <w:vAlign w:val="cente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88,907,597</w:t>
            </w:r>
          </w:p>
        </w:tc>
        <w:tc>
          <w:tcPr>
            <w:tcW w:w="1440" w:type="dxa"/>
            <w:shd w:val="clear" w:color="auto" w:fill="E0E0E0"/>
            <w:tcMar>
              <w:top w:w="72" w:type="dxa"/>
              <w:left w:w="115" w:type="dxa"/>
              <w:bottom w:w="72" w:type="dxa"/>
              <w:right w:w="115" w:type="dxa"/>
            </w:tcMar>
            <w:vAlign w:val="center"/>
          </w:tcPr>
          <w:p w:rsidR="004C7660" w:rsidRPr="00C11493" w:rsidRDefault="004C7660" w:rsidP="004C7660">
            <w:pPr>
              <w:spacing w:before="100" w:beforeAutospacing="1" w:after="100" w:afterAutospacing="1"/>
              <w:jc w:val="center"/>
              <w:rPr>
                <w:rFonts w:asciiTheme="minorHAnsi" w:hAnsiTheme="minorHAnsi"/>
                <w:szCs w:val="22"/>
              </w:rPr>
            </w:pPr>
            <w:r w:rsidRPr="00C11493">
              <w:rPr>
                <w:rFonts w:asciiTheme="minorHAnsi" w:hAnsiTheme="minorHAnsi"/>
                <w:szCs w:val="22"/>
              </w:rPr>
              <w:t>87,201,647</w:t>
            </w:r>
          </w:p>
        </w:tc>
      </w:tr>
      <w:tr w:rsidR="004C7660" w:rsidRPr="00C11493" w:rsidTr="00A209A6">
        <w:trPr>
          <w:cantSplit/>
          <w:jc w:val="center"/>
        </w:trPr>
        <w:tc>
          <w:tcPr>
            <w:tcW w:w="3085" w:type="dxa"/>
            <w:shd w:val="clear" w:color="auto" w:fill="auto"/>
            <w:tcMar>
              <w:top w:w="72" w:type="dxa"/>
              <w:left w:w="115" w:type="dxa"/>
              <w:bottom w:w="72" w:type="dxa"/>
              <w:right w:w="115" w:type="dxa"/>
            </w:tcMar>
            <w:vAlign w:val="center"/>
          </w:tcPr>
          <w:p w:rsidR="004C7660" w:rsidRPr="00C11493" w:rsidRDefault="004C7660" w:rsidP="00A209A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Expected Value (Hz)</w:t>
            </w:r>
          </w:p>
        </w:tc>
        <w:tc>
          <w:tcPr>
            <w:tcW w:w="1440" w:type="dxa"/>
            <w:vAlign w:val="center"/>
          </w:tcPr>
          <w:p w:rsidR="004C7660" w:rsidRPr="00C11493" w:rsidRDefault="004C7660" w:rsidP="00A209A6">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60.000</w:t>
            </w:r>
          </w:p>
        </w:tc>
        <w:tc>
          <w:tcPr>
            <w:tcW w:w="1440" w:type="dxa"/>
            <w:vAlign w:val="center"/>
          </w:tcPr>
          <w:p w:rsidR="004C7660" w:rsidRPr="00C11493" w:rsidRDefault="004C7660" w:rsidP="00A209A6">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59.994</w:t>
            </w:r>
          </w:p>
        </w:tc>
        <w:tc>
          <w:tcPr>
            <w:tcW w:w="1440" w:type="dxa"/>
            <w:shd w:val="clear" w:color="auto" w:fill="auto"/>
            <w:tcMar>
              <w:top w:w="72" w:type="dxa"/>
              <w:left w:w="115" w:type="dxa"/>
              <w:bottom w:w="72" w:type="dxa"/>
              <w:right w:w="115" w:type="dxa"/>
            </w:tcMar>
            <w:vAlign w:val="center"/>
          </w:tcPr>
          <w:p w:rsidR="004C7660" w:rsidRPr="00C11493" w:rsidRDefault="004C7660" w:rsidP="00A209A6">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59.992</w:t>
            </w:r>
          </w:p>
        </w:tc>
        <w:tc>
          <w:tcPr>
            <w:tcW w:w="1440" w:type="dxa"/>
            <w:shd w:val="clear" w:color="auto" w:fill="auto"/>
            <w:tcMar>
              <w:top w:w="72" w:type="dxa"/>
              <w:left w:w="115" w:type="dxa"/>
              <w:bottom w:w="72" w:type="dxa"/>
              <w:right w:w="115" w:type="dxa"/>
            </w:tcMar>
            <w:vAlign w:val="center"/>
          </w:tcPr>
          <w:p w:rsidR="004C7660" w:rsidRPr="00C11493" w:rsidRDefault="004C7660" w:rsidP="00A209A6">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59.982</w:t>
            </w:r>
          </w:p>
        </w:tc>
      </w:tr>
      <w:tr w:rsidR="004C7660" w:rsidRPr="00C11493" w:rsidTr="004C7660">
        <w:trPr>
          <w:cantSplit/>
          <w:jc w:val="center"/>
        </w:trPr>
        <w:tc>
          <w:tcPr>
            <w:tcW w:w="3085" w:type="dxa"/>
            <w:shd w:val="clear" w:color="auto" w:fill="E0E0E0"/>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Variance of Frequency (σ²) (Hz²)</w:t>
            </w:r>
          </w:p>
        </w:tc>
        <w:tc>
          <w:tcPr>
            <w:tcW w:w="1440" w:type="dxa"/>
            <w:shd w:val="clear" w:color="auto" w:fill="E0E0E0"/>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0.00024</w:t>
            </w:r>
          </w:p>
        </w:tc>
        <w:tc>
          <w:tcPr>
            <w:tcW w:w="1440" w:type="dxa"/>
            <w:shd w:val="clear" w:color="auto" w:fill="E0E0E0"/>
          </w:tcPr>
          <w:p w:rsidR="004C7660" w:rsidRPr="00C11493" w:rsidRDefault="004C7660" w:rsidP="004C7660">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0.00844</w:t>
            </w:r>
          </w:p>
        </w:tc>
        <w:tc>
          <w:tcPr>
            <w:tcW w:w="1440" w:type="dxa"/>
            <w:shd w:val="clear" w:color="auto" w:fill="E0E0E0"/>
            <w:tcMar>
              <w:top w:w="72" w:type="dxa"/>
              <w:left w:w="115" w:type="dxa"/>
              <w:bottom w:w="72" w:type="dxa"/>
              <w:right w:w="115" w:type="dxa"/>
            </w:tcMar>
          </w:tcPr>
          <w:p w:rsidR="004C7660" w:rsidRPr="00C11493" w:rsidRDefault="004C7660" w:rsidP="004C7660">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0.01448</w:t>
            </w:r>
          </w:p>
        </w:tc>
        <w:tc>
          <w:tcPr>
            <w:tcW w:w="1440" w:type="dxa"/>
            <w:shd w:val="clear" w:color="auto" w:fill="E0E0E0"/>
            <w:tcMar>
              <w:top w:w="72" w:type="dxa"/>
              <w:left w:w="115" w:type="dxa"/>
              <w:bottom w:w="72" w:type="dxa"/>
              <w:right w:w="115" w:type="dxa"/>
            </w:tcMar>
          </w:tcPr>
          <w:p w:rsidR="004C7660" w:rsidRPr="00C11493" w:rsidRDefault="004C7660" w:rsidP="004C7660">
            <w:pPr>
              <w:spacing w:before="100" w:beforeAutospacing="1" w:after="100" w:afterAutospacing="1"/>
              <w:jc w:val="center"/>
              <w:rPr>
                <w:rFonts w:asciiTheme="minorHAnsi" w:hAnsiTheme="minorHAnsi"/>
                <w:color w:val="000000"/>
                <w:szCs w:val="22"/>
              </w:rPr>
            </w:pPr>
            <w:r w:rsidRPr="00C11493">
              <w:rPr>
                <w:rFonts w:asciiTheme="minorHAnsi" w:hAnsiTheme="minorHAnsi"/>
                <w:szCs w:val="22"/>
              </w:rPr>
              <w:t>0.03360</w:t>
            </w:r>
          </w:p>
        </w:tc>
      </w:tr>
      <w:tr w:rsidR="004C7660" w:rsidRPr="00C11493" w:rsidTr="004C7660">
        <w:trPr>
          <w:cantSplit/>
          <w:jc w:val="center"/>
        </w:trPr>
        <w:tc>
          <w:tcPr>
            <w:tcW w:w="3085" w:type="dxa"/>
            <w:shd w:val="clear" w:color="auto" w:fill="auto"/>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Standard Deviation (σ) (Hz)</w:t>
            </w:r>
          </w:p>
        </w:tc>
        <w:tc>
          <w:tcPr>
            <w:tcW w:w="1440" w:type="dxa"/>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0.01543</w:t>
            </w:r>
          </w:p>
        </w:tc>
        <w:tc>
          <w:tcPr>
            <w:tcW w:w="1440" w:type="dxa"/>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0.09189</w:t>
            </w:r>
          </w:p>
        </w:tc>
        <w:tc>
          <w:tcPr>
            <w:tcW w:w="1440" w:type="dxa"/>
            <w:shd w:val="clear" w:color="auto" w:fill="auto"/>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0.12032</w:t>
            </w:r>
          </w:p>
        </w:tc>
        <w:tc>
          <w:tcPr>
            <w:tcW w:w="1440" w:type="dxa"/>
            <w:shd w:val="clear" w:color="auto" w:fill="auto"/>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0.18331</w:t>
            </w:r>
          </w:p>
        </w:tc>
      </w:tr>
      <w:tr w:rsidR="004C7660" w:rsidRPr="00C11493" w:rsidTr="004C7660">
        <w:trPr>
          <w:cantSplit/>
          <w:jc w:val="center"/>
        </w:trPr>
        <w:tc>
          <w:tcPr>
            <w:tcW w:w="3085" w:type="dxa"/>
            <w:shd w:val="clear" w:color="auto" w:fill="E0E0E0"/>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2σ (Hz)</w:t>
            </w:r>
          </w:p>
        </w:tc>
        <w:tc>
          <w:tcPr>
            <w:tcW w:w="1440" w:type="dxa"/>
            <w:shd w:val="clear" w:color="auto" w:fill="E0E0E0"/>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0.03086</w:t>
            </w:r>
          </w:p>
        </w:tc>
        <w:tc>
          <w:tcPr>
            <w:tcW w:w="1440" w:type="dxa"/>
            <w:shd w:val="clear" w:color="auto" w:fill="E0E0E0"/>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0.18377</w:t>
            </w:r>
          </w:p>
        </w:tc>
        <w:tc>
          <w:tcPr>
            <w:tcW w:w="1440" w:type="dxa"/>
            <w:shd w:val="clear" w:color="auto" w:fill="E0E0E0"/>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0.24065</w:t>
            </w:r>
          </w:p>
        </w:tc>
        <w:tc>
          <w:tcPr>
            <w:tcW w:w="1440" w:type="dxa"/>
            <w:shd w:val="clear" w:color="auto" w:fill="E0E0E0"/>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0.36662</w:t>
            </w:r>
          </w:p>
        </w:tc>
      </w:tr>
      <w:tr w:rsidR="004C7660" w:rsidRPr="00C11493" w:rsidTr="004C7660">
        <w:trPr>
          <w:cantSplit/>
          <w:jc w:val="center"/>
        </w:trPr>
        <w:tc>
          <w:tcPr>
            <w:tcW w:w="3085" w:type="dxa"/>
            <w:shd w:val="clear" w:color="auto" w:fill="auto"/>
            <w:tcMar>
              <w:top w:w="72" w:type="dxa"/>
              <w:left w:w="115" w:type="dxa"/>
              <w:bottom w:w="72" w:type="dxa"/>
              <w:right w:w="115" w:type="dxa"/>
            </w:tcMar>
            <w:vAlign w:val="center"/>
          </w:tcPr>
          <w:p w:rsidR="004C7660" w:rsidRPr="00C11493" w:rsidRDefault="004C7660" w:rsidP="004C7660">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3σ (Hz)</w:t>
            </w:r>
          </w:p>
        </w:tc>
        <w:tc>
          <w:tcPr>
            <w:tcW w:w="1440" w:type="dxa"/>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0.04629</w:t>
            </w:r>
          </w:p>
        </w:tc>
        <w:tc>
          <w:tcPr>
            <w:tcW w:w="1440" w:type="dxa"/>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0.27566</w:t>
            </w:r>
          </w:p>
        </w:tc>
        <w:tc>
          <w:tcPr>
            <w:tcW w:w="1440" w:type="dxa"/>
            <w:shd w:val="clear" w:color="auto" w:fill="auto"/>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0.36097</w:t>
            </w:r>
          </w:p>
        </w:tc>
        <w:tc>
          <w:tcPr>
            <w:tcW w:w="1440" w:type="dxa"/>
            <w:shd w:val="clear" w:color="auto" w:fill="auto"/>
            <w:tcMar>
              <w:top w:w="72" w:type="dxa"/>
              <w:left w:w="115" w:type="dxa"/>
              <w:bottom w:w="72" w:type="dxa"/>
              <w:right w:w="115" w:type="dxa"/>
            </w:tcMar>
          </w:tcPr>
          <w:p w:rsidR="004C7660" w:rsidRPr="00C11493" w:rsidRDefault="004C7660" w:rsidP="004C7660">
            <w:pPr>
              <w:pStyle w:val="TableBody"/>
              <w:spacing w:before="100" w:beforeAutospacing="1"/>
              <w:rPr>
                <w:rFonts w:asciiTheme="minorHAnsi" w:hAnsiTheme="minorHAnsi"/>
                <w:sz w:val="22"/>
                <w:szCs w:val="22"/>
              </w:rPr>
            </w:pPr>
            <w:r w:rsidRPr="00C11493">
              <w:rPr>
                <w:rFonts w:asciiTheme="minorHAnsi" w:hAnsiTheme="minorHAnsi"/>
                <w:sz w:val="22"/>
                <w:szCs w:val="22"/>
              </w:rPr>
              <w:t>0.54992</w:t>
            </w:r>
          </w:p>
        </w:tc>
      </w:tr>
      <w:tr w:rsidR="004C7660" w:rsidRPr="00C11493" w:rsidTr="004C7660">
        <w:trPr>
          <w:cantSplit/>
          <w:jc w:val="center"/>
        </w:trPr>
        <w:tc>
          <w:tcPr>
            <w:tcW w:w="3085" w:type="dxa"/>
            <w:shd w:val="clear" w:color="auto" w:fill="E0E0E0"/>
            <w:tcMar>
              <w:top w:w="72" w:type="dxa"/>
              <w:left w:w="115" w:type="dxa"/>
              <w:bottom w:w="72" w:type="dxa"/>
              <w:right w:w="115" w:type="dxa"/>
            </w:tcMar>
            <w:vAlign w:val="center"/>
          </w:tcPr>
          <w:p w:rsidR="004C7660" w:rsidRPr="00C11493" w:rsidRDefault="004C7660" w:rsidP="00892A5F">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Starting Frequency (F</w:t>
            </w:r>
            <w:r w:rsidRPr="00C11493">
              <w:rPr>
                <w:rFonts w:asciiTheme="minorHAnsi" w:hAnsiTheme="minorHAnsi"/>
                <w:sz w:val="22"/>
                <w:szCs w:val="22"/>
                <w:vertAlign w:val="subscript"/>
              </w:rPr>
              <w:t>Start</w:t>
            </w:r>
            <w:r w:rsidRPr="00C11493">
              <w:rPr>
                <w:rFonts w:asciiTheme="minorHAnsi" w:hAnsiTheme="minorHAnsi"/>
                <w:sz w:val="22"/>
                <w:szCs w:val="22"/>
              </w:rPr>
              <w:t>)</w:t>
            </w:r>
            <w:r w:rsidRPr="00C11493">
              <w:rPr>
                <w:rFonts w:asciiTheme="minorHAnsi" w:hAnsiTheme="minorHAnsi"/>
                <w:sz w:val="22"/>
                <w:szCs w:val="22"/>
              </w:rPr>
              <w:br/>
              <w:t>5% of lower tail samples (Hz)</w:t>
            </w:r>
          </w:p>
        </w:tc>
        <w:tc>
          <w:tcPr>
            <w:tcW w:w="1440" w:type="dxa"/>
            <w:shd w:val="clear" w:color="auto" w:fill="E0E0E0"/>
          </w:tcPr>
          <w:p w:rsidR="004C7660" w:rsidRPr="002511AF" w:rsidRDefault="004C7660" w:rsidP="004C7660">
            <w:pPr>
              <w:pStyle w:val="TableBody"/>
              <w:spacing w:beforeLines="20" w:before="48" w:afterLines="20" w:after="48"/>
              <w:rPr>
                <w:rFonts w:asciiTheme="minorHAnsi" w:hAnsiTheme="minorHAnsi"/>
                <w:b/>
                <w:sz w:val="22"/>
                <w:szCs w:val="22"/>
              </w:rPr>
            </w:pPr>
            <w:r w:rsidRPr="002511AF">
              <w:rPr>
                <w:rFonts w:asciiTheme="minorHAnsi" w:hAnsiTheme="minorHAnsi"/>
                <w:b/>
                <w:sz w:val="22"/>
                <w:szCs w:val="22"/>
              </w:rPr>
              <w:t>59.974</w:t>
            </w:r>
          </w:p>
        </w:tc>
        <w:tc>
          <w:tcPr>
            <w:tcW w:w="1440" w:type="dxa"/>
            <w:shd w:val="clear" w:color="auto" w:fill="E0E0E0"/>
          </w:tcPr>
          <w:p w:rsidR="004C7660" w:rsidRPr="002511AF" w:rsidRDefault="004C7660" w:rsidP="004C7660">
            <w:pPr>
              <w:pStyle w:val="TableBody"/>
              <w:spacing w:beforeLines="20" w:before="48" w:afterLines="20" w:after="48"/>
              <w:rPr>
                <w:rFonts w:asciiTheme="minorHAnsi" w:hAnsiTheme="minorHAnsi"/>
                <w:b/>
                <w:sz w:val="22"/>
                <w:szCs w:val="22"/>
              </w:rPr>
            </w:pPr>
            <w:r w:rsidRPr="002511AF">
              <w:rPr>
                <w:rFonts w:asciiTheme="minorHAnsi" w:hAnsiTheme="minorHAnsi"/>
                <w:b/>
                <w:sz w:val="22"/>
                <w:szCs w:val="22"/>
              </w:rPr>
              <w:t>59.968</w:t>
            </w:r>
          </w:p>
        </w:tc>
        <w:tc>
          <w:tcPr>
            <w:tcW w:w="1440" w:type="dxa"/>
            <w:shd w:val="clear" w:color="auto" w:fill="E0E0E0"/>
            <w:tcMar>
              <w:top w:w="72" w:type="dxa"/>
              <w:left w:w="115" w:type="dxa"/>
              <w:bottom w:w="72" w:type="dxa"/>
              <w:right w:w="115" w:type="dxa"/>
            </w:tcMar>
          </w:tcPr>
          <w:p w:rsidR="004C7660" w:rsidRPr="002511AF" w:rsidRDefault="004C7660" w:rsidP="004C7660">
            <w:pPr>
              <w:pStyle w:val="TableBody"/>
              <w:spacing w:beforeLines="20" w:before="48" w:afterLines="20" w:after="48"/>
              <w:rPr>
                <w:rFonts w:asciiTheme="minorHAnsi" w:hAnsiTheme="minorHAnsi"/>
                <w:b/>
                <w:sz w:val="22"/>
                <w:szCs w:val="22"/>
              </w:rPr>
            </w:pPr>
            <w:r w:rsidRPr="002511AF">
              <w:rPr>
                <w:rFonts w:asciiTheme="minorHAnsi" w:hAnsiTheme="minorHAnsi"/>
                <w:b/>
                <w:sz w:val="22"/>
                <w:szCs w:val="22"/>
              </w:rPr>
              <w:t>59.965</w:t>
            </w:r>
          </w:p>
        </w:tc>
        <w:tc>
          <w:tcPr>
            <w:tcW w:w="1440" w:type="dxa"/>
            <w:shd w:val="clear" w:color="auto" w:fill="E0E0E0"/>
            <w:tcMar>
              <w:top w:w="72" w:type="dxa"/>
              <w:left w:w="115" w:type="dxa"/>
              <w:bottom w:w="72" w:type="dxa"/>
              <w:right w:w="115" w:type="dxa"/>
            </w:tcMar>
          </w:tcPr>
          <w:p w:rsidR="004C7660" w:rsidRPr="002511AF" w:rsidRDefault="004C7660" w:rsidP="004C7660">
            <w:pPr>
              <w:pStyle w:val="TableBody"/>
              <w:spacing w:beforeLines="20" w:before="48" w:afterLines="20" w:after="48"/>
              <w:rPr>
                <w:rFonts w:asciiTheme="minorHAnsi" w:hAnsiTheme="minorHAnsi"/>
                <w:b/>
                <w:sz w:val="22"/>
                <w:szCs w:val="22"/>
              </w:rPr>
            </w:pPr>
            <w:r w:rsidRPr="002511AF">
              <w:rPr>
                <w:rFonts w:asciiTheme="minorHAnsi" w:hAnsiTheme="minorHAnsi"/>
                <w:b/>
                <w:sz w:val="22"/>
                <w:szCs w:val="22"/>
              </w:rPr>
              <w:t>59.968</w:t>
            </w:r>
          </w:p>
        </w:tc>
      </w:tr>
    </w:tbl>
    <w:p w:rsidR="00435108" w:rsidRDefault="00435108" w:rsidP="00120B08"/>
    <w:p w:rsidR="00435108" w:rsidRDefault="00435108" w:rsidP="00120B08">
      <w:r w:rsidRPr="00435108">
        <w:t>Those starting frequencies encompass all variations in frequency, including changes to the target frequency during time-error correction (TEC). That eliminates the need to expressly evaluate TEC as a variable in the IFRO calculation. Therefore, the starting frequency for the calculation of IFROs should remain the frequency calculated at 5% of the lower tail of samples from the statistical analysis, which represents a 95% chance that frequencies will be at or above that value at the start of any frequency event.</w:t>
      </w:r>
    </w:p>
    <w:p w:rsidR="00435108" w:rsidRDefault="00435108" w:rsidP="00120B08"/>
    <w:p w:rsidR="00435108" w:rsidRDefault="00435108" w:rsidP="00120B08">
      <w:r w:rsidRPr="00435108">
        <w:t>Figures 5–8 show the probability density function of fre</w:t>
      </w:r>
      <w:r>
        <w:t>quency for each interconnection.</w:t>
      </w:r>
    </w:p>
    <w:p w:rsidR="00435108" w:rsidRDefault="00435108" w:rsidP="00120B08"/>
    <w:p w:rsidR="00897B0A" w:rsidRDefault="00DF5443" w:rsidP="00897B0A">
      <w:pPr>
        <w:keepNext/>
        <w:jc w:val="center"/>
      </w:pPr>
      <w:r w:rsidRPr="00DF5443">
        <w:rPr>
          <w:noProof/>
        </w:rPr>
        <w:drawing>
          <wp:inline distT="0" distB="0" distL="0" distR="0" wp14:anchorId="5605CB25" wp14:editId="088AD3B8">
            <wp:extent cx="4599432"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99432" cy="2743200"/>
                    </a:xfrm>
                    <a:prstGeom prst="rect">
                      <a:avLst/>
                    </a:prstGeom>
                    <a:noFill/>
                    <a:ln>
                      <a:noFill/>
                    </a:ln>
                  </pic:spPr>
                </pic:pic>
              </a:graphicData>
            </a:graphic>
          </wp:inline>
        </w:drawing>
      </w:r>
    </w:p>
    <w:p w:rsidR="004227B5" w:rsidRDefault="00897B0A" w:rsidP="00897B0A">
      <w:pPr>
        <w:pStyle w:val="CaptionNERC"/>
      </w:pPr>
      <w:r>
        <w:t xml:space="preserve">Figure </w:t>
      </w:r>
      <w:fldSimple w:instr=" SEQ Figure \* ARABIC ">
        <w:r>
          <w:rPr>
            <w:noProof/>
          </w:rPr>
          <w:t>5</w:t>
        </w:r>
      </w:fldSimple>
      <w:r>
        <w:t xml:space="preserve">: </w:t>
      </w:r>
      <w:r w:rsidRPr="00B510C8">
        <w:t>Eastern Interconnection 2011–2013 Probability Density Function of Frequency</w:t>
      </w:r>
    </w:p>
    <w:p w:rsidR="00435108" w:rsidRDefault="00435108" w:rsidP="00120B08"/>
    <w:p w:rsidR="00897B0A" w:rsidRDefault="00D83D43" w:rsidP="00897B0A">
      <w:pPr>
        <w:keepNext/>
        <w:jc w:val="center"/>
      </w:pPr>
      <w:r w:rsidRPr="00D83D43">
        <w:rPr>
          <w:noProof/>
        </w:rPr>
        <w:drawing>
          <wp:inline distT="0" distB="0" distL="0" distR="0" wp14:anchorId="49DFDCB5" wp14:editId="0BCDD9AD">
            <wp:extent cx="4562856" cy="3200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856" cy="3200400"/>
                    </a:xfrm>
                    <a:prstGeom prst="rect">
                      <a:avLst/>
                    </a:prstGeom>
                    <a:noFill/>
                    <a:ln>
                      <a:noFill/>
                    </a:ln>
                  </pic:spPr>
                </pic:pic>
              </a:graphicData>
            </a:graphic>
          </wp:inline>
        </w:drawing>
      </w:r>
    </w:p>
    <w:p w:rsidR="00892A5F" w:rsidRDefault="00897B0A" w:rsidP="00897B0A">
      <w:pPr>
        <w:pStyle w:val="CaptionNERC"/>
      </w:pPr>
      <w:r>
        <w:t xml:space="preserve">Figure </w:t>
      </w:r>
      <w:fldSimple w:instr=" SEQ Figure \* ARABIC ">
        <w:r>
          <w:rPr>
            <w:noProof/>
          </w:rPr>
          <w:t>6</w:t>
        </w:r>
      </w:fldSimple>
      <w:r>
        <w:t xml:space="preserve">: </w:t>
      </w:r>
      <w:r w:rsidRPr="00201968">
        <w:t>Western Interconnection 2011–2013 Probability Density Function of Frequency</w:t>
      </w:r>
    </w:p>
    <w:p w:rsidR="00DF5443" w:rsidRDefault="00DF5443" w:rsidP="00120B08">
      <w:r>
        <w:br w:type="page"/>
      </w:r>
    </w:p>
    <w:p w:rsidR="00435108" w:rsidRDefault="00435108" w:rsidP="00120B08"/>
    <w:p w:rsidR="00897B0A" w:rsidRDefault="00D83D43" w:rsidP="00897B0A">
      <w:pPr>
        <w:keepNext/>
        <w:jc w:val="center"/>
      </w:pPr>
      <w:r w:rsidRPr="00D83D43">
        <w:rPr>
          <w:noProof/>
        </w:rPr>
        <w:drawing>
          <wp:inline distT="0" distB="0" distL="0" distR="0" wp14:anchorId="78C1D1C4" wp14:editId="04656A04">
            <wp:extent cx="4535424"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35424" cy="2743200"/>
                    </a:xfrm>
                    <a:prstGeom prst="rect">
                      <a:avLst/>
                    </a:prstGeom>
                    <a:noFill/>
                    <a:ln>
                      <a:noFill/>
                    </a:ln>
                  </pic:spPr>
                </pic:pic>
              </a:graphicData>
            </a:graphic>
          </wp:inline>
        </w:drawing>
      </w:r>
    </w:p>
    <w:p w:rsidR="00892A5F" w:rsidRDefault="00897B0A" w:rsidP="00897B0A">
      <w:pPr>
        <w:pStyle w:val="CaptionNERC"/>
      </w:pPr>
      <w:r>
        <w:t xml:space="preserve">Figure </w:t>
      </w:r>
      <w:fldSimple w:instr=" SEQ Figure \* ARABIC ">
        <w:r>
          <w:rPr>
            <w:noProof/>
          </w:rPr>
          <w:t>7</w:t>
        </w:r>
      </w:fldSimple>
      <w:r>
        <w:t xml:space="preserve">: </w:t>
      </w:r>
      <w:r w:rsidRPr="00F55753">
        <w:t>ERCOT Interconnection 2011–2013 Probability Density Function of Frequency</w:t>
      </w:r>
    </w:p>
    <w:p w:rsidR="00435108" w:rsidRDefault="00435108" w:rsidP="00120B08"/>
    <w:p w:rsidR="00435108" w:rsidRDefault="00435108" w:rsidP="00120B08">
      <w:r w:rsidRPr="00435108">
        <w:t>Note that the ERCOT frequency probability density still displays some minor influence of the “flat-top” profile that was common to that interconnection prior to 2008. That phenomenon was caused by a standardized ±36 mHz deadband with a step-function implementation. This is significantly less pronounced than it was in the 2012 analysis as the impacts of migration toward a ±16.7 mHz deadband with a proportional response implementation became more pronounced in the 2011 and 2012 data.</w:t>
      </w:r>
    </w:p>
    <w:p w:rsidR="00435108" w:rsidRDefault="00435108" w:rsidP="00120B08"/>
    <w:p w:rsidR="00897B0A" w:rsidRDefault="00DF5443" w:rsidP="00897B0A">
      <w:pPr>
        <w:keepNext/>
        <w:jc w:val="center"/>
      </w:pPr>
      <w:r w:rsidRPr="00DF5443">
        <w:rPr>
          <w:noProof/>
        </w:rPr>
        <w:drawing>
          <wp:inline distT="0" distB="0" distL="0" distR="0" wp14:anchorId="042663DB" wp14:editId="4FD17810">
            <wp:extent cx="4453128" cy="2743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53128" cy="2743200"/>
                    </a:xfrm>
                    <a:prstGeom prst="rect">
                      <a:avLst/>
                    </a:prstGeom>
                    <a:noFill/>
                    <a:ln>
                      <a:noFill/>
                    </a:ln>
                  </pic:spPr>
                </pic:pic>
              </a:graphicData>
            </a:graphic>
          </wp:inline>
        </w:drawing>
      </w:r>
    </w:p>
    <w:p w:rsidR="00892A5F" w:rsidRDefault="00897B0A" w:rsidP="00897B0A">
      <w:pPr>
        <w:pStyle w:val="CaptionNERC"/>
      </w:pPr>
      <w:r>
        <w:t xml:space="preserve">Figure </w:t>
      </w:r>
      <w:fldSimple w:instr=" SEQ Figure \* ARABIC ">
        <w:r>
          <w:rPr>
            <w:noProof/>
          </w:rPr>
          <w:t>8</w:t>
        </w:r>
      </w:fldSimple>
      <w:r>
        <w:t xml:space="preserve">: </w:t>
      </w:r>
      <w:r w:rsidRPr="00A67FBC">
        <w:t>Québec Interconnection 2011–2013 Probability Density Function of Frequency</w:t>
      </w:r>
    </w:p>
    <w:p w:rsidR="00435108" w:rsidRDefault="00435108" w:rsidP="00120B08"/>
    <w:p w:rsidR="00D83D43" w:rsidRDefault="00D83D43" w:rsidP="00435108">
      <w:pPr>
        <w:pStyle w:val="Heading3"/>
      </w:pPr>
      <w:r>
        <w:br w:type="page"/>
      </w:r>
    </w:p>
    <w:p w:rsidR="00435108" w:rsidRDefault="00435108" w:rsidP="00435108">
      <w:pPr>
        <w:pStyle w:val="Heading3"/>
      </w:pPr>
      <w:bookmarkStart w:id="13" w:name="_Toc408812261"/>
      <w:r>
        <w:t>Changes in Starting Frequency</w:t>
      </w:r>
      <w:bookmarkEnd w:id="13"/>
      <w:r>
        <w:t xml:space="preserve"> </w:t>
      </w:r>
    </w:p>
    <w:p w:rsidR="00435108" w:rsidRDefault="00435108" w:rsidP="00435108">
      <w:r>
        <w:t xml:space="preserve">Comparing the results of the 2014 frequency variability analysis </w:t>
      </w:r>
      <w:r w:rsidR="00BF1C06">
        <w:t xml:space="preserve">for the 2011–2013 data </w:t>
      </w:r>
      <w:r>
        <w:t>with those conducted in 2013 (Table 6) shows only slight variations in the starting frequencies.</w:t>
      </w:r>
    </w:p>
    <w:p w:rsidR="00435108" w:rsidRDefault="00435108" w:rsidP="00435108"/>
    <w:tbl>
      <w:tblPr>
        <w:tblW w:w="6867"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547"/>
        <w:gridCol w:w="1440"/>
        <w:gridCol w:w="1440"/>
        <w:gridCol w:w="1440"/>
      </w:tblGrid>
      <w:tr w:rsidR="00284101" w:rsidRPr="00C11493" w:rsidTr="009E400A">
        <w:trPr>
          <w:cantSplit/>
          <w:jc w:val="center"/>
        </w:trPr>
        <w:tc>
          <w:tcPr>
            <w:tcW w:w="6867" w:type="dxa"/>
            <w:gridSpan w:val="4"/>
            <w:shd w:val="clear" w:color="auto" w:fill="264D74"/>
            <w:tcMar>
              <w:top w:w="72" w:type="dxa"/>
              <w:left w:w="115" w:type="dxa"/>
              <w:bottom w:w="72" w:type="dxa"/>
              <w:right w:w="115" w:type="dxa"/>
            </w:tcMar>
            <w:vAlign w:val="center"/>
          </w:tcPr>
          <w:p w:rsidR="00284101" w:rsidRPr="00C11493" w:rsidRDefault="00284101" w:rsidP="00E03F43">
            <w:pPr>
              <w:tabs>
                <w:tab w:val="left" w:pos="721"/>
              </w:tabs>
              <w:spacing w:beforeLines="20" w:before="48" w:afterLines="20" w:after="48"/>
              <w:jc w:val="center"/>
              <w:rPr>
                <w:szCs w:val="22"/>
              </w:rPr>
            </w:pPr>
            <w:r w:rsidRPr="00C11493">
              <w:rPr>
                <w:rFonts w:cs="Arial"/>
                <w:b/>
                <w:color w:val="FFFFFF"/>
                <w:szCs w:val="22"/>
              </w:rPr>
              <w:t>Table 6: Comparison of Interconnection Frequency Statistics</w:t>
            </w:r>
            <w:r w:rsidRPr="00C11493">
              <w:rPr>
                <w:rFonts w:cs="Arial"/>
                <w:b/>
                <w:color w:val="FFFFFF"/>
                <w:szCs w:val="22"/>
              </w:rPr>
              <w:br/>
              <w:t>(Hz)</w:t>
            </w:r>
          </w:p>
        </w:tc>
      </w:tr>
      <w:tr w:rsidR="00284101" w:rsidRPr="00C11493" w:rsidTr="00284101">
        <w:trPr>
          <w:cantSplit/>
          <w:trHeight w:val="288"/>
          <w:jc w:val="center"/>
        </w:trPr>
        <w:tc>
          <w:tcPr>
            <w:tcW w:w="6867" w:type="dxa"/>
            <w:gridSpan w:val="4"/>
            <w:shd w:val="clear" w:color="auto" w:fill="8DB5DA"/>
            <w:tcMar>
              <w:top w:w="72" w:type="dxa"/>
              <w:left w:w="115" w:type="dxa"/>
              <w:bottom w:w="72" w:type="dxa"/>
              <w:right w:w="115" w:type="dxa"/>
            </w:tcMar>
            <w:vAlign w:val="center"/>
          </w:tcPr>
          <w:p w:rsidR="00284101" w:rsidRPr="00C11493" w:rsidRDefault="00284101" w:rsidP="00284101">
            <w:pPr>
              <w:tabs>
                <w:tab w:val="left" w:pos="721"/>
              </w:tabs>
              <w:spacing w:before="100" w:beforeAutospacing="1" w:after="100" w:afterAutospacing="1"/>
              <w:jc w:val="center"/>
              <w:rPr>
                <w:szCs w:val="22"/>
              </w:rPr>
            </w:pPr>
            <w:r w:rsidRPr="00C11493">
              <w:rPr>
                <w:szCs w:val="22"/>
              </w:rPr>
              <w:t>Expected Frequencies</w:t>
            </w:r>
          </w:p>
        </w:tc>
      </w:tr>
      <w:tr w:rsidR="00284101" w:rsidRPr="00C11493" w:rsidTr="00284101">
        <w:trPr>
          <w:cantSplit/>
          <w:trHeight w:val="144"/>
          <w:jc w:val="center"/>
        </w:trPr>
        <w:tc>
          <w:tcPr>
            <w:tcW w:w="2547" w:type="dxa"/>
            <w:shd w:val="clear" w:color="auto" w:fill="8DB5DA"/>
            <w:tcMar>
              <w:top w:w="72" w:type="dxa"/>
              <w:left w:w="115" w:type="dxa"/>
              <w:bottom w:w="72" w:type="dxa"/>
              <w:right w:w="115" w:type="dxa"/>
            </w:tcMar>
            <w:vAlign w:val="center"/>
          </w:tcPr>
          <w:p w:rsidR="00284101" w:rsidRPr="00C11493" w:rsidRDefault="00284101" w:rsidP="00284101">
            <w:pPr>
              <w:spacing w:before="100" w:beforeAutospacing="1" w:after="100" w:afterAutospacing="1"/>
              <w:jc w:val="center"/>
              <w:rPr>
                <w:szCs w:val="22"/>
              </w:rPr>
            </w:pPr>
          </w:p>
        </w:tc>
        <w:tc>
          <w:tcPr>
            <w:tcW w:w="1440" w:type="dxa"/>
            <w:shd w:val="clear" w:color="auto" w:fill="8DB5DA"/>
            <w:vAlign w:val="center"/>
          </w:tcPr>
          <w:p w:rsidR="00284101" w:rsidRPr="00C11493" w:rsidRDefault="00284101" w:rsidP="00284101">
            <w:pPr>
              <w:tabs>
                <w:tab w:val="left" w:pos="721"/>
              </w:tabs>
              <w:spacing w:before="100" w:beforeAutospacing="1" w:after="100" w:afterAutospacing="1"/>
              <w:jc w:val="center"/>
              <w:rPr>
                <w:szCs w:val="22"/>
              </w:rPr>
            </w:pPr>
            <w:r>
              <w:rPr>
                <w:szCs w:val="22"/>
              </w:rPr>
              <w:t>2013 Analysis</w:t>
            </w:r>
          </w:p>
        </w:tc>
        <w:tc>
          <w:tcPr>
            <w:tcW w:w="1440" w:type="dxa"/>
            <w:shd w:val="clear" w:color="auto" w:fill="8DB5DA"/>
            <w:vAlign w:val="center"/>
          </w:tcPr>
          <w:p w:rsidR="00284101" w:rsidRPr="00C11493" w:rsidRDefault="00284101" w:rsidP="00284101">
            <w:pPr>
              <w:tabs>
                <w:tab w:val="left" w:pos="721"/>
              </w:tabs>
              <w:spacing w:before="100" w:beforeAutospacing="1" w:after="100" w:afterAutospacing="1"/>
              <w:jc w:val="center"/>
              <w:rPr>
                <w:szCs w:val="22"/>
              </w:rPr>
            </w:pPr>
            <w:r>
              <w:rPr>
                <w:szCs w:val="22"/>
              </w:rPr>
              <w:t>2014 Analysis</w:t>
            </w:r>
          </w:p>
        </w:tc>
        <w:tc>
          <w:tcPr>
            <w:tcW w:w="1440" w:type="dxa"/>
            <w:shd w:val="clear" w:color="auto" w:fill="8DB5DA"/>
            <w:tcMar>
              <w:top w:w="72" w:type="dxa"/>
              <w:left w:w="115" w:type="dxa"/>
              <w:bottom w:w="72" w:type="dxa"/>
              <w:right w:w="115" w:type="dxa"/>
            </w:tcMar>
            <w:vAlign w:val="center"/>
          </w:tcPr>
          <w:p w:rsidR="00284101" w:rsidRPr="00C11493" w:rsidRDefault="00284101" w:rsidP="00284101">
            <w:pPr>
              <w:tabs>
                <w:tab w:val="left" w:pos="721"/>
              </w:tabs>
              <w:spacing w:before="100" w:beforeAutospacing="1" w:after="100" w:afterAutospacing="1"/>
              <w:jc w:val="center"/>
              <w:rPr>
                <w:szCs w:val="22"/>
              </w:rPr>
            </w:pPr>
            <w:r>
              <w:rPr>
                <w:szCs w:val="22"/>
              </w:rPr>
              <w:t>Change</w:t>
            </w:r>
          </w:p>
        </w:tc>
      </w:tr>
      <w:tr w:rsidR="00284101" w:rsidRPr="00C11493" w:rsidTr="00284101">
        <w:trPr>
          <w:cantSplit/>
          <w:jc w:val="center"/>
        </w:trPr>
        <w:tc>
          <w:tcPr>
            <w:tcW w:w="2547" w:type="dxa"/>
            <w:shd w:val="clear" w:color="auto" w:fill="auto"/>
            <w:tcMar>
              <w:top w:w="72" w:type="dxa"/>
              <w:left w:w="115" w:type="dxa"/>
              <w:bottom w:w="72" w:type="dxa"/>
              <w:right w:w="115" w:type="dxa"/>
            </w:tcMar>
          </w:tcPr>
          <w:p w:rsidR="00284101" w:rsidRPr="00C11493" w:rsidRDefault="00284101" w:rsidP="00284101">
            <w:pPr>
              <w:pStyle w:val="TableBody"/>
              <w:spacing w:before="100" w:beforeAutospacing="1" w:after="100" w:afterAutospacing="1"/>
              <w:jc w:val="left"/>
              <w:rPr>
                <w:sz w:val="22"/>
                <w:szCs w:val="22"/>
              </w:rPr>
            </w:pPr>
            <w:r>
              <w:rPr>
                <w:sz w:val="22"/>
                <w:szCs w:val="22"/>
              </w:rPr>
              <w:t xml:space="preserve">Eastern </w:t>
            </w:r>
          </w:p>
        </w:tc>
        <w:tc>
          <w:tcPr>
            <w:tcW w:w="1440" w:type="dxa"/>
          </w:tcPr>
          <w:p w:rsidR="00284101" w:rsidRPr="00C11493" w:rsidRDefault="00284101" w:rsidP="00284101">
            <w:pPr>
              <w:pStyle w:val="TableBody"/>
              <w:spacing w:before="100" w:beforeAutospacing="1" w:after="100" w:afterAutospacing="1"/>
              <w:rPr>
                <w:sz w:val="22"/>
                <w:szCs w:val="22"/>
              </w:rPr>
            </w:pPr>
            <w:r w:rsidRPr="00C11493">
              <w:rPr>
                <w:sz w:val="22"/>
                <w:szCs w:val="22"/>
              </w:rPr>
              <w:t>60.000</w:t>
            </w:r>
          </w:p>
        </w:tc>
        <w:tc>
          <w:tcPr>
            <w:tcW w:w="1440" w:type="dxa"/>
          </w:tcPr>
          <w:p w:rsidR="00284101" w:rsidRPr="00C11493" w:rsidRDefault="00284101" w:rsidP="00284101">
            <w:pPr>
              <w:pStyle w:val="TableBody"/>
              <w:spacing w:before="100" w:beforeAutospacing="1" w:after="100" w:afterAutospacing="1"/>
              <w:rPr>
                <w:sz w:val="22"/>
                <w:szCs w:val="22"/>
              </w:rPr>
            </w:pPr>
            <w:r w:rsidRPr="00C11493">
              <w:rPr>
                <w:sz w:val="22"/>
                <w:szCs w:val="22"/>
              </w:rPr>
              <w:t>60.000</w:t>
            </w:r>
          </w:p>
        </w:tc>
        <w:tc>
          <w:tcPr>
            <w:tcW w:w="1440" w:type="dxa"/>
            <w:shd w:val="clear" w:color="auto" w:fill="auto"/>
            <w:tcMar>
              <w:top w:w="72" w:type="dxa"/>
              <w:left w:w="115" w:type="dxa"/>
              <w:bottom w:w="72" w:type="dxa"/>
              <w:right w:w="115" w:type="dxa"/>
            </w:tcMar>
          </w:tcPr>
          <w:p w:rsidR="00284101" w:rsidRPr="00C11493" w:rsidRDefault="00284101" w:rsidP="00284101">
            <w:pPr>
              <w:pStyle w:val="TableBody"/>
              <w:spacing w:before="100" w:beforeAutospacing="1" w:after="100" w:afterAutospacing="1"/>
              <w:rPr>
                <w:sz w:val="22"/>
                <w:szCs w:val="22"/>
              </w:rPr>
            </w:pPr>
            <w:r>
              <w:rPr>
                <w:sz w:val="22"/>
                <w:szCs w:val="22"/>
              </w:rPr>
              <w:t>–</w:t>
            </w:r>
          </w:p>
        </w:tc>
      </w:tr>
      <w:tr w:rsidR="00284101" w:rsidRPr="00C11493" w:rsidTr="00284101">
        <w:trPr>
          <w:cantSplit/>
          <w:jc w:val="center"/>
        </w:trPr>
        <w:tc>
          <w:tcPr>
            <w:tcW w:w="2547" w:type="dxa"/>
            <w:shd w:val="clear" w:color="auto" w:fill="E0E0E0"/>
            <w:tcMar>
              <w:top w:w="72" w:type="dxa"/>
              <w:left w:w="115" w:type="dxa"/>
              <w:bottom w:w="72" w:type="dxa"/>
              <w:right w:w="115" w:type="dxa"/>
            </w:tcMar>
            <w:vAlign w:val="center"/>
          </w:tcPr>
          <w:p w:rsidR="00284101" w:rsidRPr="00C11493" w:rsidRDefault="00284101" w:rsidP="00284101">
            <w:pPr>
              <w:pStyle w:val="TableBody"/>
              <w:spacing w:before="100" w:beforeAutospacing="1" w:after="100" w:afterAutospacing="1"/>
              <w:jc w:val="left"/>
              <w:rPr>
                <w:sz w:val="22"/>
                <w:szCs w:val="22"/>
              </w:rPr>
            </w:pPr>
            <w:r>
              <w:rPr>
                <w:sz w:val="22"/>
                <w:szCs w:val="22"/>
              </w:rPr>
              <w:t>Western</w:t>
            </w:r>
          </w:p>
        </w:tc>
        <w:tc>
          <w:tcPr>
            <w:tcW w:w="1440" w:type="dxa"/>
            <w:shd w:val="clear" w:color="auto" w:fill="E0E0E0"/>
          </w:tcPr>
          <w:p w:rsidR="00284101" w:rsidRPr="00C11493" w:rsidRDefault="00284101" w:rsidP="00284101">
            <w:pPr>
              <w:pStyle w:val="TableBody"/>
              <w:spacing w:before="100" w:beforeAutospacing="1" w:after="100" w:afterAutospacing="1"/>
              <w:rPr>
                <w:sz w:val="22"/>
                <w:szCs w:val="22"/>
              </w:rPr>
            </w:pPr>
            <w:r w:rsidRPr="00C11493">
              <w:rPr>
                <w:sz w:val="22"/>
                <w:szCs w:val="22"/>
              </w:rPr>
              <w:t>59.996</w:t>
            </w:r>
          </w:p>
        </w:tc>
        <w:tc>
          <w:tcPr>
            <w:tcW w:w="1440" w:type="dxa"/>
            <w:shd w:val="clear" w:color="auto" w:fill="E0E0E0"/>
          </w:tcPr>
          <w:p w:rsidR="00284101" w:rsidRPr="00C11493" w:rsidRDefault="00284101" w:rsidP="00284101">
            <w:pPr>
              <w:pStyle w:val="TableBody"/>
              <w:spacing w:before="100" w:beforeAutospacing="1" w:after="100" w:afterAutospacing="1"/>
              <w:rPr>
                <w:sz w:val="22"/>
                <w:szCs w:val="22"/>
              </w:rPr>
            </w:pPr>
            <w:r w:rsidRPr="00C11493">
              <w:rPr>
                <w:sz w:val="22"/>
                <w:szCs w:val="22"/>
              </w:rPr>
              <w:t>59.994</w:t>
            </w:r>
          </w:p>
        </w:tc>
        <w:tc>
          <w:tcPr>
            <w:tcW w:w="1440" w:type="dxa"/>
            <w:shd w:val="clear" w:color="auto" w:fill="E0E0E0"/>
            <w:tcMar>
              <w:top w:w="72" w:type="dxa"/>
              <w:left w:w="115" w:type="dxa"/>
              <w:bottom w:w="72" w:type="dxa"/>
              <w:right w:w="115" w:type="dxa"/>
            </w:tcMar>
          </w:tcPr>
          <w:p w:rsidR="00284101" w:rsidRPr="00C11493" w:rsidRDefault="00284101" w:rsidP="00284101">
            <w:pPr>
              <w:pStyle w:val="TableBody"/>
              <w:spacing w:before="100" w:beforeAutospacing="1" w:after="100" w:afterAutospacing="1"/>
              <w:rPr>
                <w:sz w:val="22"/>
                <w:szCs w:val="22"/>
              </w:rPr>
            </w:pPr>
            <w:r w:rsidRPr="00284101">
              <w:rPr>
                <w:color w:val="000000"/>
                <w:sz w:val="22"/>
                <w:szCs w:val="22"/>
              </w:rPr>
              <w:t>-0.002</w:t>
            </w:r>
          </w:p>
        </w:tc>
      </w:tr>
      <w:tr w:rsidR="00284101" w:rsidRPr="00284101" w:rsidTr="00284101">
        <w:trPr>
          <w:cantSplit/>
          <w:jc w:val="center"/>
        </w:trPr>
        <w:tc>
          <w:tcPr>
            <w:tcW w:w="2547" w:type="dxa"/>
            <w:shd w:val="clear" w:color="auto" w:fill="auto"/>
            <w:tcMar>
              <w:top w:w="72" w:type="dxa"/>
              <w:left w:w="115" w:type="dxa"/>
              <w:bottom w:w="72" w:type="dxa"/>
              <w:right w:w="115" w:type="dxa"/>
            </w:tcMar>
            <w:vAlign w:val="center"/>
          </w:tcPr>
          <w:p w:rsidR="00284101" w:rsidRPr="00284101" w:rsidRDefault="00284101" w:rsidP="00284101">
            <w:pPr>
              <w:pStyle w:val="TableBody"/>
              <w:spacing w:before="100" w:beforeAutospacing="1" w:after="100" w:afterAutospacing="1"/>
              <w:jc w:val="left"/>
              <w:rPr>
                <w:sz w:val="22"/>
                <w:szCs w:val="22"/>
              </w:rPr>
            </w:pPr>
            <w:r w:rsidRPr="00284101">
              <w:rPr>
                <w:sz w:val="22"/>
                <w:szCs w:val="22"/>
              </w:rPr>
              <w:t>ERCOT</w:t>
            </w:r>
          </w:p>
        </w:tc>
        <w:tc>
          <w:tcPr>
            <w:tcW w:w="1440" w:type="dxa"/>
            <w:vAlign w:val="center"/>
          </w:tcPr>
          <w:p w:rsidR="00284101" w:rsidRPr="00284101" w:rsidRDefault="00284101" w:rsidP="00284101">
            <w:pPr>
              <w:spacing w:before="100" w:beforeAutospacing="1" w:after="100" w:afterAutospacing="1"/>
              <w:jc w:val="center"/>
              <w:rPr>
                <w:color w:val="000000"/>
                <w:szCs w:val="22"/>
              </w:rPr>
            </w:pPr>
            <w:r w:rsidRPr="00C11493">
              <w:rPr>
                <w:szCs w:val="22"/>
              </w:rPr>
              <w:t>59.99</w:t>
            </w:r>
            <w:r>
              <w:rPr>
                <w:szCs w:val="22"/>
              </w:rPr>
              <w:t>4</w:t>
            </w:r>
          </w:p>
        </w:tc>
        <w:tc>
          <w:tcPr>
            <w:tcW w:w="1440" w:type="dxa"/>
            <w:vAlign w:val="center"/>
          </w:tcPr>
          <w:p w:rsidR="00284101" w:rsidRPr="00284101" w:rsidRDefault="00284101" w:rsidP="00284101">
            <w:pPr>
              <w:spacing w:before="100" w:beforeAutospacing="1" w:after="100" w:afterAutospacing="1"/>
              <w:jc w:val="center"/>
              <w:rPr>
                <w:color w:val="000000"/>
                <w:szCs w:val="22"/>
              </w:rPr>
            </w:pPr>
            <w:r w:rsidRPr="00C11493">
              <w:rPr>
                <w:szCs w:val="22"/>
              </w:rPr>
              <w:t>59.992</w:t>
            </w:r>
          </w:p>
        </w:tc>
        <w:tc>
          <w:tcPr>
            <w:tcW w:w="1440" w:type="dxa"/>
            <w:shd w:val="clear" w:color="auto" w:fill="auto"/>
            <w:tcMar>
              <w:top w:w="72" w:type="dxa"/>
              <w:left w:w="115" w:type="dxa"/>
              <w:bottom w:w="72" w:type="dxa"/>
              <w:right w:w="115" w:type="dxa"/>
            </w:tcMar>
            <w:vAlign w:val="center"/>
          </w:tcPr>
          <w:p w:rsidR="00284101" w:rsidRPr="00284101" w:rsidRDefault="00284101" w:rsidP="00284101">
            <w:pPr>
              <w:spacing w:before="100" w:beforeAutospacing="1" w:after="100" w:afterAutospacing="1"/>
              <w:jc w:val="center"/>
              <w:rPr>
                <w:color w:val="000000"/>
                <w:szCs w:val="22"/>
              </w:rPr>
            </w:pPr>
            <w:r w:rsidRPr="00284101">
              <w:rPr>
                <w:color w:val="000000"/>
                <w:szCs w:val="22"/>
              </w:rPr>
              <w:t>-0.002</w:t>
            </w:r>
          </w:p>
        </w:tc>
      </w:tr>
      <w:tr w:rsidR="00284101" w:rsidRPr="00284101" w:rsidTr="00284101">
        <w:trPr>
          <w:cantSplit/>
          <w:jc w:val="center"/>
        </w:trPr>
        <w:tc>
          <w:tcPr>
            <w:tcW w:w="2547" w:type="dxa"/>
            <w:shd w:val="clear" w:color="auto" w:fill="E0E0E0"/>
            <w:tcMar>
              <w:top w:w="72" w:type="dxa"/>
              <w:left w:w="115" w:type="dxa"/>
              <w:bottom w:w="72" w:type="dxa"/>
              <w:right w:w="115" w:type="dxa"/>
            </w:tcMar>
            <w:vAlign w:val="center"/>
          </w:tcPr>
          <w:p w:rsidR="00284101" w:rsidRPr="00284101" w:rsidRDefault="00284101" w:rsidP="00284101">
            <w:pPr>
              <w:pStyle w:val="TableBody"/>
              <w:spacing w:before="100" w:beforeAutospacing="1" w:after="100" w:afterAutospacing="1"/>
              <w:jc w:val="left"/>
              <w:rPr>
                <w:sz w:val="22"/>
                <w:szCs w:val="22"/>
              </w:rPr>
            </w:pPr>
            <w:r w:rsidRPr="00284101">
              <w:rPr>
                <w:rFonts w:cs="Arial"/>
                <w:sz w:val="22"/>
                <w:szCs w:val="22"/>
              </w:rPr>
              <w:t>Québec</w:t>
            </w:r>
            <w:r w:rsidRPr="00284101">
              <w:rPr>
                <w:sz w:val="22"/>
                <w:szCs w:val="22"/>
              </w:rPr>
              <w:t xml:space="preserve"> </w:t>
            </w:r>
          </w:p>
        </w:tc>
        <w:tc>
          <w:tcPr>
            <w:tcW w:w="1440" w:type="dxa"/>
            <w:shd w:val="clear" w:color="auto" w:fill="E0E0E0"/>
          </w:tcPr>
          <w:p w:rsidR="00284101" w:rsidRPr="00284101" w:rsidRDefault="00284101" w:rsidP="00284101">
            <w:pPr>
              <w:pStyle w:val="TableBody"/>
              <w:spacing w:before="100" w:beforeAutospacing="1" w:after="100" w:afterAutospacing="1"/>
              <w:rPr>
                <w:sz w:val="22"/>
                <w:szCs w:val="22"/>
              </w:rPr>
            </w:pPr>
            <w:r>
              <w:rPr>
                <w:sz w:val="22"/>
                <w:szCs w:val="22"/>
              </w:rPr>
              <w:t>59.980</w:t>
            </w:r>
          </w:p>
        </w:tc>
        <w:tc>
          <w:tcPr>
            <w:tcW w:w="1440" w:type="dxa"/>
            <w:shd w:val="clear" w:color="auto" w:fill="E0E0E0"/>
          </w:tcPr>
          <w:p w:rsidR="00284101" w:rsidRPr="00284101" w:rsidRDefault="00284101" w:rsidP="00284101">
            <w:pPr>
              <w:pStyle w:val="TableBody"/>
              <w:spacing w:before="100" w:beforeAutospacing="1" w:after="100" w:afterAutospacing="1"/>
              <w:rPr>
                <w:sz w:val="22"/>
                <w:szCs w:val="22"/>
              </w:rPr>
            </w:pPr>
            <w:r w:rsidRPr="00284101">
              <w:rPr>
                <w:sz w:val="22"/>
                <w:szCs w:val="22"/>
              </w:rPr>
              <w:t>59.9</w:t>
            </w:r>
            <w:r>
              <w:rPr>
                <w:sz w:val="22"/>
                <w:szCs w:val="22"/>
              </w:rPr>
              <w:t>8</w:t>
            </w:r>
            <w:r w:rsidRPr="00284101">
              <w:rPr>
                <w:sz w:val="22"/>
                <w:szCs w:val="22"/>
              </w:rPr>
              <w:t>2</w:t>
            </w:r>
          </w:p>
        </w:tc>
        <w:tc>
          <w:tcPr>
            <w:tcW w:w="1440" w:type="dxa"/>
            <w:shd w:val="clear" w:color="auto" w:fill="E0E0E0"/>
            <w:tcMar>
              <w:top w:w="72" w:type="dxa"/>
              <w:left w:w="115" w:type="dxa"/>
              <w:bottom w:w="72" w:type="dxa"/>
              <w:right w:w="115" w:type="dxa"/>
            </w:tcMar>
          </w:tcPr>
          <w:p w:rsidR="00284101" w:rsidRPr="00284101" w:rsidRDefault="00284101" w:rsidP="00284101">
            <w:pPr>
              <w:pStyle w:val="TableBody"/>
              <w:spacing w:before="100" w:beforeAutospacing="1" w:after="100" w:afterAutospacing="1"/>
              <w:rPr>
                <w:sz w:val="22"/>
                <w:szCs w:val="22"/>
              </w:rPr>
            </w:pPr>
            <w:r w:rsidRPr="00284101">
              <w:rPr>
                <w:color w:val="000000"/>
                <w:sz w:val="22"/>
                <w:szCs w:val="22"/>
              </w:rPr>
              <w:t>0.002</w:t>
            </w:r>
          </w:p>
        </w:tc>
      </w:tr>
      <w:tr w:rsidR="00284101" w:rsidRPr="00C11493" w:rsidTr="009E400A">
        <w:trPr>
          <w:cantSplit/>
          <w:jc w:val="center"/>
        </w:trPr>
        <w:tc>
          <w:tcPr>
            <w:tcW w:w="6867" w:type="dxa"/>
            <w:gridSpan w:val="4"/>
            <w:shd w:val="clear" w:color="auto" w:fill="8DB5DA"/>
            <w:tcMar>
              <w:top w:w="72" w:type="dxa"/>
              <w:left w:w="115" w:type="dxa"/>
              <w:bottom w:w="72" w:type="dxa"/>
              <w:right w:w="115" w:type="dxa"/>
            </w:tcMar>
          </w:tcPr>
          <w:p w:rsidR="00284101" w:rsidRPr="00C11493" w:rsidRDefault="00284101" w:rsidP="00284101">
            <w:pPr>
              <w:tabs>
                <w:tab w:val="left" w:pos="721"/>
              </w:tabs>
              <w:spacing w:before="100" w:beforeAutospacing="1" w:after="100" w:afterAutospacing="1"/>
              <w:jc w:val="center"/>
              <w:rPr>
                <w:szCs w:val="22"/>
              </w:rPr>
            </w:pPr>
            <w:r w:rsidRPr="00C11493">
              <w:rPr>
                <w:szCs w:val="22"/>
              </w:rPr>
              <w:t>Starting Frequencies</w:t>
            </w:r>
          </w:p>
        </w:tc>
      </w:tr>
      <w:tr w:rsidR="00284101" w:rsidRPr="00C11493" w:rsidTr="00284101">
        <w:trPr>
          <w:cantSplit/>
          <w:jc w:val="center"/>
        </w:trPr>
        <w:tc>
          <w:tcPr>
            <w:tcW w:w="2547" w:type="dxa"/>
            <w:shd w:val="clear" w:color="auto" w:fill="auto"/>
            <w:tcMar>
              <w:top w:w="72" w:type="dxa"/>
              <w:left w:w="115" w:type="dxa"/>
              <w:bottom w:w="72" w:type="dxa"/>
              <w:right w:w="115" w:type="dxa"/>
            </w:tcMar>
          </w:tcPr>
          <w:p w:rsidR="00284101" w:rsidRPr="00C11493" w:rsidRDefault="00284101" w:rsidP="00284101">
            <w:pPr>
              <w:pStyle w:val="TableBody"/>
              <w:spacing w:before="100" w:beforeAutospacing="1" w:after="100" w:afterAutospacing="1"/>
              <w:jc w:val="left"/>
              <w:rPr>
                <w:sz w:val="22"/>
                <w:szCs w:val="22"/>
              </w:rPr>
            </w:pPr>
            <w:r>
              <w:rPr>
                <w:sz w:val="22"/>
                <w:szCs w:val="22"/>
              </w:rPr>
              <w:t xml:space="preserve">Eastern </w:t>
            </w:r>
          </w:p>
        </w:tc>
        <w:tc>
          <w:tcPr>
            <w:tcW w:w="1440" w:type="dxa"/>
          </w:tcPr>
          <w:p w:rsidR="00284101" w:rsidRPr="00C11493" w:rsidRDefault="00284101" w:rsidP="00284101">
            <w:pPr>
              <w:pStyle w:val="TableBody"/>
              <w:spacing w:before="100" w:beforeAutospacing="1" w:after="100" w:afterAutospacing="1"/>
              <w:rPr>
                <w:sz w:val="22"/>
                <w:szCs w:val="22"/>
              </w:rPr>
            </w:pPr>
            <w:r w:rsidRPr="00C11493">
              <w:rPr>
                <w:sz w:val="22"/>
                <w:szCs w:val="22"/>
              </w:rPr>
              <w:t>59.974</w:t>
            </w:r>
          </w:p>
        </w:tc>
        <w:tc>
          <w:tcPr>
            <w:tcW w:w="1440" w:type="dxa"/>
          </w:tcPr>
          <w:p w:rsidR="00284101" w:rsidRPr="00C11493" w:rsidRDefault="00024ACF" w:rsidP="00284101">
            <w:pPr>
              <w:pStyle w:val="TableBody"/>
              <w:spacing w:before="100" w:beforeAutospacing="1" w:after="100" w:afterAutospacing="1"/>
              <w:rPr>
                <w:sz w:val="22"/>
                <w:szCs w:val="22"/>
              </w:rPr>
            </w:pPr>
            <w:r w:rsidRPr="00C11493">
              <w:rPr>
                <w:sz w:val="22"/>
                <w:szCs w:val="22"/>
              </w:rPr>
              <w:t>59.974</w:t>
            </w:r>
          </w:p>
        </w:tc>
        <w:tc>
          <w:tcPr>
            <w:tcW w:w="1440" w:type="dxa"/>
            <w:shd w:val="clear" w:color="auto" w:fill="auto"/>
            <w:tcMar>
              <w:top w:w="72" w:type="dxa"/>
              <w:left w:w="115" w:type="dxa"/>
              <w:bottom w:w="72" w:type="dxa"/>
              <w:right w:w="115" w:type="dxa"/>
            </w:tcMar>
          </w:tcPr>
          <w:p w:rsidR="00284101" w:rsidRPr="00C11493" w:rsidRDefault="00024ACF" w:rsidP="00284101">
            <w:pPr>
              <w:pStyle w:val="TableBody"/>
              <w:spacing w:before="100" w:beforeAutospacing="1" w:after="100" w:afterAutospacing="1"/>
              <w:rPr>
                <w:sz w:val="22"/>
                <w:szCs w:val="22"/>
              </w:rPr>
            </w:pPr>
            <w:r w:rsidRPr="00284101">
              <w:rPr>
                <w:rFonts w:asciiTheme="minorHAnsi" w:hAnsiTheme="minorHAnsi"/>
                <w:sz w:val="22"/>
                <w:szCs w:val="22"/>
              </w:rPr>
              <w:t>–</w:t>
            </w:r>
          </w:p>
        </w:tc>
      </w:tr>
      <w:tr w:rsidR="00284101" w:rsidRPr="00C11493" w:rsidTr="009E400A">
        <w:trPr>
          <w:cantSplit/>
          <w:jc w:val="center"/>
        </w:trPr>
        <w:tc>
          <w:tcPr>
            <w:tcW w:w="2547" w:type="dxa"/>
            <w:shd w:val="clear" w:color="auto" w:fill="E0E0E0"/>
            <w:tcMar>
              <w:top w:w="72" w:type="dxa"/>
              <w:left w:w="115" w:type="dxa"/>
              <w:bottom w:w="72" w:type="dxa"/>
              <w:right w:w="115" w:type="dxa"/>
            </w:tcMar>
            <w:vAlign w:val="center"/>
          </w:tcPr>
          <w:p w:rsidR="00284101" w:rsidRPr="00C11493" w:rsidRDefault="00284101" w:rsidP="00284101">
            <w:pPr>
              <w:pStyle w:val="TableBody"/>
              <w:spacing w:before="100" w:beforeAutospacing="1" w:after="100" w:afterAutospacing="1"/>
              <w:jc w:val="left"/>
              <w:rPr>
                <w:sz w:val="22"/>
                <w:szCs w:val="22"/>
              </w:rPr>
            </w:pPr>
            <w:r>
              <w:rPr>
                <w:sz w:val="22"/>
                <w:szCs w:val="22"/>
              </w:rPr>
              <w:t>Western</w:t>
            </w:r>
          </w:p>
        </w:tc>
        <w:tc>
          <w:tcPr>
            <w:tcW w:w="1440" w:type="dxa"/>
            <w:shd w:val="clear" w:color="auto" w:fill="E0E0E0"/>
            <w:vAlign w:val="center"/>
          </w:tcPr>
          <w:p w:rsidR="00284101" w:rsidRPr="00C11493" w:rsidRDefault="00024ACF" w:rsidP="00284101">
            <w:pPr>
              <w:pStyle w:val="TableBody"/>
              <w:spacing w:before="100" w:beforeAutospacing="1" w:after="100" w:afterAutospacing="1"/>
              <w:rPr>
                <w:sz w:val="22"/>
                <w:szCs w:val="22"/>
              </w:rPr>
            </w:pPr>
            <w:r w:rsidRPr="00C11493">
              <w:rPr>
                <w:sz w:val="22"/>
                <w:szCs w:val="22"/>
              </w:rPr>
              <w:t>59.971</w:t>
            </w:r>
          </w:p>
        </w:tc>
        <w:tc>
          <w:tcPr>
            <w:tcW w:w="1440" w:type="dxa"/>
            <w:shd w:val="clear" w:color="auto" w:fill="E0E0E0"/>
            <w:vAlign w:val="center"/>
          </w:tcPr>
          <w:p w:rsidR="00284101" w:rsidRPr="00C11493" w:rsidRDefault="00284101" w:rsidP="00284101">
            <w:pPr>
              <w:pStyle w:val="TableBody"/>
              <w:spacing w:before="100" w:beforeAutospacing="1" w:after="100" w:afterAutospacing="1"/>
              <w:rPr>
                <w:sz w:val="22"/>
                <w:szCs w:val="22"/>
              </w:rPr>
            </w:pPr>
            <w:r w:rsidRPr="00C11493">
              <w:rPr>
                <w:sz w:val="22"/>
                <w:szCs w:val="22"/>
              </w:rPr>
              <w:t>59.968</w:t>
            </w:r>
          </w:p>
        </w:tc>
        <w:tc>
          <w:tcPr>
            <w:tcW w:w="1440" w:type="dxa"/>
            <w:shd w:val="clear" w:color="auto" w:fill="E0E0E0"/>
            <w:tcMar>
              <w:top w:w="72" w:type="dxa"/>
              <w:left w:w="115" w:type="dxa"/>
              <w:bottom w:w="72" w:type="dxa"/>
              <w:right w:w="115" w:type="dxa"/>
            </w:tcMar>
            <w:vAlign w:val="center"/>
          </w:tcPr>
          <w:p w:rsidR="00284101" w:rsidRPr="00C11493" w:rsidRDefault="00024ACF" w:rsidP="00284101">
            <w:pPr>
              <w:pStyle w:val="TableBody"/>
              <w:spacing w:before="100" w:beforeAutospacing="1" w:after="100" w:afterAutospacing="1"/>
              <w:rPr>
                <w:sz w:val="22"/>
                <w:szCs w:val="22"/>
              </w:rPr>
            </w:pPr>
            <w:r w:rsidRPr="00284101">
              <w:rPr>
                <w:sz w:val="22"/>
                <w:szCs w:val="22"/>
              </w:rPr>
              <w:t>-0.003</w:t>
            </w:r>
          </w:p>
        </w:tc>
      </w:tr>
      <w:tr w:rsidR="00284101" w:rsidRPr="00284101" w:rsidTr="009E400A">
        <w:trPr>
          <w:cantSplit/>
          <w:jc w:val="center"/>
        </w:trPr>
        <w:tc>
          <w:tcPr>
            <w:tcW w:w="2547" w:type="dxa"/>
            <w:shd w:val="clear" w:color="auto" w:fill="auto"/>
            <w:tcMar>
              <w:top w:w="72" w:type="dxa"/>
              <w:left w:w="115" w:type="dxa"/>
              <w:bottom w:w="72" w:type="dxa"/>
              <w:right w:w="115" w:type="dxa"/>
            </w:tcMar>
            <w:vAlign w:val="center"/>
          </w:tcPr>
          <w:p w:rsidR="00284101" w:rsidRPr="00284101" w:rsidRDefault="00284101" w:rsidP="00284101">
            <w:pPr>
              <w:pStyle w:val="TableBody"/>
              <w:spacing w:before="100" w:beforeAutospacing="1" w:after="100" w:afterAutospacing="1"/>
              <w:jc w:val="left"/>
              <w:rPr>
                <w:sz w:val="22"/>
                <w:szCs w:val="22"/>
              </w:rPr>
            </w:pPr>
            <w:r w:rsidRPr="00284101">
              <w:rPr>
                <w:sz w:val="22"/>
                <w:szCs w:val="22"/>
              </w:rPr>
              <w:t>ERCOT</w:t>
            </w:r>
          </w:p>
        </w:tc>
        <w:tc>
          <w:tcPr>
            <w:tcW w:w="1440" w:type="dxa"/>
            <w:vAlign w:val="center"/>
          </w:tcPr>
          <w:p w:rsidR="00284101" w:rsidRPr="00284101" w:rsidRDefault="00024ACF" w:rsidP="00024ACF">
            <w:pPr>
              <w:pStyle w:val="TableBody"/>
              <w:spacing w:before="100" w:beforeAutospacing="1" w:after="100" w:afterAutospacing="1"/>
              <w:rPr>
                <w:sz w:val="22"/>
                <w:szCs w:val="22"/>
              </w:rPr>
            </w:pPr>
            <w:r w:rsidRPr="00C11493">
              <w:rPr>
                <w:sz w:val="22"/>
                <w:szCs w:val="22"/>
              </w:rPr>
              <w:t>59.964</w:t>
            </w:r>
          </w:p>
        </w:tc>
        <w:tc>
          <w:tcPr>
            <w:tcW w:w="1440" w:type="dxa"/>
            <w:vAlign w:val="center"/>
          </w:tcPr>
          <w:p w:rsidR="00284101" w:rsidRPr="00284101" w:rsidRDefault="00024ACF" w:rsidP="00284101">
            <w:pPr>
              <w:pStyle w:val="TableBody"/>
              <w:spacing w:before="100" w:beforeAutospacing="1" w:after="100" w:afterAutospacing="1"/>
              <w:rPr>
                <w:sz w:val="22"/>
                <w:szCs w:val="22"/>
              </w:rPr>
            </w:pPr>
            <w:r w:rsidRPr="00C11493">
              <w:rPr>
                <w:sz w:val="22"/>
                <w:szCs w:val="22"/>
              </w:rPr>
              <w:t>59.965</w:t>
            </w:r>
          </w:p>
        </w:tc>
        <w:tc>
          <w:tcPr>
            <w:tcW w:w="1440" w:type="dxa"/>
            <w:shd w:val="clear" w:color="auto" w:fill="auto"/>
            <w:tcMar>
              <w:top w:w="72" w:type="dxa"/>
              <w:left w:w="115" w:type="dxa"/>
              <w:bottom w:w="72" w:type="dxa"/>
              <w:right w:w="115" w:type="dxa"/>
            </w:tcMar>
            <w:vAlign w:val="center"/>
          </w:tcPr>
          <w:p w:rsidR="00284101" w:rsidRPr="00284101" w:rsidRDefault="00284101" w:rsidP="00284101">
            <w:pPr>
              <w:pStyle w:val="TableBody"/>
              <w:spacing w:before="100" w:beforeAutospacing="1" w:after="100" w:afterAutospacing="1"/>
              <w:rPr>
                <w:sz w:val="22"/>
                <w:szCs w:val="22"/>
              </w:rPr>
            </w:pPr>
            <w:r w:rsidRPr="00284101">
              <w:rPr>
                <w:sz w:val="22"/>
                <w:szCs w:val="22"/>
              </w:rPr>
              <w:t>0.001</w:t>
            </w:r>
          </w:p>
        </w:tc>
      </w:tr>
      <w:tr w:rsidR="00284101" w:rsidRPr="00C11493" w:rsidTr="00284101">
        <w:trPr>
          <w:cantSplit/>
          <w:jc w:val="center"/>
        </w:trPr>
        <w:tc>
          <w:tcPr>
            <w:tcW w:w="2547" w:type="dxa"/>
            <w:shd w:val="clear" w:color="auto" w:fill="E0E0E0"/>
            <w:tcMar>
              <w:top w:w="72" w:type="dxa"/>
              <w:left w:w="115" w:type="dxa"/>
              <w:bottom w:w="72" w:type="dxa"/>
              <w:right w:w="115" w:type="dxa"/>
            </w:tcMar>
            <w:vAlign w:val="center"/>
          </w:tcPr>
          <w:p w:rsidR="00284101" w:rsidRPr="00C11493" w:rsidRDefault="00284101" w:rsidP="00284101">
            <w:pPr>
              <w:pStyle w:val="TableBody"/>
              <w:spacing w:before="100" w:beforeAutospacing="1" w:after="100" w:afterAutospacing="1"/>
              <w:jc w:val="left"/>
              <w:rPr>
                <w:sz w:val="22"/>
                <w:szCs w:val="22"/>
              </w:rPr>
            </w:pPr>
            <w:r w:rsidRPr="00E03F43">
              <w:rPr>
                <w:rFonts w:cs="Arial"/>
                <w:sz w:val="22"/>
                <w:szCs w:val="22"/>
              </w:rPr>
              <w:t>Québec</w:t>
            </w:r>
            <w:r w:rsidRPr="00E03F43">
              <w:rPr>
                <w:sz w:val="22"/>
                <w:szCs w:val="22"/>
              </w:rPr>
              <w:t xml:space="preserve"> </w:t>
            </w:r>
          </w:p>
        </w:tc>
        <w:tc>
          <w:tcPr>
            <w:tcW w:w="1440" w:type="dxa"/>
            <w:shd w:val="clear" w:color="auto" w:fill="E0E0E0"/>
            <w:vAlign w:val="center"/>
          </w:tcPr>
          <w:p w:rsidR="00284101" w:rsidRPr="00C11493" w:rsidRDefault="00024ACF" w:rsidP="00284101">
            <w:pPr>
              <w:pStyle w:val="TableBody"/>
              <w:spacing w:before="100" w:beforeAutospacing="1" w:after="100" w:afterAutospacing="1"/>
              <w:rPr>
                <w:sz w:val="22"/>
                <w:szCs w:val="22"/>
              </w:rPr>
            </w:pPr>
            <w:r w:rsidRPr="00C11493">
              <w:rPr>
                <w:sz w:val="22"/>
                <w:szCs w:val="22"/>
              </w:rPr>
              <w:t>59.968</w:t>
            </w:r>
          </w:p>
        </w:tc>
        <w:tc>
          <w:tcPr>
            <w:tcW w:w="1440" w:type="dxa"/>
            <w:shd w:val="clear" w:color="auto" w:fill="E0E0E0"/>
            <w:vAlign w:val="center"/>
          </w:tcPr>
          <w:p w:rsidR="00284101" w:rsidRPr="00C11493" w:rsidRDefault="00024ACF" w:rsidP="00284101">
            <w:pPr>
              <w:pStyle w:val="TableBody"/>
              <w:spacing w:before="100" w:beforeAutospacing="1" w:after="100" w:afterAutospacing="1"/>
              <w:rPr>
                <w:sz w:val="22"/>
                <w:szCs w:val="22"/>
              </w:rPr>
            </w:pPr>
            <w:r w:rsidRPr="00C11493">
              <w:rPr>
                <w:sz w:val="22"/>
                <w:szCs w:val="22"/>
              </w:rPr>
              <w:t>59.968</w:t>
            </w:r>
          </w:p>
        </w:tc>
        <w:tc>
          <w:tcPr>
            <w:tcW w:w="1440" w:type="dxa"/>
            <w:shd w:val="clear" w:color="auto" w:fill="E0E0E0"/>
            <w:tcMar>
              <w:top w:w="72" w:type="dxa"/>
              <w:left w:w="115" w:type="dxa"/>
              <w:bottom w:w="72" w:type="dxa"/>
              <w:right w:w="115" w:type="dxa"/>
            </w:tcMar>
            <w:vAlign w:val="center"/>
          </w:tcPr>
          <w:p w:rsidR="00284101" w:rsidRPr="00C11493" w:rsidRDefault="00024ACF" w:rsidP="00284101">
            <w:pPr>
              <w:pStyle w:val="TableBody"/>
              <w:spacing w:before="100" w:beforeAutospacing="1" w:after="100" w:afterAutospacing="1"/>
              <w:rPr>
                <w:sz w:val="22"/>
                <w:szCs w:val="22"/>
              </w:rPr>
            </w:pPr>
            <w:r w:rsidRPr="00284101">
              <w:rPr>
                <w:rFonts w:asciiTheme="minorHAnsi" w:hAnsiTheme="minorHAnsi"/>
                <w:sz w:val="22"/>
                <w:szCs w:val="22"/>
              </w:rPr>
              <w:t>–</w:t>
            </w:r>
          </w:p>
        </w:tc>
      </w:tr>
    </w:tbl>
    <w:p w:rsidR="00E03F43" w:rsidRDefault="00E03F43" w:rsidP="00435108"/>
    <w:p w:rsidR="007B7172" w:rsidRDefault="007B7172" w:rsidP="00435108">
      <w:pPr>
        <w:sectPr w:rsidR="007B7172" w:rsidSect="00607521">
          <w:pgSz w:w="12240" w:h="15840" w:code="1"/>
          <w:pgMar w:top="1008" w:right="1080" w:bottom="1080" w:left="1080" w:header="720" w:footer="432" w:gutter="0"/>
          <w:cols w:space="720"/>
          <w:titlePg/>
          <w:docGrid w:linePitch="360"/>
        </w:sectPr>
      </w:pPr>
    </w:p>
    <w:p w:rsidR="007B7172" w:rsidRDefault="007B7172" w:rsidP="007B7172">
      <w:pPr>
        <w:pStyle w:val="Heading1"/>
      </w:pPr>
      <w:bookmarkStart w:id="14" w:name="_Toc408812262"/>
      <w:r w:rsidRPr="007B7172">
        <w:t>Determination of Interconnection Frequency Response Obligations (IFROs)</w:t>
      </w:r>
      <w:bookmarkEnd w:id="14"/>
    </w:p>
    <w:p w:rsidR="007B7172" w:rsidRDefault="007B7172" w:rsidP="007B7172">
      <w:pPr>
        <w:pStyle w:val="Heading2"/>
      </w:pPr>
      <w:bookmarkStart w:id="15" w:name="_Toc408812263"/>
      <w:r>
        <w:t>Tenets of IFRO</w:t>
      </w:r>
      <w:bookmarkEnd w:id="15"/>
    </w:p>
    <w:p w:rsidR="007B7172" w:rsidRDefault="007B7172" w:rsidP="007B7172">
      <w:r>
        <w:t>The IFRO is the minimum amount of Frequency Response that must be maintained by an interconnection. Each Balancing Authority (BA) in the interconnection should be allocated a portion of the IFRO that represents its minimum responsibility. To be sustainable, BAs that may be susceptible to islanding may need to carry additional frequency-responsive reserves to coordinate with their underfrequency load shedding (UFLS) plans for islanded operation.</w:t>
      </w:r>
    </w:p>
    <w:p w:rsidR="007B7172" w:rsidRDefault="007B7172" w:rsidP="007B7172"/>
    <w:p w:rsidR="007B7172" w:rsidRDefault="007B7172" w:rsidP="007B7172">
      <w:r>
        <w:t>A number of methods to assign the Frequency Response targets for each interconnection can be considered. Initially, the following tenets should be applied:</w:t>
      </w:r>
    </w:p>
    <w:p w:rsidR="00C97A54" w:rsidRDefault="00C97A54" w:rsidP="007B7172"/>
    <w:p w:rsidR="007B7172" w:rsidRDefault="007B7172" w:rsidP="00866C29">
      <w:pPr>
        <w:pStyle w:val="ListParagraph"/>
        <w:numPr>
          <w:ilvl w:val="0"/>
          <w:numId w:val="19"/>
        </w:numPr>
      </w:pPr>
      <w:r>
        <w:t>A frequency event should not trip the first stage of regionally approved UFLS systems within the interconnection.</w:t>
      </w:r>
    </w:p>
    <w:p w:rsidR="007B7172" w:rsidRDefault="007B7172" w:rsidP="00866C29">
      <w:pPr>
        <w:pStyle w:val="ListParagraph"/>
        <w:numPr>
          <w:ilvl w:val="0"/>
          <w:numId w:val="19"/>
        </w:numPr>
      </w:pPr>
      <w:r>
        <w:t>Local tripping of first-stage UFLS systems for severe frequency excursions, particularly those associated with protracted faults or on systems on the edge of an interconnection, may be unavoidable.</w:t>
      </w:r>
    </w:p>
    <w:p w:rsidR="007B7172" w:rsidRDefault="007B7172" w:rsidP="00866C29">
      <w:pPr>
        <w:pStyle w:val="ListParagraph"/>
        <w:numPr>
          <w:ilvl w:val="0"/>
          <w:numId w:val="19"/>
        </w:numPr>
      </w:pPr>
      <w:r>
        <w:t>Other frequency-sensitive loads or electronically coupled resources may trip during such frequency events (as is the case for photovoltaic inverters in the Western Interconnection).</w:t>
      </w:r>
    </w:p>
    <w:p w:rsidR="007B7172" w:rsidRDefault="007B7172" w:rsidP="00866C29">
      <w:pPr>
        <w:pStyle w:val="ListParagraph"/>
        <w:numPr>
          <w:ilvl w:val="0"/>
          <w:numId w:val="19"/>
        </w:numPr>
      </w:pPr>
      <w:r>
        <w:t>It may be necessary in the future to consider other susceptible frequency sensitivities (e.g., electronically coupled load common-mode sensitivities).</w:t>
      </w:r>
    </w:p>
    <w:p w:rsidR="007B7172" w:rsidRDefault="007B7172" w:rsidP="007B7172"/>
    <w:p w:rsidR="007B7172" w:rsidRDefault="007B7172" w:rsidP="007B7172">
      <w:r>
        <w:t>UFLS is intended to be a safety net to prevent system collapse from severe contingencies. Conceptually, that safety net should not be violated for frequency events that happen on a relatively regular basis. As such, the resource loss protection criteria were selected through the Frequency Response Initiative 2012 analysis to avoid violating regionally approved UFLS settings.</w:t>
      </w:r>
    </w:p>
    <w:p w:rsidR="007B7172" w:rsidRDefault="007B7172" w:rsidP="00435108"/>
    <w:p w:rsidR="007B7172" w:rsidRDefault="007B7172" w:rsidP="007B7172">
      <w:pPr>
        <w:pStyle w:val="Heading2"/>
      </w:pPr>
      <w:bookmarkStart w:id="16" w:name="_Toc408812264"/>
      <w:r>
        <w:t>IFRO Formulae</w:t>
      </w:r>
      <w:bookmarkEnd w:id="16"/>
    </w:p>
    <w:p w:rsidR="007B7172" w:rsidRDefault="007B7172" w:rsidP="007B7172">
      <w:r>
        <w:t>The following are the formulae that comprise the calculation of the IFROs.</w:t>
      </w:r>
    </w:p>
    <w:p w:rsidR="007B7172" w:rsidRDefault="007B7172" w:rsidP="007B7172"/>
    <w:p w:rsidR="007B7172" w:rsidRDefault="00FB52B0" w:rsidP="007B7172">
      <w:pPr>
        <w:pStyle w:val="BodyText"/>
      </w:pPr>
      <m:oMathPara>
        <m:oMath>
          <m:sSub>
            <m:sSubPr>
              <m:ctrlPr>
                <w:rPr>
                  <w:rFonts w:ascii="Cambria Math" w:hAnsi="Cambria Math"/>
                  <w:i/>
                </w:rPr>
              </m:ctrlPr>
            </m:sSubPr>
            <m:e>
              <m:r>
                <w:rPr>
                  <w:rFonts w:ascii="Cambria Math" w:hAnsi="Cambria Math"/>
                </w:rPr>
                <m:t>DF</m:t>
              </m:r>
            </m:e>
            <m:sub>
              <m:r>
                <w:rPr>
                  <w:rFonts w:ascii="Cambria Math" w:hAnsi="Cambria Math"/>
                </w:rPr>
                <m:t>Base</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Start</m:t>
              </m:r>
            </m:sub>
          </m:sSub>
          <m:r>
            <w:rPr>
              <w:rFonts w:ascii="Cambria Math" w:hAnsi="Cambria Math"/>
            </w:rPr>
            <m:t>- UFLS</m:t>
          </m:r>
        </m:oMath>
      </m:oMathPara>
    </w:p>
    <w:p w:rsidR="007B7172" w:rsidRDefault="00FB52B0" w:rsidP="007B7172">
      <w:pPr>
        <w:pStyle w:val="BodyText"/>
      </w:pPr>
      <m:oMathPara>
        <m:oMath>
          <m:sSub>
            <m:sSubPr>
              <m:ctrlPr>
                <w:rPr>
                  <w:rFonts w:ascii="Cambria Math" w:hAnsi="Cambria Math"/>
                  <w:i/>
                </w:rPr>
              </m:ctrlPr>
            </m:sSubPr>
            <m:e>
              <m:r>
                <w:rPr>
                  <w:rFonts w:ascii="Cambria Math" w:hAnsi="Cambria Math"/>
                </w:rPr>
                <m:t>DF</m:t>
              </m:r>
            </m:e>
            <m:sub>
              <m:r>
                <w:rPr>
                  <w:rFonts w:ascii="Cambria Math" w:hAnsi="Cambria Math"/>
                </w:rPr>
                <m:t>CC</m:t>
              </m:r>
            </m:sub>
          </m:sSub>
          <m:r>
            <w:rPr>
              <w:rFonts w:ascii="Cambria Math" w:hAnsi="Cambria Math"/>
            </w:rPr>
            <m:t xml:space="preserve">= </m:t>
          </m:r>
          <m:sSub>
            <m:sSubPr>
              <m:ctrlPr>
                <w:rPr>
                  <w:rFonts w:ascii="Cambria Math" w:hAnsi="Cambria Math"/>
                  <w:i/>
                </w:rPr>
              </m:ctrlPr>
            </m:sSubPr>
            <m:e>
              <m:r>
                <w:rPr>
                  <w:rFonts w:ascii="Cambria Math" w:hAnsi="Cambria Math"/>
                </w:rPr>
                <m:t>DF</m:t>
              </m:r>
            </m:e>
            <m:sub>
              <m:r>
                <w:rPr>
                  <w:rFonts w:ascii="Cambria Math" w:hAnsi="Cambria Math"/>
                </w:rPr>
                <m:t>Base</m:t>
              </m:r>
            </m:sub>
          </m:sSub>
          <m:r>
            <w:rPr>
              <w:rFonts w:ascii="Cambria Math" w:hAnsi="Cambria Math"/>
            </w:rPr>
            <m:t xml:space="preserve">- </m:t>
          </m:r>
          <m:sSub>
            <m:sSubPr>
              <m:ctrlPr>
                <w:rPr>
                  <w:rFonts w:ascii="Cambria Math" w:hAnsi="Cambria Math"/>
                  <w:i/>
                </w:rPr>
              </m:ctrlPr>
            </m:sSubPr>
            <m:e>
              <m:r>
                <w:rPr>
                  <w:rFonts w:ascii="Cambria Math" w:hAnsi="Cambria Math"/>
                </w:rPr>
                <m:t>CC</m:t>
              </m:r>
            </m:e>
            <m:sub>
              <m:r>
                <w:rPr>
                  <w:rFonts w:ascii="Cambria Math" w:hAnsi="Cambria Math"/>
                </w:rPr>
                <m:t>Adj</m:t>
              </m:r>
            </m:sub>
          </m:sSub>
        </m:oMath>
      </m:oMathPara>
    </w:p>
    <w:p w:rsidR="007B7172" w:rsidRDefault="00FB52B0" w:rsidP="007B7172">
      <w:pPr>
        <w:pStyle w:val="BodyText"/>
      </w:pPr>
      <m:oMathPara>
        <m:oMath>
          <m:sSub>
            <m:sSubPr>
              <m:ctrlPr>
                <w:rPr>
                  <w:rFonts w:ascii="Cambria Math" w:hAnsi="Cambria Math"/>
                  <w:i/>
                </w:rPr>
              </m:ctrlPr>
            </m:sSubPr>
            <m:e>
              <m:r>
                <w:rPr>
                  <w:rFonts w:ascii="Cambria Math" w:hAnsi="Cambria Math"/>
                </w:rPr>
                <m:t>DF</m:t>
              </m:r>
            </m:e>
            <m:sub>
              <m:r>
                <w:rPr>
                  <w:rFonts w:ascii="Cambria Math" w:hAnsi="Cambria Math"/>
                </w:rPr>
                <m:t>CBR</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DF</m:t>
                  </m:r>
                </m:e>
                <m:sub>
                  <m:r>
                    <w:rPr>
                      <w:rFonts w:ascii="Cambria Math" w:hAnsi="Cambria Math"/>
                    </w:rPr>
                    <m:t>CC</m:t>
                  </m:r>
                </m:sub>
              </m:sSub>
            </m:num>
            <m:den>
              <m:sSub>
                <m:sSubPr>
                  <m:ctrlPr>
                    <w:rPr>
                      <w:rFonts w:ascii="Cambria Math" w:hAnsi="Cambria Math"/>
                      <w:i/>
                    </w:rPr>
                  </m:ctrlPr>
                </m:sSubPr>
                <m:e>
                  <m:r>
                    <w:rPr>
                      <w:rFonts w:ascii="Cambria Math" w:hAnsi="Cambria Math"/>
                    </w:rPr>
                    <m:t>CB</m:t>
                  </m:r>
                </m:e>
                <m:sub>
                  <m:r>
                    <w:rPr>
                      <w:rFonts w:ascii="Cambria Math" w:hAnsi="Cambria Math"/>
                    </w:rPr>
                    <m:t>R</m:t>
                  </m:r>
                </m:sub>
              </m:sSub>
            </m:den>
          </m:f>
        </m:oMath>
      </m:oMathPara>
    </w:p>
    <w:p w:rsidR="007B7172" w:rsidRDefault="007B7172" w:rsidP="007B7172">
      <w:pPr>
        <w:pStyle w:val="BodyText"/>
      </w:pPr>
      <m:oMathPara>
        <m:oMath>
          <m:r>
            <w:rPr>
              <w:rFonts w:ascii="Cambria Math" w:hAnsi="Cambria Math"/>
            </w:rPr>
            <m:t xml:space="preserve">MDF= </m:t>
          </m:r>
          <m:sSub>
            <m:sSubPr>
              <m:ctrlPr>
                <w:rPr>
                  <w:rFonts w:ascii="Cambria Math" w:hAnsi="Cambria Math"/>
                  <w:i/>
                </w:rPr>
              </m:ctrlPr>
            </m:sSubPr>
            <m:e>
              <m:r>
                <w:rPr>
                  <w:rFonts w:ascii="Cambria Math" w:hAnsi="Cambria Math"/>
                </w:rPr>
                <m:t>DF</m:t>
              </m:r>
            </m:e>
            <m:sub>
              <m:r>
                <w:rPr>
                  <w:rFonts w:ascii="Cambria Math" w:hAnsi="Cambria Math"/>
                </w:rPr>
                <m:t>CBR</m:t>
              </m:r>
            </m:sub>
          </m:sSub>
          <m:r>
            <w:rPr>
              <w:rFonts w:ascii="Cambria Math" w:hAnsi="Cambria Math"/>
            </w:rPr>
            <m:t xml:space="preserve">- </m:t>
          </m:r>
          <m:sSub>
            <m:sSubPr>
              <m:ctrlPr>
                <w:rPr>
                  <w:rFonts w:ascii="Cambria Math" w:hAnsi="Cambria Math"/>
                  <w:i/>
                </w:rPr>
              </m:ctrlPr>
            </m:sSubPr>
            <m:e>
              <m:r>
                <w:rPr>
                  <w:rFonts w:ascii="Cambria Math" w:hAnsi="Cambria Math"/>
                </w:rPr>
                <m:t>BC'</m:t>
              </m:r>
            </m:e>
            <m:sub>
              <m:r>
                <w:rPr>
                  <w:rFonts w:ascii="Cambria Math" w:hAnsi="Cambria Math"/>
                </w:rPr>
                <m:t>Adj</m:t>
              </m:r>
            </m:sub>
          </m:sSub>
        </m:oMath>
      </m:oMathPara>
    </w:p>
    <w:p w:rsidR="007B7172" w:rsidRDefault="007B7172" w:rsidP="007B7172">
      <w:pPr>
        <w:pStyle w:val="BodyText"/>
      </w:pPr>
      <m:oMathPara>
        <m:oMath>
          <m:r>
            <w:rPr>
              <w:rFonts w:ascii="Cambria Math" w:hAnsi="Cambria Math"/>
            </w:rPr>
            <m:t>ARLPC=RLPC-CLR</m:t>
          </m:r>
        </m:oMath>
      </m:oMathPara>
    </w:p>
    <w:p w:rsidR="007B7172" w:rsidRDefault="007B7172" w:rsidP="007B7172">
      <w:pPr>
        <w:pStyle w:val="BodyText"/>
      </w:pPr>
      <m:oMathPara>
        <m:oMath>
          <m:r>
            <w:rPr>
              <w:rFonts w:ascii="Cambria Math" w:hAnsi="Cambria Math"/>
            </w:rPr>
            <m:t xml:space="preserve">IFRO= </m:t>
          </m:r>
          <m:f>
            <m:fPr>
              <m:ctrlPr>
                <w:rPr>
                  <w:rFonts w:ascii="Cambria Math" w:hAnsi="Cambria Math"/>
                  <w:i/>
                </w:rPr>
              </m:ctrlPr>
            </m:fPr>
            <m:num>
              <m:r>
                <w:rPr>
                  <w:rFonts w:ascii="Cambria Math" w:hAnsi="Cambria Math"/>
                </w:rPr>
                <m:t>ARLPC</m:t>
              </m:r>
            </m:num>
            <m:den>
              <m:r>
                <w:rPr>
                  <w:rFonts w:ascii="Cambria Math" w:hAnsi="Cambria Math"/>
                </w:rPr>
                <m:t>MDF</m:t>
              </m:r>
            </m:den>
          </m:f>
        </m:oMath>
      </m:oMathPara>
    </w:p>
    <w:p w:rsidR="007B7172" w:rsidRDefault="007B7172" w:rsidP="007B7172">
      <w:r>
        <w:t>Where:</w:t>
      </w:r>
    </w:p>
    <w:p w:rsidR="007B7172" w:rsidRDefault="007B7172" w:rsidP="00866C29">
      <w:pPr>
        <w:pStyle w:val="ListParagraph"/>
        <w:numPr>
          <w:ilvl w:val="0"/>
          <w:numId w:val="21"/>
        </w:numPr>
      </w:pPr>
      <w:r>
        <w:t>DF</w:t>
      </w:r>
      <w:r w:rsidRPr="007B7172">
        <w:rPr>
          <w:vertAlign w:val="subscript"/>
        </w:rPr>
        <w:t>Base</w:t>
      </w:r>
      <w:r>
        <w:t xml:space="preserve"> is the base delta frequency.</w:t>
      </w:r>
    </w:p>
    <w:p w:rsidR="007B7172" w:rsidRDefault="007B7172" w:rsidP="00866C29">
      <w:pPr>
        <w:pStyle w:val="ListParagraph"/>
        <w:numPr>
          <w:ilvl w:val="0"/>
          <w:numId w:val="21"/>
        </w:numPr>
      </w:pPr>
      <w:r>
        <w:t>F</w:t>
      </w:r>
      <w:r w:rsidRPr="007B7172">
        <w:rPr>
          <w:vertAlign w:val="subscript"/>
        </w:rPr>
        <w:t>Start</w:t>
      </w:r>
      <w:r>
        <w:t xml:space="preserve"> is the starting frequency determined by the statistical analysis.</w:t>
      </w:r>
    </w:p>
    <w:p w:rsidR="007B7172" w:rsidRDefault="007B7172" w:rsidP="00866C29">
      <w:pPr>
        <w:pStyle w:val="ListParagraph"/>
        <w:numPr>
          <w:ilvl w:val="0"/>
          <w:numId w:val="21"/>
        </w:numPr>
      </w:pPr>
      <w:r>
        <w:t>UFLS is the highest UFLS trip set point for the interconnection.</w:t>
      </w:r>
    </w:p>
    <w:p w:rsidR="007B7172" w:rsidRDefault="007B7172" w:rsidP="00866C29">
      <w:pPr>
        <w:pStyle w:val="ListParagraph"/>
        <w:numPr>
          <w:ilvl w:val="0"/>
          <w:numId w:val="21"/>
        </w:numPr>
      </w:pPr>
      <w:r>
        <w:t>CC</w:t>
      </w:r>
      <w:r w:rsidRPr="007B7172">
        <w:rPr>
          <w:vertAlign w:val="subscript"/>
        </w:rPr>
        <w:t>ADJ</w:t>
      </w:r>
      <w:r>
        <w:t xml:space="preserve"> is the adjustment for the differences between one-second and sub-second Point C observations for frequency events. A positive value indicates that the sub-second C data is lower than the one-second data.</w:t>
      </w:r>
    </w:p>
    <w:p w:rsidR="007B7172" w:rsidRDefault="007B7172" w:rsidP="00866C29">
      <w:pPr>
        <w:pStyle w:val="ListParagraph"/>
        <w:numPr>
          <w:ilvl w:val="0"/>
          <w:numId w:val="20"/>
        </w:numPr>
      </w:pPr>
      <w:r>
        <w:t>DF</w:t>
      </w:r>
      <w:r w:rsidRPr="007B7172">
        <w:rPr>
          <w:vertAlign w:val="subscript"/>
        </w:rPr>
        <w:t>CC</w:t>
      </w:r>
      <w:r>
        <w:t xml:space="preserve"> is the delta frequency adjusted for the differences between one-second and sub-second Point C observations for frequency events.</w:t>
      </w:r>
    </w:p>
    <w:p w:rsidR="007B7172" w:rsidRDefault="007B7172" w:rsidP="00866C29">
      <w:pPr>
        <w:pStyle w:val="ListParagraph"/>
        <w:numPr>
          <w:ilvl w:val="0"/>
          <w:numId w:val="20"/>
        </w:numPr>
      </w:pPr>
      <w:r>
        <w:t>CB</w:t>
      </w:r>
      <w:r w:rsidRPr="007B7172">
        <w:rPr>
          <w:vertAlign w:val="subscript"/>
        </w:rPr>
        <w:t>R</w:t>
      </w:r>
      <w:r>
        <w:t xml:space="preserve"> is the statistically determined ratio of the Point C to Value B.</w:t>
      </w:r>
    </w:p>
    <w:p w:rsidR="007B7172" w:rsidRDefault="007B7172" w:rsidP="00866C29">
      <w:pPr>
        <w:pStyle w:val="ListParagraph"/>
        <w:numPr>
          <w:ilvl w:val="0"/>
          <w:numId w:val="20"/>
        </w:numPr>
      </w:pPr>
      <w:r>
        <w:t>DF</w:t>
      </w:r>
      <w:r w:rsidRPr="007B7172">
        <w:rPr>
          <w:vertAlign w:val="subscript"/>
        </w:rPr>
        <w:t>CBR</w:t>
      </w:r>
      <w:r>
        <w:t xml:space="preserve"> is the delta frequency adjusted for the ratio of Point C to Value B.</w:t>
      </w:r>
    </w:p>
    <w:p w:rsidR="007B7172" w:rsidRDefault="007B7172" w:rsidP="00866C29">
      <w:pPr>
        <w:pStyle w:val="ListParagraph"/>
        <w:numPr>
          <w:ilvl w:val="0"/>
          <w:numId w:val="20"/>
        </w:numPr>
      </w:pPr>
      <w:r>
        <w:t>BC'</w:t>
      </w:r>
      <w:r w:rsidRPr="007B7172">
        <w:rPr>
          <w:vertAlign w:val="subscript"/>
        </w:rPr>
        <w:t>ADJ</w:t>
      </w:r>
      <w:r>
        <w:t xml:space="preserve"> is the statistically determined adjustment for the event nadir occurring below the Value B (Eastern Interconnection only) during primary frequency response withdrawal.</w:t>
      </w:r>
    </w:p>
    <w:p w:rsidR="007B7172" w:rsidRDefault="007B7172" w:rsidP="00866C29">
      <w:pPr>
        <w:pStyle w:val="ListParagraph"/>
        <w:numPr>
          <w:ilvl w:val="0"/>
          <w:numId w:val="20"/>
        </w:numPr>
      </w:pPr>
      <w:r>
        <w:t>MDF is the maximum allowable delta frequency.</w:t>
      </w:r>
    </w:p>
    <w:p w:rsidR="007B7172" w:rsidRDefault="007B7172" w:rsidP="00866C29">
      <w:pPr>
        <w:pStyle w:val="ListParagraph"/>
        <w:numPr>
          <w:ilvl w:val="0"/>
          <w:numId w:val="20"/>
        </w:numPr>
      </w:pPr>
      <w:r>
        <w:t>RLPC is the resource loss protection criteria.</w:t>
      </w:r>
    </w:p>
    <w:p w:rsidR="007B7172" w:rsidRDefault="007B7172" w:rsidP="00866C29">
      <w:pPr>
        <w:pStyle w:val="ListParagraph"/>
        <w:numPr>
          <w:ilvl w:val="0"/>
          <w:numId w:val="20"/>
        </w:numPr>
      </w:pPr>
      <w:r>
        <w:t>CLR is the credit for load resources.</w:t>
      </w:r>
    </w:p>
    <w:p w:rsidR="007B7172" w:rsidRDefault="007B7172" w:rsidP="00866C29">
      <w:pPr>
        <w:pStyle w:val="ListParagraph"/>
        <w:numPr>
          <w:ilvl w:val="0"/>
          <w:numId w:val="20"/>
        </w:numPr>
      </w:pPr>
      <w:r>
        <w:t>ARLPC is the adjusted resource loss protection criteria adjusted for the credit for load resources.</w:t>
      </w:r>
    </w:p>
    <w:p w:rsidR="007B7172" w:rsidRDefault="007B7172" w:rsidP="00866C29">
      <w:pPr>
        <w:pStyle w:val="ListParagraph"/>
        <w:numPr>
          <w:ilvl w:val="0"/>
          <w:numId w:val="20"/>
        </w:numPr>
      </w:pPr>
      <w:r>
        <w:t>IFRO is the interconnection Frequency Response obligation.</w:t>
      </w:r>
    </w:p>
    <w:p w:rsidR="007B7172" w:rsidRDefault="007B7172" w:rsidP="007B7172"/>
    <w:p w:rsidR="007B7172" w:rsidRDefault="007B7172" w:rsidP="007B7172">
      <w:pPr>
        <w:pStyle w:val="Heading2"/>
      </w:pPr>
      <w:bookmarkStart w:id="17" w:name="_Toc408812265"/>
      <w:r>
        <w:t>Determination of Adjustment Factors</w:t>
      </w:r>
      <w:bookmarkEnd w:id="17"/>
    </w:p>
    <w:p w:rsidR="007B7172" w:rsidRDefault="007B7172" w:rsidP="007B7172"/>
    <w:p w:rsidR="0073556D" w:rsidRDefault="0073556D" w:rsidP="0073556D">
      <w:pPr>
        <w:pStyle w:val="Heading3"/>
      </w:pPr>
      <w:bookmarkStart w:id="18" w:name="_Toc408812266"/>
      <w:r>
        <w:t>Adjustment for Differences between Value B and Point C (CB</w:t>
      </w:r>
      <w:r w:rsidRPr="002511AF">
        <w:rPr>
          <w:vertAlign w:val="subscript"/>
        </w:rPr>
        <w:t>R</w:t>
      </w:r>
      <w:r>
        <w:t>)</w:t>
      </w:r>
      <w:bookmarkEnd w:id="18"/>
    </w:p>
    <w:p w:rsidR="0073556D" w:rsidRDefault="0073556D" w:rsidP="0073556D">
      <w:r>
        <w:t xml:space="preserve">All of the calculations of the IFRO are based on avoiding instantaneous or time-delayed tripping of the highest set point (step) of UFLS, either for the initial nadir (Point C), or for any lower frequency that might occur during the frequency event. The frequency variance analysis in the previous section of this report is based on one-second </w:t>
      </w:r>
      <w:r w:rsidRPr="005C14A3">
        <w:t>data from January 201</w:t>
      </w:r>
      <w:r>
        <w:t>1</w:t>
      </w:r>
      <w:r w:rsidRPr="005C14A3">
        <w:t xml:space="preserve"> through May 2014.</w:t>
      </w:r>
    </w:p>
    <w:p w:rsidR="0073556D" w:rsidRDefault="0073556D" w:rsidP="0073556D"/>
    <w:p w:rsidR="0073556D" w:rsidRDefault="0073556D" w:rsidP="0073556D">
      <w:r>
        <w:t>As a practical matter, the ability to measure the tie line and loads for the BAs is limited to supervisory control and data acquisition (SCADA) scan-rate data of 1–6 seconds. Therefore, the ability to measure Frequency Response of the BAs is still limited by the SCADA scan rates available to calculate Value B.</w:t>
      </w:r>
    </w:p>
    <w:p w:rsidR="0073556D" w:rsidRDefault="0073556D" w:rsidP="0073556D"/>
    <w:p w:rsidR="0073556D" w:rsidRDefault="0073556D" w:rsidP="0073556D">
      <w:r>
        <w:t xml:space="preserve">Candidate events from the ALR1-12 Interconnection Frequency Response selection process for Frequency Response analysis were used to analyze the relationship between Value B and Point C for the significant frequency </w:t>
      </w:r>
      <w:r w:rsidRPr="005C14A3">
        <w:t>disturbances from January 2011 through May 2014. This sample set was selected because data was available for</w:t>
      </w:r>
      <w:r>
        <w:t xml:space="preserve"> the analysis on a consistent basis. This resulted in the number of events shown in Table </w:t>
      </w:r>
      <w:r w:rsidR="000B637A">
        <w:t>7</w:t>
      </w:r>
      <w:r>
        <w:t>.</w:t>
      </w:r>
    </w:p>
    <w:p w:rsidR="0073556D" w:rsidRDefault="0073556D" w:rsidP="0073556D"/>
    <w:p w:rsidR="0073556D" w:rsidRDefault="0073556D" w:rsidP="0073556D">
      <w:pPr>
        <w:pStyle w:val="Heading4"/>
      </w:pPr>
      <w:r>
        <w:t>Analysis Method</w:t>
      </w:r>
    </w:p>
    <w:p w:rsidR="0073556D" w:rsidRDefault="0073556D" w:rsidP="0073556D">
      <w:r>
        <w:t>The IFRO is the minimum performance level that the BAs in an interconnection must meet through their collective Frequency Response to a change in frequency. This response is also related to the function of the Frequency Bias Setting in the area control error (ACE) equation of the BAs for the longer term. The ACE equation looks at the difference between scheduled frequency and actual frequency, times the Frequency Bias Setting to estimate the amount of megawatts that are being provided by load and generation within the BA. If the actual frequency is equal to the scheduled frequency, the Frequency Bias component of ACE must be zero.</w:t>
      </w:r>
    </w:p>
    <w:p w:rsidR="0073556D" w:rsidRDefault="0073556D" w:rsidP="0073556D"/>
    <w:p w:rsidR="0073556D" w:rsidRDefault="0073556D" w:rsidP="0073556D">
      <w:r>
        <w:t>When evaluating some physical systems, the nature of the system and the data resulting from measurements derived from that system do not fit the standard linear regression methods that allow for both a slope and an intercept for the regression line. In those cases, it is better to use a linear regression technique that represents the system correctly.</w:t>
      </w:r>
    </w:p>
    <w:p w:rsidR="0073556D" w:rsidRDefault="0073556D" w:rsidP="0073556D"/>
    <w:p w:rsidR="0073556D" w:rsidRDefault="0073556D" w:rsidP="0073556D">
      <w:r>
        <w:t>Since the IFRO is ultimately a projection of how the interconnection is expected to respond to changes in frequency related to a change in megawatts (resource loss or load loss), there should be no expectation of Frequency Response without an attendant change in megawatts. It is this relationship that indicates the appropriateness of using regression with a forced fit through zero.</w:t>
      </w:r>
    </w:p>
    <w:p w:rsidR="0073556D" w:rsidRDefault="0073556D" w:rsidP="0073556D"/>
    <w:p w:rsidR="0073556D" w:rsidRDefault="0073556D" w:rsidP="0073556D">
      <w:pPr>
        <w:pStyle w:val="Heading4"/>
      </w:pPr>
      <w:r>
        <w:t>Determination of C-to-B Ratio (CB</w:t>
      </w:r>
      <w:r w:rsidRPr="008A005C">
        <w:rPr>
          <w:vertAlign w:val="subscript"/>
        </w:rPr>
        <w:t>R</w:t>
      </w:r>
      <w:r>
        <w:t>)</w:t>
      </w:r>
    </w:p>
    <w:p w:rsidR="0073556D" w:rsidRDefault="0073556D" w:rsidP="0073556D">
      <w:r>
        <w:t>The evaluation of data to determine the C-to-B ratio (CB</w:t>
      </w:r>
      <w:r w:rsidRPr="002511AF">
        <w:rPr>
          <w:vertAlign w:val="subscript"/>
        </w:rPr>
        <w:t>R</w:t>
      </w:r>
      <w:r>
        <w:t>) to account for the differences between arrested Frequency Response (to the nadir, Point C) and settled Frequency Response (Value B) is also based on a physical representation of the electrical system. Evaluation of this system requires investigation of the meaning of an intercept. The CB</w:t>
      </w:r>
      <w:r w:rsidRPr="002511AF">
        <w:rPr>
          <w:vertAlign w:val="subscript"/>
        </w:rPr>
        <w:t>R</w:t>
      </w:r>
      <w:r>
        <w:t xml:space="preserve"> is defined as the difference between the pre-disturbance frequency and the frequency at the maximum deviation in post-disturbance frequency, divided by the difference between the pre-disturbance frequency and the settled post-disturbance frequency. </w:t>
      </w:r>
    </w:p>
    <w:p w:rsidR="0073556D" w:rsidRDefault="0073556D" w:rsidP="0073556D"/>
    <w:p w:rsidR="0073556D" w:rsidRDefault="00FB52B0" w:rsidP="0073556D">
      <w:pPr>
        <w:pStyle w:val="BodyText"/>
      </w:pPr>
      <m:oMathPara>
        <m:oMath>
          <m:sSub>
            <m:sSubPr>
              <m:ctrlPr>
                <w:rPr>
                  <w:rFonts w:ascii="Cambria Math" w:hAnsi="Cambria Math"/>
                  <w:i/>
                </w:rPr>
              </m:ctrlPr>
            </m:sSubPr>
            <m:e>
              <m:r>
                <w:rPr>
                  <w:rFonts w:ascii="Cambria Math" w:hAnsi="Cambria Math"/>
                </w:rPr>
                <m:t>CB</m:t>
              </m:r>
            </m:e>
            <m:sub>
              <m:r>
                <w:rPr>
                  <w:rFonts w:ascii="Cambria Math" w:hAnsi="Cambria Math"/>
                </w:rPr>
                <m:t>R</m:t>
              </m:r>
            </m:sub>
          </m:sSub>
          <m:r>
            <w:rPr>
              <w:rFonts w:ascii="Cambria Math" w:hAnsi="Cambria Math"/>
            </w:rPr>
            <m:t xml:space="preserve">= </m:t>
          </m:r>
          <m:f>
            <m:fPr>
              <m:ctrlPr>
                <w:rPr>
                  <w:rFonts w:ascii="Cambria Math" w:hAnsi="Cambria Math"/>
                  <w:i/>
                </w:rPr>
              </m:ctrlPr>
            </m:fPr>
            <m:num>
              <m:r>
                <w:rPr>
                  <w:rFonts w:ascii="Cambria Math" w:hAnsi="Cambria Math"/>
                </w:rPr>
                <m:t>Value A-Point C</m:t>
              </m:r>
            </m:num>
            <m:den>
              <m:r>
                <w:rPr>
                  <w:rFonts w:ascii="Cambria Math" w:hAnsi="Cambria Math"/>
                </w:rPr>
                <m:t>Value A-Value B</m:t>
              </m:r>
            </m:den>
          </m:f>
        </m:oMath>
      </m:oMathPara>
    </w:p>
    <w:p w:rsidR="0073556D" w:rsidRDefault="0073556D" w:rsidP="0073556D">
      <w:r>
        <w:t>A stable physical system requires the ratio to be positive; a negative ratio indicates frequency instability or recovery of frequency greater than the initial deviation. The CB</w:t>
      </w:r>
      <w:r w:rsidRPr="0073556D">
        <w:rPr>
          <w:vertAlign w:val="subscript"/>
        </w:rPr>
        <w:t>R</w:t>
      </w:r>
      <w:r>
        <w:t xml:space="preserve"> adjusted for confidence (Table 7) should be used to compensate for the differences between Point C and Value B.</w:t>
      </w:r>
    </w:p>
    <w:p w:rsidR="0073556D" w:rsidRDefault="0073556D" w:rsidP="0073556D"/>
    <w:tbl>
      <w:tblPr>
        <w:tblW w:w="8965"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CellMar>
          <w:left w:w="0" w:type="dxa"/>
          <w:right w:w="0" w:type="dxa"/>
        </w:tblCellMar>
        <w:tblLook w:val="04A0" w:firstRow="1" w:lastRow="0" w:firstColumn="1" w:lastColumn="0" w:noHBand="0" w:noVBand="1"/>
      </w:tblPr>
      <w:tblGrid>
        <w:gridCol w:w="1620"/>
        <w:gridCol w:w="1350"/>
        <w:gridCol w:w="919"/>
        <w:gridCol w:w="1260"/>
        <w:gridCol w:w="1890"/>
        <w:gridCol w:w="1926"/>
      </w:tblGrid>
      <w:tr w:rsidR="0073556D" w:rsidRPr="00C11493" w:rsidTr="009E400A">
        <w:trPr>
          <w:trHeight w:val="432"/>
          <w:jc w:val="center"/>
        </w:trPr>
        <w:tc>
          <w:tcPr>
            <w:tcW w:w="8965" w:type="dxa"/>
            <w:gridSpan w:val="6"/>
            <w:shd w:val="clear" w:color="auto" w:fill="264D74"/>
            <w:vAlign w:val="center"/>
          </w:tcPr>
          <w:p w:rsidR="0073556D" w:rsidRPr="00C11493" w:rsidRDefault="0073556D" w:rsidP="0073556D">
            <w:pPr>
              <w:pStyle w:val="TableBody"/>
              <w:spacing w:before="20" w:after="20"/>
              <w:rPr>
                <w:noProof/>
                <w:sz w:val="22"/>
                <w:szCs w:val="22"/>
              </w:rPr>
            </w:pPr>
            <w:r w:rsidRPr="00C11493">
              <w:rPr>
                <w:rFonts w:cs="Arial"/>
                <w:b/>
                <w:color w:val="FFFFFF"/>
                <w:sz w:val="22"/>
                <w:szCs w:val="22"/>
              </w:rPr>
              <w:t xml:space="preserve">Table </w:t>
            </w:r>
            <w:r>
              <w:rPr>
                <w:rFonts w:cs="Arial"/>
                <w:b/>
                <w:color w:val="FFFFFF"/>
                <w:sz w:val="22"/>
                <w:szCs w:val="22"/>
              </w:rPr>
              <w:t>7</w:t>
            </w:r>
            <w:r w:rsidRPr="00C11493">
              <w:rPr>
                <w:rFonts w:cs="Arial"/>
                <w:b/>
                <w:color w:val="FFFFFF"/>
                <w:sz w:val="22"/>
                <w:szCs w:val="22"/>
              </w:rPr>
              <w:t>: Analysis of Value B and Point C (CB</w:t>
            </w:r>
            <w:r w:rsidRPr="00C11493">
              <w:rPr>
                <w:rFonts w:cs="Arial"/>
                <w:b/>
                <w:color w:val="FFFFFF"/>
                <w:sz w:val="22"/>
                <w:szCs w:val="22"/>
                <w:vertAlign w:val="subscript"/>
              </w:rPr>
              <w:t>R</w:t>
            </w:r>
            <w:r w:rsidRPr="00C11493">
              <w:rPr>
                <w:rFonts w:cs="Arial"/>
                <w:b/>
                <w:color w:val="FFFFFF"/>
                <w:sz w:val="22"/>
                <w:szCs w:val="22"/>
              </w:rPr>
              <w:t>)</w:t>
            </w:r>
          </w:p>
        </w:tc>
      </w:tr>
      <w:tr w:rsidR="0073556D" w:rsidRPr="00C11493" w:rsidTr="009E400A">
        <w:trPr>
          <w:trHeight w:val="674"/>
          <w:jc w:val="center"/>
        </w:trPr>
        <w:tc>
          <w:tcPr>
            <w:tcW w:w="1620" w:type="dxa"/>
            <w:shd w:val="clear" w:color="auto" w:fill="8DB5DA"/>
            <w:vAlign w:val="center"/>
            <w:hideMark/>
          </w:tcPr>
          <w:p w:rsidR="0073556D" w:rsidRPr="00C11493" w:rsidRDefault="0073556D" w:rsidP="009E400A">
            <w:pPr>
              <w:pStyle w:val="TableBody"/>
              <w:spacing w:before="20" w:after="20"/>
              <w:rPr>
                <w:rFonts w:eastAsiaTheme="majorEastAsia" w:cstheme="majorBidi"/>
                <w:bCs/>
                <w:iCs/>
                <w:noProof/>
                <w:color w:val="102540" w:themeColor="accent1" w:themeShade="7F"/>
                <w:sz w:val="22"/>
                <w:szCs w:val="22"/>
              </w:rPr>
            </w:pPr>
            <w:r w:rsidRPr="00C11493">
              <w:rPr>
                <w:noProof/>
                <w:sz w:val="22"/>
                <w:szCs w:val="22"/>
              </w:rPr>
              <w:t>Interconnection</w:t>
            </w:r>
          </w:p>
        </w:tc>
        <w:tc>
          <w:tcPr>
            <w:tcW w:w="1350" w:type="dxa"/>
            <w:shd w:val="clear" w:color="auto" w:fill="8DB5DA"/>
            <w:vAlign w:val="center"/>
            <w:hideMark/>
          </w:tcPr>
          <w:p w:rsidR="0073556D" w:rsidRPr="00C11493" w:rsidRDefault="0073556D" w:rsidP="009E400A">
            <w:pPr>
              <w:pStyle w:val="TableBody"/>
              <w:spacing w:before="20" w:after="20"/>
              <w:rPr>
                <w:rFonts w:eastAsiaTheme="majorEastAsia" w:cstheme="majorBidi"/>
                <w:bCs/>
                <w:iCs/>
                <w:noProof/>
                <w:color w:val="102540" w:themeColor="accent1" w:themeShade="7F"/>
                <w:sz w:val="22"/>
                <w:szCs w:val="22"/>
              </w:rPr>
            </w:pPr>
            <w:r w:rsidRPr="00C11493">
              <w:rPr>
                <w:noProof/>
                <w:sz w:val="22"/>
                <w:szCs w:val="22"/>
              </w:rPr>
              <w:t>Events Analyzed</w:t>
            </w:r>
          </w:p>
        </w:tc>
        <w:tc>
          <w:tcPr>
            <w:tcW w:w="919" w:type="dxa"/>
            <w:shd w:val="clear" w:color="auto" w:fill="8DB5DA"/>
            <w:vAlign w:val="center"/>
          </w:tcPr>
          <w:p w:rsidR="0073556D" w:rsidRPr="00C11493" w:rsidRDefault="0073556D" w:rsidP="009E400A">
            <w:pPr>
              <w:pStyle w:val="TableBody"/>
              <w:spacing w:before="20" w:after="20"/>
              <w:rPr>
                <w:rFonts w:eastAsiaTheme="majorEastAsia" w:cstheme="majorBidi"/>
                <w:bCs/>
                <w:iCs/>
                <w:noProof/>
                <w:color w:val="102540" w:themeColor="accent1" w:themeShade="7F"/>
                <w:sz w:val="22"/>
                <w:szCs w:val="22"/>
              </w:rPr>
            </w:pPr>
            <w:r w:rsidRPr="00C11493">
              <w:rPr>
                <w:noProof/>
                <w:sz w:val="22"/>
                <w:szCs w:val="22"/>
              </w:rPr>
              <w:t>Mean</w:t>
            </w:r>
          </w:p>
        </w:tc>
        <w:tc>
          <w:tcPr>
            <w:tcW w:w="1260" w:type="dxa"/>
            <w:shd w:val="clear" w:color="auto" w:fill="8DB5DA"/>
            <w:vAlign w:val="center"/>
          </w:tcPr>
          <w:p w:rsidR="0073556D" w:rsidRPr="00C11493" w:rsidRDefault="0073556D" w:rsidP="009E400A">
            <w:pPr>
              <w:pStyle w:val="TableBody"/>
              <w:spacing w:before="20" w:after="20"/>
              <w:rPr>
                <w:rFonts w:eastAsiaTheme="majorEastAsia" w:cstheme="majorBidi"/>
                <w:bCs/>
                <w:iCs/>
                <w:noProof/>
                <w:color w:val="102540" w:themeColor="accent1" w:themeShade="7F"/>
                <w:sz w:val="22"/>
                <w:szCs w:val="22"/>
              </w:rPr>
            </w:pPr>
            <w:r w:rsidRPr="00C11493">
              <w:rPr>
                <w:noProof/>
                <w:sz w:val="22"/>
                <w:szCs w:val="22"/>
              </w:rPr>
              <w:t>Standard Deviation</w:t>
            </w:r>
          </w:p>
        </w:tc>
        <w:tc>
          <w:tcPr>
            <w:tcW w:w="1890" w:type="dxa"/>
            <w:shd w:val="clear" w:color="auto" w:fill="8DB5DA"/>
          </w:tcPr>
          <w:p w:rsidR="0073556D" w:rsidRPr="00C11493" w:rsidRDefault="0073556D" w:rsidP="009E400A">
            <w:pPr>
              <w:pStyle w:val="TableBody"/>
              <w:spacing w:before="20" w:after="20"/>
              <w:rPr>
                <w:noProof/>
                <w:sz w:val="22"/>
                <w:szCs w:val="22"/>
              </w:rPr>
            </w:pPr>
            <w:r w:rsidRPr="00C11493">
              <w:rPr>
                <w:noProof/>
                <w:sz w:val="22"/>
                <w:szCs w:val="22"/>
              </w:rPr>
              <w:t>CB</w:t>
            </w:r>
            <w:r w:rsidRPr="00C11493">
              <w:rPr>
                <w:noProof/>
                <w:sz w:val="22"/>
                <w:szCs w:val="22"/>
                <w:vertAlign w:val="subscript"/>
              </w:rPr>
              <w:t>R</w:t>
            </w:r>
            <w:r w:rsidRPr="00C11493">
              <w:rPr>
                <w:noProof/>
                <w:sz w:val="22"/>
                <w:szCs w:val="22"/>
                <w:vertAlign w:val="subscript"/>
              </w:rPr>
              <w:br/>
            </w:r>
            <w:r w:rsidRPr="00C11493">
              <w:rPr>
                <w:noProof/>
                <w:sz w:val="22"/>
                <w:szCs w:val="22"/>
              </w:rPr>
              <w:t>95% Confidence</w:t>
            </w:r>
          </w:p>
        </w:tc>
        <w:tc>
          <w:tcPr>
            <w:tcW w:w="1926" w:type="dxa"/>
            <w:shd w:val="clear" w:color="auto" w:fill="8DB5DA"/>
            <w:vAlign w:val="center"/>
          </w:tcPr>
          <w:p w:rsidR="0073556D" w:rsidRPr="00C11493" w:rsidRDefault="0073556D" w:rsidP="009E400A">
            <w:pPr>
              <w:pStyle w:val="TableBody"/>
              <w:spacing w:before="20" w:after="20"/>
              <w:rPr>
                <w:rFonts w:eastAsiaTheme="majorEastAsia" w:cstheme="majorBidi"/>
                <w:bCs/>
                <w:iCs/>
                <w:noProof/>
                <w:color w:val="102540" w:themeColor="accent1" w:themeShade="7F"/>
                <w:sz w:val="22"/>
                <w:szCs w:val="22"/>
              </w:rPr>
            </w:pPr>
            <w:r w:rsidRPr="00C11493">
              <w:rPr>
                <w:noProof/>
                <w:sz w:val="22"/>
                <w:szCs w:val="22"/>
              </w:rPr>
              <w:t>CB</w:t>
            </w:r>
            <w:r w:rsidRPr="00C11493">
              <w:rPr>
                <w:noProof/>
                <w:sz w:val="22"/>
                <w:szCs w:val="22"/>
                <w:vertAlign w:val="subscript"/>
              </w:rPr>
              <w:t xml:space="preserve">R </w:t>
            </w:r>
            <w:r w:rsidRPr="00C11493">
              <w:rPr>
                <w:noProof/>
                <w:sz w:val="22"/>
                <w:szCs w:val="22"/>
              </w:rPr>
              <w:t>Adjusted for Confidence</w:t>
            </w:r>
          </w:p>
        </w:tc>
      </w:tr>
      <w:tr w:rsidR="0073556D" w:rsidRPr="00C11493" w:rsidTr="009E400A">
        <w:trPr>
          <w:trHeight w:val="300"/>
          <w:jc w:val="center"/>
        </w:trPr>
        <w:tc>
          <w:tcPr>
            <w:tcW w:w="1620" w:type="dxa"/>
            <w:shd w:val="clear" w:color="auto" w:fill="auto"/>
            <w:vAlign w:val="center"/>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Eastern</w:t>
            </w:r>
          </w:p>
        </w:tc>
        <w:tc>
          <w:tcPr>
            <w:tcW w:w="1350" w:type="dxa"/>
            <w:shd w:val="clear" w:color="auto" w:fill="auto"/>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158</w:t>
            </w:r>
          </w:p>
        </w:tc>
        <w:tc>
          <w:tcPr>
            <w:tcW w:w="919"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0.954</w:t>
            </w:r>
          </w:p>
        </w:tc>
        <w:tc>
          <w:tcPr>
            <w:tcW w:w="1260"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0.193</w:t>
            </w:r>
          </w:p>
        </w:tc>
        <w:tc>
          <w:tcPr>
            <w:tcW w:w="1890"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0.025</w:t>
            </w:r>
          </w:p>
        </w:tc>
        <w:tc>
          <w:tcPr>
            <w:tcW w:w="1926" w:type="dxa"/>
            <w:vAlign w:val="center"/>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1.000 (0.979)</w:t>
            </w:r>
            <w:r w:rsidRPr="00C11493">
              <w:rPr>
                <w:rStyle w:val="FootnoteReference"/>
                <w:noProof/>
                <w:sz w:val="22"/>
                <w:szCs w:val="22"/>
              </w:rPr>
              <w:footnoteReference w:id="17"/>
            </w:r>
          </w:p>
        </w:tc>
      </w:tr>
      <w:tr w:rsidR="0073556D" w:rsidRPr="00C11493" w:rsidTr="009E400A">
        <w:trPr>
          <w:trHeight w:val="300"/>
          <w:jc w:val="center"/>
        </w:trPr>
        <w:tc>
          <w:tcPr>
            <w:tcW w:w="1620" w:type="dxa"/>
            <w:shd w:val="clear" w:color="auto" w:fill="E0E0E0"/>
            <w:vAlign w:val="center"/>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Western</w:t>
            </w:r>
          </w:p>
        </w:tc>
        <w:tc>
          <w:tcPr>
            <w:tcW w:w="1350" w:type="dxa"/>
            <w:shd w:val="clear" w:color="auto" w:fill="E0E0E0"/>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79</w:t>
            </w:r>
          </w:p>
        </w:tc>
        <w:tc>
          <w:tcPr>
            <w:tcW w:w="919" w:type="dxa"/>
            <w:shd w:val="clear" w:color="auto" w:fill="E0E0E0"/>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1.607</w:t>
            </w:r>
          </w:p>
        </w:tc>
        <w:tc>
          <w:tcPr>
            <w:tcW w:w="1260" w:type="dxa"/>
            <w:shd w:val="clear" w:color="auto" w:fill="E0E0E0"/>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0.348</w:t>
            </w:r>
          </w:p>
        </w:tc>
        <w:tc>
          <w:tcPr>
            <w:tcW w:w="1890" w:type="dxa"/>
            <w:shd w:val="clear" w:color="auto" w:fill="E0E0E0"/>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0.065</w:t>
            </w:r>
          </w:p>
        </w:tc>
        <w:tc>
          <w:tcPr>
            <w:tcW w:w="1926" w:type="dxa"/>
            <w:shd w:val="clear" w:color="auto" w:fill="E0E0E0"/>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1.672</w:t>
            </w:r>
          </w:p>
        </w:tc>
      </w:tr>
      <w:tr w:rsidR="0073556D" w:rsidRPr="00C11493" w:rsidTr="009E400A">
        <w:trPr>
          <w:trHeight w:val="300"/>
          <w:jc w:val="center"/>
        </w:trPr>
        <w:tc>
          <w:tcPr>
            <w:tcW w:w="1620" w:type="dxa"/>
            <w:shd w:val="clear" w:color="auto" w:fill="auto"/>
            <w:vAlign w:val="center"/>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ERCOT</w:t>
            </w:r>
          </w:p>
        </w:tc>
        <w:tc>
          <w:tcPr>
            <w:tcW w:w="1350" w:type="dxa"/>
            <w:shd w:val="clear" w:color="auto" w:fill="auto"/>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169</w:t>
            </w:r>
          </w:p>
        </w:tc>
        <w:tc>
          <w:tcPr>
            <w:tcW w:w="919"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1.548</w:t>
            </w:r>
          </w:p>
        </w:tc>
        <w:tc>
          <w:tcPr>
            <w:tcW w:w="1260"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1.200</w:t>
            </w:r>
          </w:p>
        </w:tc>
        <w:tc>
          <w:tcPr>
            <w:tcW w:w="1890"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0.153</w:t>
            </w:r>
          </w:p>
        </w:tc>
        <w:tc>
          <w:tcPr>
            <w:tcW w:w="1926" w:type="dxa"/>
          </w:tcPr>
          <w:p w:rsidR="0073556D" w:rsidRPr="00C11493" w:rsidRDefault="0073556D" w:rsidP="009E400A">
            <w:pPr>
              <w:pStyle w:val="TableBody"/>
              <w:spacing w:before="20" w:after="20"/>
              <w:rPr>
                <w:rFonts w:eastAsiaTheme="majorEastAsia" w:cstheme="majorBidi"/>
                <w:bCs/>
                <w:iCs/>
                <w:noProof/>
                <w:sz w:val="22"/>
                <w:szCs w:val="22"/>
              </w:rPr>
            </w:pPr>
            <w:r w:rsidRPr="00C11493">
              <w:rPr>
                <w:sz w:val="22"/>
                <w:szCs w:val="22"/>
              </w:rPr>
              <w:t>1.700</w:t>
            </w:r>
          </w:p>
        </w:tc>
      </w:tr>
      <w:tr w:rsidR="0073556D" w:rsidRPr="00C11493" w:rsidTr="009E400A">
        <w:trPr>
          <w:trHeight w:val="300"/>
          <w:jc w:val="center"/>
        </w:trPr>
        <w:tc>
          <w:tcPr>
            <w:tcW w:w="1620" w:type="dxa"/>
            <w:shd w:val="clear" w:color="auto" w:fill="E0E0E0"/>
            <w:vAlign w:val="center"/>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Québec</w:t>
            </w:r>
            <w:r w:rsidRPr="00C11493">
              <w:rPr>
                <w:rStyle w:val="FootnoteReference"/>
                <w:noProof/>
                <w:sz w:val="22"/>
                <w:szCs w:val="22"/>
              </w:rPr>
              <w:footnoteReference w:id="18"/>
            </w:r>
          </w:p>
        </w:tc>
        <w:tc>
          <w:tcPr>
            <w:tcW w:w="1350" w:type="dxa"/>
            <w:shd w:val="clear" w:color="auto" w:fill="E0E0E0"/>
            <w:vAlign w:val="center"/>
            <w:hideMark/>
          </w:tcPr>
          <w:p w:rsidR="0073556D" w:rsidRPr="00C11493" w:rsidRDefault="0073556D" w:rsidP="009E400A">
            <w:pPr>
              <w:pStyle w:val="TableBody"/>
              <w:spacing w:before="20" w:after="20"/>
              <w:rPr>
                <w:rFonts w:eastAsiaTheme="majorEastAsia" w:cstheme="majorBidi"/>
                <w:bCs/>
                <w:iCs/>
                <w:noProof/>
                <w:sz w:val="22"/>
                <w:szCs w:val="22"/>
              </w:rPr>
            </w:pPr>
            <w:r w:rsidRPr="00C11493">
              <w:rPr>
                <w:noProof/>
                <w:sz w:val="22"/>
                <w:szCs w:val="22"/>
              </w:rPr>
              <w:t>N/A</w:t>
            </w:r>
          </w:p>
        </w:tc>
        <w:tc>
          <w:tcPr>
            <w:tcW w:w="919" w:type="dxa"/>
            <w:shd w:val="clear" w:color="auto" w:fill="E0E0E0"/>
            <w:vAlign w:val="center"/>
          </w:tcPr>
          <w:p w:rsidR="0073556D" w:rsidRPr="00C11493" w:rsidRDefault="0073556D" w:rsidP="009E400A">
            <w:pPr>
              <w:pStyle w:val="TableBody"/>
              <w:spacing w:before="20" w:after="20"/>
              <w:rPr>
                <w:rFonts w:eastAsiaTheme="majorEastAsia" w:cstheme="majorBidi"/>
                <w:bCs/>
                <w:iCs/>
                <w:noProof/>
                <w:sz w:val="22"/>
                <w:szCs w:val="22"/>
              </w:rPr>
            </w:pPr>
            <w:r w:rsidRPr="00C11493">
              <w:rPr>
                <w:rFonts w:eastAsiaTheme="majorEastAsia" w:cstheme="majorBidi"/>
                <w:bCs/>
                <w:iCs/>
                <w:noProof/>
                <w:sz w:val="22"/>
                <w:szCs w:val="22"/>
              </w:rPr>
              <w:t>N/A</w:t>
            </w:r>
          </w:p>
        </w:tc>
        <w:tc>
          <w:tcPr>
            <w:tcW w:w="1260" w:type="dxa"/>
            <w:shd w:val="clear" w:color="auto" w:fill="E0E0E0"/>
            <w:vAlign w:val="center"/>
          </w:tcPr>
          <w:p w:rsidR="0073556D" w:rsidRPr="00C11493" w:rsidRDefault="0073556D" w:rsidP="009E400A">
            <w:pPr>
              <w:pStyle w:val="TableBody"/>
              <w:spacing w:before="20" w:after="20"/>
              <w:rPr>
                <w:noProof/>
                <w:sz w:val="22"/>
                <w:szCs w:val="22"/>
              </w:rPr>
            </w:pPr>
            <w:r w:rsidRPr="00C11493">
              <w:rPr>
                <w:noProof/>
                <w:sz w:val="22"/>
                <w:szCs w:val="22"/>
              </w:rPr>
              <w:t>N/A</w:t>
            </w:r>
          </w:p>
        </w:tc>
        <w:tc>
          <w:tcPr>
            <w:tcW w:w="1890" w:type="dxa"/>
            <w:shd w:val="clear" w:color="auto" w:fill="E0E0E0"/>
          </w:tcPr>
          <w:p w:rsidR="0073556D" w:rsidRPr="00C11493" w:rsidRDefault="0073556D" w:rsidP="009E400A">
            <w:pPr>
              <w:pStyle w:val="TableBody"/>
              <w:spacing w:before="20" w:after="20"/>
              <w:rPr>
                <w:noProof/>
                <w:sz w:val="22"/>
                <w:szCs w:val="22"/>
              </w:rPr>
            </w:pPr>
            <w:r w:rsidRPr="00C11493">
              <w:rPr>
                <w:noProof/>
                <w:sz w:val="22"/>
                <w:szCs w:val="22"/>
              </w:rPr>
              <w:t>N/A</w:t>
            </w:r>
          </w:p>
        </w:tc>
        <w:tc>
          <w:tcPr>
            <w:tcW w:w="1926" w:type="dxa"/>
            <w:shd w:val="clear" w:color="auto" w:fill="E0E0E0"/>
            <w:vAlign w:val="center"/>
          </w:tcPr>
          <w:p w:rsidR="0073556D" w:rsidRPr="00C11493" w:rsidRDefault="0073556D" w:rsidP="009E400A">
            <w:pPr>
              <w:pStyle w:val="TableBody"/>
              <w:spacing w:before="20" w:after="20"/>
              <w:rPr>
                <w:noProof/>
                <w:sz w:val="22"/>
                <w:szCs w:val="22"/>
              </w:rPr>
            </w:pPr>
            <w:r w:rsidRPr="00C11493">
              <w:rPr>
                <w:noProof/>
                <w:sz w:val="22"/>
                <w:szCs w:val="22"/>
              </w:rPr>
              <w:t>1.550</w:t>
            </w:r>
          </w:p>
        </w:tc>
      </w:tr>
    </w:tbl>
    <w:p w:rsidR="0073556D" w:rsidRDefault="0073556D" w:rsidP="0073556D"/>
    <w:p w:rsidR="0073556D" w:rsidRDefault="0073556D" w:rsidP="0073556D">
      <w:r>
        <w:t>This statistical analysis was completed using one-second averaged data that does not accurately capture Point C, which is better measured by high-speed metering (PMUs or FDRs). Therefore, a separate correction must be used to account for the differences between the Point C in the one-second data and the Point C values measured with sub-second measurements from the FNet</w:t>
      </w:r>
      <w:r>
        <w:rPr>
          <w:rStyle w:val="FootnoteReference"/>
        </w:rPr>
        <w:footnoteReference w:id="19"/>
      </w:r>
      <w:r>
        <w:t xml:space="preserve"> (Frequency monitoring Network) FDRs.</w:t>
      </w:r>
    </w:p>
    <w:p w:rsidR="0073556D" w:rsidRDefault="0073556D" w:rsidP="0073556D"/>
    <w:p w:rsidR="0073556D" w:rsidRDefault="0073556D" w:rsidP="0073556D">
      <w:r>
        <w:t>The CB</w:t>
      </w:r>
      <w:r w:rsidRPr="008A005C">
        <w:rPr>
          <w:vertAlign w:val="subscript"/>
        </w:rPr>
        <w:t>R</w:t>
      </w:r>
      <w:r>
        <w:t xml:space="preserve"> value for the Eastern Interconnection indicates that Value B is generally below the</w:t>
      </w:r>
      <w:r w:rsidR="009E400A">
        <w:t xml:space="preserve"> Point C value. Therefore,</w:t>
      </w:r>
      <w:r>
        <w:t xml:space="preserve"> no adjustment is necessary for that interconnection, and the CB</w:t>
      </w:r>
      <w:r w:rsidRPr="008A005C">
        <w:rPr>
          <w:vertAlign w:val="subscript"/>
        </w:rPr>
        <w:t>R</w:t>
      </w:r>
      <w:r>
        <w:t xml:space="preserve"> value is set to 1.000.</w:t>
      </w:r>
    </w:p>
    <w:p w:rsidR="0073556D" w:rsidRDefault="0073556D" w:rsidP="0073556D"/>
    <w:p w:rsidR="0073556D" w:rsidRDefault="0073556D" w:rsidP="0073556D">
      <w:r>
        <w:t xml:space="preserve">The Québec Interconnection’s resources are predominantly hydraulic and are operated to optimize efficiency, typically at about 85 percent of rated output. Consequently, most generators have about 15 percent headroom to supply primary frequency response. This results in a robust response to most frequency events, exhibited by high rebound rates between Point C and the calculated Value B. For the </w:t>
      </w:r>
      <w:r w:rsidR="00403B1E">
        <w:t>67</w:t>
      </w:r>
      <w:r>
        <w:t xml:space="preserve"> frequency events in their event sample, Québec’s CB</w:t>
      </w:r>
      <w:r w:rsidRPr="008A005C">
        <w:rPr>
          <w:vertAlign w:val="subscript"/>
        </w:rPr>
        <w:t>R</w:t>
      </w:r>
      <w:r>
        <w:t xml:space="preserve"> value would be </w:t>
      </w:r>
      <w:r w:rsidR="00403B1E">
        <w:t>4.161</w:t>
      </w:r>
      <w:r>
        <w:t xml:space="preserve">, or </w:t>
      </w:r>
      <w:r w:rsidR="00403B1E">
        <w:t>2 to 4</w:t>
      </w:r>
      <w:r>
        <w:t xml:space="preserve"> times the CB</w:t>
      </w:r>
      <w:r w:rsidRPr="008A005C">
        <w:rPr>
          <w:vertAlign w:val="subscript"/>
        </w:rPr>
        <w:t>R</w:t>
      </w:r>
      <w:r>
        <w:t xml:space="preserve"> values of other interconnections. Using the same calculation method for CB</w:t>
      </w:r>
      <w:r w:rsidRPr="008A005C">
        <w:rPr>
          <w:vertAlign w:val="subscript"/>
        </w:rPr>
        <w:t>R</w:t>
      </w:r>
      <w:r>
        <w:t xml:space="preserve"> would effectively penalize Québec for their rapid rebound performance and make their IFRO artificially high. Therefore, the method for calculating the Québec CB</w:t>
      </w:r>
      <w:r w:rsidRPr="008A005C">
        <w:rPr>
          <w:vertAlign w:val="subscript"/>
        </w:rPr>
        <w:t>R</w:t>
      </w:r>
      <w:r>
        <w:t xml:space="preserve"> was modified.</w:t>
      </w:r>
    </w:p>
    <w:p w:rsidR="0073556D" w:rsidRDefault="0073556D" w:rsidP="0073556D"/>
    <w:p w:rsidR="0073556D" w:rsidRDefault="0073556D" w:rsidP="0073556D">
      <w:r>
        <w:t xml:space="preserve">Québec operates with an operating mandate for frequency responsive reserves to </w:t>
      </w:r>
      <w:r w:rsidR="009E400A">
        <w:t>prevent</w:t>
      </w:r>
      <w:r>
        <w:t xml:space="preserve"> tripping their 58.5 Hz (300 millisecond trip time) first step UFLS for their largest hazard at all times, effectively protecting against tripping for Point C frequency excursions. Québec also protects against tripping a UFLS step set at 59.0 Hz that has a 20-second time delay, which protects them from any sustained low frequency Value B and primary frequency response withdrawals. This results in a Point C to Value B ratio of 1.5. To account for the confidence interval, 0.05 is then added, making the CB</w:t>
      </w:r>
      <w:r w:rsidRPr="008A005C">
        <w:rPr>
          <w:vertAlign w:val="subscript"/>
        </w:rPr>
        <w:t>R</w:t>
      </w:r>
      <w:r>
        <w:t xml:space="preserve"> = 1.550.</w:t>
      </w:r>
    </w:p>
    <w:p w:rsidR="0073556D" w:rsidRDefault="0073556D" w:rsidP="0073556D"/>
    <w:p w:rsidR="007B7172" w:rsidRDefault="007B7172" w:rsidP="007B7172">
      <w:pPr>
        <w:pStyle w:val="Heading3"/>
      </w:pPr>
      <w:bookmarkStart w:id="19" w:name="_Toc408812267"/>
      <w:r>
        <w:t>Point C Analysis – One-Second versus Sub-Second Data</w:t>
      </w:r>
      <w:r w:rsidR="00421CE8">
        <w:t xml:space="preserve"> (CC</w:t>
      </w:r>
      <w:r w:rsidR="00421CE8" w:rsidRPr="00421CE8">
        <w:rPr>
          <w:vertAlign w:val="subscript"/>
        </w:rPr>
        <w:t>ADJ</w:t>
      </w:r>
      <w:r w:rsidR="00421CE8">
        <w:t>)</w:t>
      </w:r>
      <w:bookmarkEnd w:id="19"/>
    </w:p>
    <w:p w:rsidR="007B7172" w:rsidRDefault="007B7172" w:rsidP="007B7172">
      <w:r>
        <w:t xml:space="preserve">The basic statistical analysis of the frequency events was performed for the differences between Point C and Value </w:t>
      </w:r>
      <w:r w:rsidRPr="005C14A3">
        <w:t>B, calculated as a ratio of Point C to Value B, using one-second data for events from January 201</w:t>
      </w:r>
      <w:r w:rsidR="00F03E76" w:rsidRPr="005C14A3">
        <w:t>1</w:t>
      </w:r>
      <w:r w:rsidRPr="005C14A3">
        <w:t xml:space="preserve"> through May</w:t>
      </w:r>
      <w:r>
        <w:t xml:space="preserve"> 2014. Although the one-second data sample is robust, it does not necessarily ensure the nadir of the event was accurately captured. To do so requires sub-second measurements that can only be provided by phasor measurement units (PMUs) or frequency disturbance recorders (FDRs). Therefore, a “C</w:t>
      </w:r>
      <w:r w:rsidR="002511AF">
        <w:t xml:space="preserve"> to </w:t>
      </w:r>
      <w:r>
        <w:t>C” adjustment component (CC</w:t>
      </w:r>
      <w:r w:rsidRPr="007B7172">
        <w:rPr>
          <w:vertAlign w:val="subscript"/>
        </w:rPr>
        <w:t>ADJ</w:t>
      </w:r>
      <w:r>
        <w:t>) for the IFRO calculation was designed to account for the differences observed between the one-second Point C and high-speed Point C measurements.</w:t>
      </w:r>
      <w:r w:rsidR="00DB7932">
        <w:t xml:space="preserve"> The value used is the CC</w:t>
      </w:r>
      <w:r w:rsidR="00DB7932" w:rsidRPr="0073556D">
        <w:rPr>
          <w:vertAlign w:val="subscript"/>
        </w:rPr>
        <w:t>ADJ</w:t>
      </w:r>
      <w:r w:rsidR="00DB7932">
        <w:t xml:space="preserve"> adjusted for confidence</w:t>
      </w:r>
      <w:r w:rsidR="0073556D">
        <w:t xml:space="preserve"> from Table 8</w:t>
      </w:r>
      <w:r w:rsidR="00DB7932">
        <w:t>.</w:t>
      </w:r>
    </w:p>
    <w:p w:rsidR="007B7172" w:rsidRDefault="007B7172" w:rsidP="007B7172"/>
    <w:tbl>
      <w:tblPr>
        <w:tblW w:w="8742"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CellMar>
          <w:left w:w="0" w:type="dxa"/>
          <w:right w:w="0" w:type="dxa"/>
        </w:tblCellMar>
        <w:tblLook w:val="04A0" w:firstRow="1" w:lastRow="0" w:firstColumn="1" w:lastColumn="0" w:noHBand="0" w:noVBand="1"/>
      </w:tblPr>
      <w:tblGrid>
        <w:gridCol w:w="1762"/>
        <w:gridCol w:w="990"/>
        <w:gridCol w:w="1023"/>
        <w:gridCol w:w="1346"/>
        <w:gridCol w:w="1951"/>
        <w:gridCol w:w="1670"/>
      </w:tblGrid>
      <w:tr w:rsidR="007B7172" w:rsidRPr="00C11493" w:rsidTr="00367FEE">
        <w:trPr>
          <w:trHeight w:val="432"/>
          <w:jc w:val="center"/>
        </w:trPr>
        <w:tc>
          <w:tcPr>
            <w:tcW w:w="8742" w:type="dxa"/>
            <w:gridSpan w:val="6"/>
            <w:shd w:val="clear" w:color="auto" w:fill="264D74"/>
            <w:vAlign w:val="center"/>
          </w:tcPr>
          <w:p w:rsidR="007B7172" w:rsidRPr="00C11493" w:rsidRDefault="007B7172" w:rsidP="0073556D">
            <w:pPr>
              <w:pStyle w:val="TableBody"/>
              <w:spacing w:before="20" w:afterLines="20" w:after="48"/>
              <w:rPr>
                <w:noProof/>
                <w:sz w:val="22"/>
                <w:szCs w:val="22"/>
              </w:rPr>
            </w:pPr>
            <w:r w:rsidRPr="00C11493">
              <w:rPr>
                <w:rFonts w:cs="Arial"/>
                <w:b/>
                <w:color w:val="FFFFFF"/>
                <w:sz w:val="22"/>
                <w:szCs w:val="22"/>
              </w:rPr>
              <w:t xml:space="preserve">Table </w:t>
            </w:r>
            <w:r w:rsidR="0073556D">
              <w:rPr>
                <w:rFonts w:cs="Arial"/>
                <w:b/>
                <w:color w:val="FFFFFF"/>
                <w:sz w:val="22"/>
                <w:szCs w:val="22"/>
              </w:rPr>
              <w:t>8</w:t>
            </w:r>
            <w:r w:rsidRPr="00C11493">
              <w:rPr>
                <w:rFonts w:cs="Arial"/>
                <w:b/>
                <w:color w:val="FFFFFF"/>
                <w:sz w:val="22"/>
                <w:szCs w:val="22"/>
              </w:rPr>
              <w:t>: Analysis of One-Second and Sub-Second Data for Point C (CC</w:t>
            </w:r>
            <w:r w:rsidRPr="00C11493">
              <w:rPr>
                <w:rFonts w:cs="Arial"/>
                <w:b/>
                <w:color w:val="FFFFFF"/>
                <w:sz w:val="22"/>
                <w:szCs w:val="22"/>
                <w:vertAlign w:val="subscript"/>
              </w:rPr>
              <w:t>ADJ</w:t>
            </w:r>
            <w:r w:rsidRPr="00C11493">
              <w:rPr>
                <w:rFonts w:cs="Arial"/>
                <w:b/>
                <w:color w:val="FFFFFF"/>
                <w:sz w:val="22"/>
                <w:szCs w:val="22"/>
              </w:rPr>
              <w:t>)</w:t>
            </w:r>
          </w:p>
        </w:tc>
      </w:tr>
      <w:tr w:rsidR="007B7172" w:rsidRPr="00C11493" w:rsidTr="00102473">
        <w:trPr>
          <w:trHeight w:val="674"/>
          <w:jc w:val="center"/>
        </w:trPr>
        <w:tc>
          <w:tcPr>
            <w:tcW w:w="1762" w:type="dxa"/>
            <w:shd w:val="clear" w:color="auto" w:fill="8DB5DA"/>
            <w:vAlign w:val="center"/>
            <w:hideMark/>
          </w:tcPr>
          <w:p w:rsidR="007B7172" w:rsidRPr="00C11493" w:rsidRDefault="007B7172" w:rsidP="00102473">
            <w:pPr>
              <w:pStyle w:val="TableBody"/>
              <w:spacing w:before="20" w:afterLines="20" w:after="48"/>
              <w:rPr>
                <w:rFonts w:eastAsiaTheme="majorEastAsia" w:cstheme="majorBidi"/>
                <w:bCs/>
                <w:iCs/>
                <w:noProof/>
                <w:sz w:val="22"/>
                <w:szCs w:val="22"/>
              </w:rPr>
            </w:pPr>
            <w:r w:rsidRPr="00C11493">
              <w:rPr>
                <w:noProof/>
                <w:sz w:val="22"/>
                <w:szCs w:val="22"/>
              </w:rPr>
              <w:t>Interconnection</w:t>
            </w:r>
          </w:p>
        </w:tc>
        <w:tc>
          <w:tcPr>
            <w:tcW w:w="990" w:type="dxa"/>
            <w:shd w:val="clear" w:color="auto" w:fill="8DB5DA"/>
            <w:vAlign w:val="center"/>
            <w:hideMark/>
          </w:tcPr>
          <w:p w:rsidR="007B7172" w:rsidRPr="00C11493" w:rsidRDefault="007B7172" w:rsidP="00102473">
            <w:pPr>
              <w:pStyle w:val="TableBody"/>
              <w:spacing w:before="20" w:afterLines="20" w:after="48"/>
              <w:rPr>
                <w:rFonts w:eastAsiaTheme="majorEastAsia" w:cstheme="majorBidi"/>
                <w:bCs/>
                <w:iCs/>
                <w:noProof/>
                <w:sz w:val="22"/>
                <w:szCs w:val="22"/>
              </w:rPr>
            </w:pPr>
            <w:r w:rsidRPr="00C11493">
              <w:rPr>
                <w:noProof/>
                <w:sz w:val="22"/>
                <w:szCs w:val="22"/>
              </w:rPr>
              <w:t>Events Analyzed</w:t>
            </w:r>
          </w:p>
        </w:tc>
        <w:tc>
          <w:tcPr>
            <w:tcW w:w="1023" w:type="dxa"/>
            <w:shd w:val="clear" w:color="auto" w:fill="8DB5DA"/>
            <w:vAlign w:val="center"/>
          </w:tcPr>
          <w:p w:rsidR="007B7172" w:rsidRPr="00C11493" w:rsidRDefault="007B7172" w:rsidP="00102473">
            <w:pPr>
              <w:pStyle w:val="TableBody"/>
              <w:spacing w:before="20" w:afterLines="20" w:after="48"/>
              <w:rPr>
                <w:rFonts w:eastAsiaTheme="majorEastAsia" w:cstheme="majorBidi"/>
                <w:bCs/>
                <w:iCs/>
                <w:noProof/>
                <w:sz w:val="22"/>
                <w:szCs w:val="22"/>
              </w:rPr>
            </w:pPr>
            <w:r w:rsidRPr="00C11493">
              <w:rPr>
                <w:noProof/>
                <w:sz w:val="22"/>
                <w:szCs w:val="22"/>
              </w:rPr>
              <w:t>Mean</w:t>
            </w:r>
            <w:r w:rsidRPr="00C11493">
              <w:rPr>
                <w:noProof/>
                <w:sz w:val="22"/>
                <w:szCs w:val="22"/>
              </w:rPr>
              <w:br/>
              <w:t>(Hz)</w:t>
            </w:r>
          </w:p>
        </w:tc>
        <w:tc>
          <w:tcPr>
            <w:tcW w:w="1346" w:type="dxa"/>
            <w:shd w:val="clear" w:color="auto" w:fill="8DB5DA"/>
            <w:vAlign w:val="center"/>
          </w:tcPr>
          <w:p w:rsidR="007B7172" w:rsidRPr="00C11493" w:rsidRDefault="007B7172" w:rsidP="00102473">
            <w:pPr>
              <w:pStyle w:val="TableBody"/>
              <w:spacing w:before="20" w:afterLines="20" w:after="48"/>
              <w:rPr>
                <w:rFonts w:eastAsiaTheme="majorEastAsia" w:cstheme="majorBidi"/>
                <w:bCs/>
                <w:iCs/>
                <w:noProof/>
                <w:sz w:val="22"/>
                <w:szCs w:val="22"/>
              </w:rPr>
            </w:pPr>
            <w:r w:rsidRPr="00C11493">
              <w:rPr>
                <w:noProof/>
                <w:sz w:val="22"/>
                <w:szCs w:val="22"/>
              </w:rPr>
              <w:t>Standard Deviation</w:t>
            </w:r>
            <w:r w:rsidRPr="00C11493">
              <w:rPr>
                <w:noProof/>
                <w:sz w:val="22"/>
                <w:szCs w:val="22"/>
              </w:rPr>
              <w:br/>
              <w:t>(Hz)</w:t>
            </w:r>
          </w:p>
        </w:tc>
        <w:tc>
          <w:tcPr>
            <w:tcW w:w="1951" w:type="dxa"/>
            <w:shd w:val="clear" w:color="auto" w:fill="8DB5DA"/>
            <w:vAlign w:val="center"/>
          </w:tcPr>
          <w:p w:rsidR="007B7172" w:rsidRPr="00C11493" w:rsidRDefault="007B7172" w:rsidP="00102473">
            <w:pPr>
              <w:pStyle w:val="TableBody"/>
              <w:spacing w:before="20" w:afterLines="20" w:after="48"/>
              <w:rPr>
                <w:rFonts w:eastAsiaTheme="majorEastAsia" w:cstheme="majorBidi"/>
                <w:bCs/>
                <w:iCs/>
                <w:noProof/>
                <w:sz w:val="22"/>
                <w:szCs w:val="22"/>
              </w:rPr>
            </w:pPr>
            <w:r w:rsidRPr="00C11493">
              <w:rPr>
                <w:noProof/>
                <w:sz w:val="22"/>
                <w:szCs w:val="22"/>
              </w:rPr>
              <w:t>CC</w:t>
            </w:r>
            <w:r w:rsidRPr="00C11493">
              <w:rPr>
                <w:noProof/>
                <w:sz w:val="22"/>
                <w:szCs w:val="22"/>
                <w:vertAlign w:val="subscript"/>
              </w:rPr>
              <w:t>ADJ</w:t>
            </w:r>
            <w:r w:rsidRPr="00C11493">
              <w:rPr>
                <w:noProof/>
                <w:sz w:val="22"/>
                <w:szCs w:val="22"/>
                <w:vertAlign w:val="subscript"/>
              </w:rPr>
              <w:br/>
            </w:r>
            <w:r w:rsidRPr="00C11493">
              <w:rPr>
                <w:noProof/>
                <w:sz w:val="22"/>
                <w:szCs w:val="22"/>
              </w:rPr>
              <w:t>(95% Quantile)</w:t>
            </w:r>
            <w:r w:rsidRPr="00C11493">
              <w:rPr>
                <w:noProof/>
                <w:sz w:val="22"/>
                <w:szCs w:val="22"/>
              </w:rPr>
              <w:br/>
              <w:t>(Hz)</w:t>
            </w:r>
          </w:p>
        </w:tc>
        <w:tc>
          <w:tcPr>
            <w:tcW w:w="1670" w:type="dxa"/>
            <w:shd w:val="clear" w:color="auto" w:fill="8DB5DA"/>
            <w:vAlign w:val="center"/>
          </w:tcPr>
          <w:p w:rsidR="007B7172" w:rsidRPr="00C11493" w:rsidRDefault="007B7172" w:rsidP="00102473">
            <w:pPr>
              <w:pStyle w:val="TableBody"/>
              <w:spacing w:before="20" w:afterLines="20" w:after="48"/>
              <w:rPr>
                <w:noProof/>
                <w:sz w:val="22"/>
                <w:szCs w:val="22"/>
              </w:rPr>
            </w:pPr>
            <w:r w:rsidRPr="00C11493">
              <w:rPr>
                <w:noProof/>
                <w:sz w:val="22"/>
                <w:szCs w:val="22"/>
              </w:rPr>
              <w:t>CC</w:t>
            </w:r>
            <w:r w:rsidRPr="00C11493">
              <w:rPr>
                <w:noProof/>
                <w:sz w:val="22"/>
                <w:szCs w:val="22"/>
                <w:vertAlign w:val="subscript"/>
              </w:rPr>
              <w:t>ADJ</w:t>
            </w:r>
            <w:r w:rsidRPr="00C11493">
              <w:rPr>
                <w:noProof/>
                <w:sz w:val="22"/>
                <w:szCs w:val="22"/>
                <w:vertAlign w:val="subscript"/>
              </w:rPr>
              <w:br/>
            </w:r>
            <w:r w:rsidRPr="00C11493">
              <w:rPr>
                <w:noProof/>
                <w:sz w:val="22"/>
                <w:szCs w:val="22"/>
              </w:rPr>
              <w:t>Adjusted for Confidence (Hz)</w:t>
            </w:r>
          </w:p>
        </w:tc>
      </w:tr>
      <w:tr w:rsidR="00CE0404" w:rsidRPr="00C11493" w:rsidTr="004F61AA">
        <w:trPr>
          <w:trHeight w:val="300"/>
          <w:jc w:val="center"/>
        </w:trPr>
        <w:tc>
          <w:tcPr>
            <w:tcW w:w="1762" w:type="dxa"/>
            <w:shd w:val="clear" w:color="auto" w:fill="auto"/>
            <w:vAlign w:val="center"/>
            <w:hideMark/>
          </w:tcPr>
          <w:p w:rsidR="00CE0404" w:rsidRPr="00C11493" w:rsidRDefault="00CE0404" w:rsidP="00CE0404">
            <w:pPr>
              <w:pStyle w:val="TableBody"/>
              <w:spacing w:before="20" w:afterLines="20" w:after="48"/>
              <w:rPr>
                <w:noProof/>
                <w:sz w:val="22"/>
                <w:szCs w:val="22"/>
              </w:rPr>
            </w:pPr>
            <w:r w:rsidRPr="00C11493">
              <w:rPr>
                <w:noProof/>
                <w:sz w:val="22"/>
                <w:szCs w:val="22"/>
              </w:rPr>
              <w:t>Eastern</w:t>
            </w:r>
          </w:p>
        </w:tc>
        <w:tc>
          <w:tcPr>
            <w:tcW w:w="990" w:type="dxa"/>
            <w:shd w:val="clear" w:color="auto" w:fill="auto"/>
            <w:hideMark/>
          </w:tcPr>
          <w:p w:rsidR="00CE0404" w:rsidRPr="00C11493" w:rsidRDefault="00CE0404" w:rsidP="00CE0404">
            <w:pPr>
              <w:pStyle w:val="TableBody"/>
              <w:spacing w:before="20" w:afterLines="20" w:after="48"/>
              <w:rPr>
                <w:noProof/>
                <w:sz w:val="22"/>
                <w:szCs w:val="22"/>
              </w:rPr>
            </w:pPr>
            <w:r w:rsidRPr="00C11493">
              <w:rPr>
                <w:noProof/>
                <w:sz w:val="22"/>
                <w:szCs w:val="22"/>
              </w:rPr>
              <w:t>158</w:t>
            </w:r>
          </w:p>
        </w:tc>
        <w:tc>
          <w:tcPr>
            <w:tcW w:w="1023" w:type="dxa"/>
          </w:tcPr>
          <w:p w:rsidR="00CE0404" w:rsidRPr="00C11493" w:rsidRDefault="00CE0404" w:rsidP="00CE0404">
            <w:pPr>
              <w:pStyle w:val="TableBody"/>
              <w:spacing w:before="20" w:afterLines="20" w:after="48"/>
              <w:rPr>
                <w:noProof/>
                <w:sz w:val="22"/>
                <w:szCs w:val="22"/>
              </w:rPr>
            </w:pPr>
            <w:r w:rsidRPr="00C11493">
              <w:rPr>
                <w:noProof/>
                <w:sz w:val="22"/>
                <w:szCs w:val="22"/>
              </w:rPr>
              <w:t>0.011</w:t>
            </w:r>
          </w:p>
        </w:tc>
        <w:tc>
          <w:tcPr>
            <w:tcW w:w="1346" w:type="dxa"/>
          </w:tcPr>
          <w:p w:rsidR="00CE0404" w:rsidRPr="00C11493" w:rsidRDefault="00CE0404" w:rsidP="00CE0404">
            <w:pPr>
              <w:pStyle w:val="TableBody"/>
              <w:spacing w:before="20" w:afterLines="20" w:after="48"/>
              <w:rPr>
                <w:noProof/>
                <w:sz w:val="22"/>
                <w:szCs w:val="22"/>
              </w:rPr>
            </w:pPr>
            <w:r w:rsidRPr="00C11493">
              <w:rPr>
                <w:noProof/>
                <w:sz w:val="22"/>
                <w:szCs w:val="22"/>
              </w:rPr>
              <w:t>0.014</w:t>
            </w:r>
          </w:p>
        </w:tc>
        <w:tc>
          <w:tcPr>
            <w:tcW w:w="1951" w:type="dxa"/>
          </w:tcPr>
          <w:p w:rsidR="00CE0404" w:rsidRPr="00C11493" w:rsidRDefault="00CE0404" w:rsidP="00CE0404">
            <w:pPr>
              <w:pStyle w:val="TableBody"/>
              <w:spacing w:before="20" w:afterLines="20" w:after="48"/>
              <w:rPr>
                <w:noProof/>
                <w:sz w:val="22"/>
                <w:szCs w:val="22"/>
              </w:rPr>
            </w:pPr>
            <w:r w:rsidRPr="00C11493">
              <w:rPr>
                <w:noProof/>
                <w:sz w:val="22"/>
                <w:szCs w:val="22"/>
              </w:rPr>
              <w:t>0.032</w:t>
            </w:r>
          </w:p>
        </w:tc>
        <w:tc>
          <w:tcPr>
            <w:tcW w:w="1670" w:type="dxa"/>
          </w:tcPr>
          <w:p w:rsidR="00CE0404" w:rsidRPr="00C11493" w:rsidRDefault="00CE0404" w:rsidP="00CE0404">
            <w:pPr>
              <w:pStyle w:val="TableBody"/>
              <w:spacing w:before="20" w:afterLines="20" w:after="48"/>
              <w:rPr>
                <w:noProof/>
                <w:sz w:val="22"/>
                <w:szCs w:val="22"/>
              </w:rPr>
            </w:pPr>
            <w:r w:rsidRPr="00C11493">
              <w:rPr>
                <w:noProof/>
                <w:sz w:val="22"/>
                <w:szCs w:val="22"/>
              </w:rPr>
              <w:t>0.013</w:t>
            </w:r>
          </w:p>
        </w:tc>
      </w:tr>
      <w:tr w:rsidR="00CE0404" w:rsidRPr="00C11493" w:rsidTr="004F61AA">
        <w:trPr>
          <w:trHeight w:val="300"/>
          <w:jc w:val="center"/>
        </w:trPr>
        <w:tc>
          <w:tcPr>
            <w:tcW w:w="1762" w:type="dxa"/>
            <w:shd w:val="clear" w:color="auto" w:fill="E0E0E0"/>
            <w:vAlign w:val="center"/>
            <w:hideMark/>
          </w:tcPr>
          <w:p w:rsidR="00CE0404" w:rsidRPr="00C11493" w:rsidRDefault="00CE0404" w:rsidP="00CE0404">
            <w:pPr>
              <w:pStyle w:val="TableBody"/>
              <w:spacing w:before="20" w:afterLines="20" w:after="48"/>
              <w:rPr>
                <w:noProof/>
                <w:sz w:val="22"/>
                <w:szCs w:val="22"/>
              </w:rPr>
            </w:pPr>
            <w:r w:rsidRPr="00C11493">
              <w:rPr>
                <w:noProof/>
                <w:sz w:val="22"/>
                <w:szCs w:val="22"/>
              </w:rPr>
              <w:t>Western</w:t>
            </w:r>
          </w:p>
        </w:tc>
        <w:tc>
          <w:tcPr>
            <w:tcW w:w="990" w:type="dxa"/>
            <w:shd w:val="clear" w:color="auto" w:fill="E0E0E0"/>
            <w:hideMark/>
          </w:tcPr>
          <w:p w:rsidR="00CE0404" w:rsidRPr="00C11493" w:rsidRDefault="00CE0404" w:rsidP="00CE0404">
            <w:pPr>
              <w:pStyle w:val="TableBody"/>
              <w:spacing w:before="20" w:afterLines="20" w:after="48"/>
              <w:rPr>
                <w:noProof/>
                <w:sz w:val="22"/>
                <w:szCs w:val="22"/>
              </w:rPr>
            </w:pPr>
            <w:r w:rsidRPr="00C11493">
              <w:rPr>
                <w:noProof/>
                <w:sz w:val="22"/>
                <w:szCs w:val="22"/>
              </w:rPr>
              <w:t>78</w:t>
            </w:r>
          </w:p>
        </w:tc>
        <w:tc>
          <w:tcPr>
            <w:tcW w:w="1023" w:type="dxa"/>
            <w:shd w:val="clear" w:color="auto" w:fill="E0E0E0"/>
          </w:tcPr>
          <w:p w:rsidR="00CE0404" w:rsidRPr="00C11493" w:rsidRDefault="00CE0404" w:rsidP="00CE0404">
            <w:pPr>
              <w:pStyle w:val="TableBody"/>
              <w:spacing w:before="20" w:afterLines="20" w:after="48"/>
              <w:rPr>
                <w:noProof/>
                <w:sz w:val="22"/>
                <w:szCs w:val="22"/>
              </w:rPr>
            </w:pPr>
            <w:r w:rsidRPr="00C11493">
              <w:rPr>
                <w:noProof/>
                <w:sz w:val="22"/>
                <w:szCs w:val="22"/>
              </w:rPr>
              <w:t>0.009</w:t>
            </w:r>
          </w:p>
        </w:tc>
        <w:tc>
          <w:tcPr>
            <w:tcW w:w="1346" w:type="dxa"/>
            <w:shd w:val="clear" w:color="auto" w:fill="E0E0E0"/>
          </w:tcPr>
          <w:p w:rsidR="00CE0404" w:rsidRPr="00C11493" w:rsidRDefault="00CE0404" w:rsidP="00CE0404">
            <w:pPr>
              <w:pStyle w:val="TableBody"/>
              <w:spacing w:before="20" w:afterLines="20" w:after="48"/>
              <w:rPr>
                <w:noProof/>
                <w:sz w:val="22"/>
                <w:szCs w:val="22"/>
              </w:rPr>
            </w:pPr>
            <w:r w:rsidRPr="00C11493">
              <w:rPr>
                <w:noProof/>
                <w:sz w:val="22"/>
                <w:szCs w:val="22"/>
              </w:rPr>
              <w:t>0.010</w:t>
            </w:r>
          </w:p>
        </w:tc>
        <w:tc>
          <w:tcPr>
            <w:tcW w:w="1951" w:type="dxa"/>
            <w:shd w:val="clear" w:color="auto" w:fill="E0E0E0"/>
          </w:tcPr>
          <w:p w:rsidR="00CE0404" w:rsidRPr="00C11493" w:rsidRDefault="00CE0404" w:rsidP="00CE0404">
            <w:pPr>
              <w:pStyle w:val="TableBody"/>
              <w:spacing w:before="20" w:afterLines="20" w:after="48"/>
              <w:rPr>
                <w:noProof/>
                <w:sz w:val="22"/>
                <w:szCs w:val="22"/>
              </w:rPr>
            </w:pPr>
            <w:r w:rsidRPr="00C11493">
              <w:rPr>
                <w:noProof/>
                <w:sz w:val="22"/>
                <w:szCs w:val="22"/>
              </w:rPr>
              <w:t>0.018</w:t>
            </w:r>
          </w:p>
        </w:tc>
        <w:tc>
          <w:tcPr>
            <w:tcW w:w="1670" w:type="dxa"/>
            <w:shd w:val="clear" w:color="auto" w:fill="E0E0E0"/>
          </w:tcPr>
          <w:p w:rsidR="00CE0404" w:rsidRPr="00C11493" w:rsidRDefault="00CE0404" w:rsidP="00CE0404">
            <w:pPr>
              <w:pStyle w:val="TableBody"/>
              <w:spacing w:before="20" w:afterLines="20" w:after="48"/>
              <w:rPr>
                <w:noProof/>
                <w:sz w:val="22"/>
                <w:szCs w:val="22"/>
              </w:rPr>
            </w:pPr>
            <w:r w:rsidRPr="00C11493">
              <w:rPr>
                <w:noProof/>
                <w:sz w:val="22"/>
                <w:szCs w:val="22"/>
              </w:rPr>
              <w:t>0.011</w:t>
            </w:r>
          </w:p>
        </w:tc>
      </w:tr>
      <w:tr w:rsidR="002606CC" w:rsidRPr="00C11493" w:rsidTr="004F61AA">
        <w:trPr>
          <w:trHeight w:val="300"/>
          <w:jc w:val="center"/>
        </w:trPr>
        <w:tc>
          <w:tcPr>
            <w:tcW w:w="1762" w:type="dxa"/>
            <w:shd w:val="clear" w:color="auto" w:fill="auto"/>
            <w:vAlign w:val="center"/>
            <w:hideMark/>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noProof/>
                <w:sz w:val="22"/>
                <w:szCs w:val="22"/>
              </w:rPr>
              <w:t>ERCOT</w:t>
            </w:r>
          </w:p>
        </w:tc>
        <w:tc>
          <w:tcPr>
            <w:tcW w:w="990" w:type="dxa"/>
            <w:shd w:val="clear" w:color="auto" w:fill="auto"/>
            <w:hideMark/>
          </w:tcPr>
          <w:p w:rsidR="002606CC" w:rsidRPr="00C11493" w:rsidRDefault="002606CC" w:rsidP="002606CC">
            <w:pPr>
              <w:spacing w:before="20" w:afterLines="20" w:after="48"/>
              <w:jc w:val="center"/>
              <w:rPr>
                <w:rFonts w:eastAsiaTheme="majorEastAsia" w:cstheme="majorBidi"/>
                <w:bCs/>
                <w:iCs/>
                <w:szCs w:val="22"/>
              </w:rPr>
            </w:pPr>
            <w:r w:rsidRPr="00C11493">
              <w:rPr>
                <w:szCs w:val="22"/>
              </w:rPr>
              <w:t>154</w:t>
            </w:r>
          </w:p>
        </w:tc>
        <w:tc>
          <w:tcPr>
            <w:tcW w:w="1023" w:type="dxa"/>
            <w:shd w:val="clear" w:color="auto" w:fill="auto"/>
          </w:tcPr>
          <w:p w:rsidR="002606CC" w:rsidRPr="00C11493" w:rsidRDefault="002606CC" w:rsidP="002606CC">
            <w:pPr>
              <w:spacing w:before="20" w:afterLines="20" w:after="48"/>
              <w:jc w:val="center"/>
              <w:rPr>
                <w:rFonts w:eastAsiaTheme="majorEastAsia" w:cstheme="majorBidi"/>
                <w:bCs/>
                <w:iCs/>
                <w:szCs w:val="22"/>
              </w:rPr>
            </w:pPr>
            <w:r w:rsidRPr="00C11493">
              <w:rPr>
                <w:szCs w:val="22"/>
              </w:rPr>
              <w:t>-0.006</w:t>
            </w:r>
          </w:p>
        </w:tc>
        <w:tc>
          <w:tcPr>
            <w:tcW w:w="1346" w:type="dxa"/>
            <w:shd w:val="clear" w:color="auto" w:fill="auto"/>
          </w:tcPr>
          <w:p w:rsidR="002606CC" w:rsidRPr="00C11493" w:rsidRDefault="002606CC" w:rsidP="002606CC">
            <w:pPr>
              <w:spacing w:before="20" w:afterLines="20" w:after="48"/>
              <w:jc w:val="center"/>
              <w:rPr>
                <w:rFonts w:eastAsiaTheme="majorEastAsia" w:cstheme="majorBidi"/>
                <w:bCs/>
                <w:iCs/>
                <w:szCs w:val="22"/>
              </w:rPr>
            </w:pPr>
            <w:r w:rsidRPr="00C11493">
              <w:rPr>
                <w:szCs w:val="22"/>
              </w:rPr>
              <w:t>0.050</w:t>
            </w:r>
          </w:p>
        </w:tc>
        <w:tc>
          <w:tcPr>
            <w:tcW w:w="1951" w:type="dxa"/>
            <w:shd w:val="clear" w:color="auto" w:fill="auto"/>
          </w:tcPr>
          <w:p w:rsidR="002606CC" w:rsidRPr="00C11493" w:rsidRDefault="002606CC" w:rsidP="002606CC">
            <w:pPr>
              <w:spacing w:before="20" w:afterLines="20" w:after="48"/>
              <w:jc w:val="center"/>
              <w:rPr>
                <w:rFonts w:eastAsiaTheme="majorEastAsia" w:cstheme="majorBidi"/>
                <w:bCs/>
                <w:iCs/>
                <w:szCs w:val="22"/>
              </w:rPr>
            </w:pPr>
            <w:r w:rsidRPr="00C11493">
              <w:rPr>
                <w:szCs w:val="22"/>
              </w:rPr>
              <w:t>0.035</w:t>
            </w:r>
          </w:p>
        </w:tc>
        <w:tc>
          <w:tcPr>
            <w:tcW w:w="1670" w:type="dxa"/>
            <w:shd w:val="clear" w:color="auto" w:fill="auto"/>
          </w:tcPr>
          <w:p w:rsidR="002606CC" w:rsidRPr="00C11493" w:rsidRDefault="002606CC" w:rsidP="002606CC">
            <w:pPr>
              <w:spacing w:before="20" w:afterLines="20" w:after="48"/>
              <w:jc w:val="center"/>
              <w:rPr>
                <w:szCs w:val="22"/>
              </w:rPr>
            </w:pPr>
            <w:r w:rsidRPr="00C11493">
              <w:rPr>
                <w:szCs w:val="22"/>
              </w:rPr>
              <w:t>0.001</w:t>
            </w:r>
          </w:p>
        </w:tc>
      </w:tr>
      <w:tr w:rsidR="002606CC" w:rsidRPr="00C11493" w:rsidTr="004F61AA">
        <w:trPr>
          <w:trHeight w:val="300"/>
          <w:jc w:val="center"/>
        </w:trPr>
        <w:tc>
          <w:tcPr>
            <w:tcW w:w="1762" w:type="dxa"/>
            <w:shd w:val="clear" w:color="auto" w:fill="E0E0E0"/>
            <w:vAlign w:val="center"/>
            <w:hideMark/>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noProof/>
                <w:sz w:val="22"/>
                <w:szCs w:val="22"/>
              </w:rPr>
              <w:t>Québec</w:t>
            </w:r>
          </w:p>
        </w:tc>
        <w:tc>
          <w:tcPr>
            <w:tcW w:w="990" w:type="dxa"/>
            <w:shd w:val="clear" w:color="auto" w:fill="E0E0E0"/>
            <w:hideMark/>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sz w:val="22"/>
                <w:szCs w:val="22"/>
              </w:rPr>
              <w:t>19</w:t>
            </w:r>
          </w:p>
        </w:tc>
        <w:tc>
          <w:tcPr>
            <w:tcW w:w="1023" w:type="dxa"/>
            <w:shd w:val="clear" w:color="auto" w:fill="E0E0E0"/>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sz w:val="22"/>
                <w:szCs w:val="22"/>
              </w:rPr>
              <w:t>0.026</w:t>
            </w:r>
          </w:p>
        </w:tc>
        <w:tc>
          <w:tcPr>
            <w:tcW w:w="1346" w:type="dxa"/>
            <w:shd w:val="clear" w:color="auto" w:fill="E0E0E0"/>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sz w:val="22"/>
                <w:szCs w:val="22"/>
              </w:rPr>
              <w:t>0.013</w:t>
            </w:r>
          </w:p>
        </w:tc>
        <w:tc>
          <w:tcPr>
            <w:tcW w:w="1951" w:type="dxa"/>
            <w:shd w:val="clear" w:color="auto" w:fill="E0E0E0"/>
          </w:tcPr>
          <w:p w:rsidR="002606CC" w:rsidRPr="00C11493" w:rsidRDefault="002606CC" w:rsidP="002606CC">
            <w:pPr>
              <w:pStyle w:val="TableBody"/>
              <w:spacing w:before="20" w:afterLines="20" w:after="48"/>
              <w:rPr>
                <w:rFonts w:eastAsiaTheme="majorEastAsia" w:cstheme="majorBidi"/>
                <w:bCs/>
                <w:iCs/>
                <w:noProof/>
                <w:sz w:val="22"/>
                <w:szCs w:val="22"/>
              </w:rPr>
            </w:pPr>
            <w:r w:rsidRPr="00C11493">
              <w:rPr>
                <w:sz w:val="22"/>
                <w:szCs w:val="22"/>
              </w:rPr>
              <w:t>0.067</w:t>
            </w:r>
          </w:p>
        </w:tc>
        <w:tc>
          <w:tcPr>
            <w:tcW w:w="1670" w:type="dxa"/>
            <w:shd w:val="clear" w:color="auto" w:fill="E0E0E0"/>
          </w:tcPr>
          <w:p w:rsidR="002606CC" w:rsidRPr="00C11493" w:rsidRDefault="002606CC" w:rsidP="002606CC">
            <w:pPr>
              <w:pStyle w:val="TableBody"/>
              <w:spacing w:before="20" w:afterLines="20" w:after="48"/>
              <w:rPr>
                <w:noProof/>
                <w:sz w:val="22"/>
                <w:szCs w:val="22"/>
              </w:rPr>
            </w:pPr>
            <w:r w:rsidRPr="00C11493">
              <w:rPr>
                <w:sz w:val="22"/>
                <w:szCs w:val="22"/>
              </w:rPr>
              <w:t>0.031</w:t>
            </w:r>
          </w:p>
        </w:tc>
      </w:tr>
    </w:tbl>
    <w:p w:rsidR="007B7172" w:rsidRDefault="007B7172" w:rsidP="007B7172"/>
    <w:p w:rsidR="007B7172" w:rsidRDefault="007B7172" w:rsidP="007B7172">
      <w:r>
        <w:t>The CC</w:t>
      </w:r>
      <w:r w:rsidRPr="007B7172">
        <w:rPr>
          <w:vertAlign w:val="subscript"/>
        </w:rPr>
        <w:t>ADJ</w:t>
      </w:r>
      <w:r>
        <w:t xml:space="preserve"> should be made to the allowable frequency deviation value before it is adjusted for the ratio of Point C to Value B.</w:t>
      </w:r>
    </w:p>
    <w:p w:rsidR="007B7172" w:rsidRDefault="007B7172" w:rsidP="007B7172"/>
    <w:p w:rsidR="00E82BC7" w:rsidRDefault="00E82BC7" w:rsidP="00E82BC7">
      <w:pPr>
        <w:pStyle w:val="Heading3"/>
      </w:pPr>
      <w:bookmarkStart w:id="20" w:name="_Toc408812268"/>
      <w:r>
        <w:t>Adjustment for Primary Frequency Response Withdrawal</w:t>
      </w:r>
      <w:r w:rsidR="00A36E9A">
        <w:t xml:space="preserve"> (BC’</w:t>
      </w:r>
      <w:r w:rsidR="00A36E9A" w:rsidRPr="00A36E9A">
        <w:rPr>
          <w:vertAlign w:val="subscript"/>
        </w:rPr>
        <w:t>ADJ</w:t>
      </w:r>
      <w:r w:rsidR="00A36E9A">
        <w:t>)</w:t>
      </w:r>
      <w:bookmarkEnd w:id="20"/>
    </w:p>
    <w:p w:rsidR="00E82BC7" w:rsidRDefault="00E82BC7" w:rsidP="00E82BC7">
      <w:r>
        <w:t>At times, the nadir for a frequency event occurs after Point C—defined in BAL-003-1 as occurring in the T+0 to T+12 second period, during the Value B averaging period (T+20 through T+52 seconds), or later. For purposes of this report, that later-occurring nadir is termed Point C’. This lower nadir is symptomatic of primary frequency response withdrawal, or squelching, by unit or plant-level outer-loop control systems. Withdrawal is most prevalent in the Eastern Interconnection.</w:t>
      </w:r>
    </w:p>
    <w:p w:rsidR="00E82BC7" w:rsidRDefault="00E82BC7" w:rsidP="00E82BC7"/>
    <w:p w:rsidR="00E82BC7" w:rsidRDefault="00E82BC7" w:rsidP="00E82BC7">
      <w:r>
        <w:t>Primary frequency response withdrawal can become important depending on the type and characteristics of the generators in the resource dispatch, especially during light-load periods. Therefore, an additional adjustment to the maximum allowable delta frequency for calculating the IFROs was statistically developed. This adjustment should be used whenever withdrawal is a prevalent feature of frequency events.</w:t>
      </w:r>
    </w:p>
    <w:p w:rsidR="00E82BC7" w:rsidRDefault="00E82BC7" w:rsidP="00E82BC7"/>
    <w:p w:rsidR="00E82BC7" w:rsidRDefault="00E82BC7" w:rsidP="00E82BC7">
      <w:r>
        <w:t xml:space="preserve">Table 9 shows the number of events for each interconnection where the C’ value was lower than Value B (averaged </w:t>
      </w:r>
      <w:r w:rsidRPr="005C14A3">
        <w:t>from T+20 through T+52 seconds) for the period of January 201</w:t>
      </w:r>
      <w:r w:rsidR="00D41491" w:rsidRPr="005C14A3">
        <w:t>1</w:t>
      </w:r>
      <w:r w:rsidRPr="005C14A3">
        <w:t xml:space="preserve"> through </w:t>
      </w:r>
      <w:r w:rsidR="00B97774" w:rsidRPr="005C14A3">
        <w:t>May</w:t>
      </w:r>
      <w:r w:rsidRPr="005C14A3">
        <w:t xml:space="preserve"> </w:t>
      </w:r>
      <w:r w:rsidR="00B97774" w:rsidRPr="005C14A3">
        <w:t>2014</w:t>
      </w:r>
      <w:r w:rsidRPr="005C14A3">
        <w:t>. A sample of T+300 one-</w:t>
      </w:r>
      <w:r>
        <w:t>second data was used for this analysis.</w:t>
      </w:r>
    </w:p>
    <w:p w:rsidR="00607521" w:rsidRDefault="00607521" w:rsidP="00E82BC7">
      <w:r>
        <w:br w:type="page"/>
      </w:r>
    </w:p>
    <w:p w:rsidR="00E82BC7" w:rsidRDefault="00E82BC7" w:rsidP="00E82BC7"/>
    <w:tbl>
      <w:tblPr>
        <w:tblW w:w="9082"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CellMar>
          <w:left w:w="0" w:type="dxa"/>
          <w:right w:w="0" w:type="dxa"/>
        </w:tblCellMar>
        <w:tblLook w:val="04A0" w:firstRow="1" w:lastRow="0" w:firstColumn="1" w:lastColumn="0" w:noHBand="0" w:noVBand="1"/>
      </w:tblPr>
      <w:tblGrid>
        <w:gridCol w:w="1717"/>
        <w:gridCol w:w="975"/>
        <w:gridCol w:w="1907"/>
        <w:gridCol w:w="1153"/>
        <w:gridCol w:w="1710"/>
        <w:gridCol w:w="1620"/>
      </w:tblGrid>
      <w:tr w:rsidR="00E82BC7" w:rsidRPr="00C11493" w:rsidTr="00367FEE">
        <w:trPr>
          <w:trHeight w:val="432"/>
          <w:jc w:val="center"/>
        </w:trPr>
        <w:tc>
          <w:tcPr>
            <w:tcW w:w="9082" w:type="dxa"/>
            <w:gridSpan w:val="6"/>
            <w:shd w:val="clear" w:color="auto" w:fill="264D74"/>
            <w:vAlign w:val="center"/>
          </w:tcPr>
          <w:p w:rsidR="00E82BC7" w:rsidRPr="00C11493" w:rsidRDefault="00E82BC7" w:rsidP="00102473">
            <w:pPr>
              <w:pStyle w:val="TableBody"/>
              <w:spacing w:before="20" w:after="20"/>
              <w:rPr>
                <w:noProof/>
                <w:sz w:val="22"/>
                <w:szCs w:val="22"/>
              </w:rPr>
            </w:pPr>
            <w:r w:rsidRPr="00C11493">
              <w:rPr>
                <w:rFonts w:cs="Arial"/>
                <w:b/>
                <w:color w:val="FFFFFF"/>
                <w:sz w:val="22"/>
                <w:szCs w:val="22"/>
              </w:rPr>
              <w:t>Table 9: Statistical Analysis of the Adjustment for C’ Nadir (BC’</w:t>
            </w:r>
            <w:r w:rsidRPr="00C11493">
              <w:rPr>
                <w:rFonts w:cs="Arial"/>
                <w:b/>
                <w:color w:val="FFFFFF"/>
                <w:sz w:val="22"/>
                <w:szCs w:val="22"/>
                <w:vertAlign w:val="subscript"/>
              </w:rPr>
              <w:t>ADJ</w:t>
            </w:r>
            <w:r w:rsidRPr="00C11493">
              <w:rPr>
                <w:rFonts w:cs="Arial"/>
                <w:b/>
                <w:color w:val="FFFFFF"/>
                <w:sz w:val="22"/>
                <w:szCs w:val="22"/>
              </w:rPr>
              <w:t>)</w:t>
            </w:r>
          </w:p>
        </w:tc>
      </w:tr>
      <w:tr w:rsidR="00E82BC7" w:rsidRPr="00C11493" w:rsidTr="003B390C">
        <w:trPr>
          <w:trHeight w:val="674"/>
          <w:jc w:val="center"/>
        </w:trPr>
        <w:tc>
          <w:tcPr>
            <w:tcW w:w="1717" w:type="dxa"/>
            <w:shd w:val="clear" w:color="auto" w:fill="8DB5DA"/>
            <w:vAlign w:val="center"/>
            <w:hideMark/>
          </w:tcPr>
          <w:p w:rsidR="00E82BC7" w:rsidRPr="00C11493" w:rsidRDefault="00E82BC7" w:rsidP="00102473">
            <w:pPr>
              <w:pStyle w:val="TableBody"/>
              <w:spacing w:before="20" w:after="20"/>
              <w:rPr>
                <w:noProof/>
                <w:kern w:val="32"/>
                <w:sz w:val="22"/>
                <w:szCs w:val="22"/>
              </w:rPr>
            </w:pPr>
            <w:r w:rsidRPr="00C11493">
              <w:rPr>
                <w:noProof/>
                <w:kern w:val="32"/>
                <w:sz w:val="22"/>
                <w:szCs w:val="22"/>
              </w:rPr>
              <w:t>Interconnection</w:t>
            </w:r>
          </w:p>
        </w:tc>
        <w:tc>
          <w:tcPr>
            <w:tcW w:w="975" w:type="dxa"/>
            <w:shd w:val="clear" w:color="auto" w:fill="8DB5DA"/>
            <w:vAlign w:val="center"/>
          </w:tcPr>
          <w:p w:rsidR="00E82BC7" w:rsidRPr="00C11493" w:rsidRDefault="00293CE2" w:rsidP="00293CE2">
            <w:pPr>
              <w:pStyle w:val="TableBody"/>
              <w:spacing w:before="20" w:after="20"/>
              <w:rPr>
                <w:noProof/>
                <w:sz w:val="22"/>
                <w:szCs w:val="22"/>
              </w:rPr>
            </w:pPr>
            <w:r w:rsidRPr="00C11493">
              <w:rPr>
                <w:noProof/>
                <w:sz w:val="22"/>
                <w:szCs w:val="22"/>
              </w:rPr>
              <w:t>Events</w:t>
            </w:r>
            <w:r w:rsidR="00E82BC7" w:rsidRPr="00C11493">
              <w:rPr>
                <w:noProof/>
                <w:sz w:val="22"/>
                <w:szCs w:val="22"/>
              </w:rPr>
              <w:br/>
            </w:r>
            <w:r w:rsidRPr="00C11493">
              <w:rPr>
                <w:noProof/>
                <w:sz w:val="22"/>
                <w:szCs w:val="22"/>
              </w:rPr>
              <w:t>Analyzed</w:t>
            </w:r>
          </w:p>
        </w:tc>
        <w:tc>
          <w:tcPr>
            <w:tcW w:w="1907" w:type="dxa"/>
            <w:shd w:val="clear" w:color="auto" w:fill="8DB5DA"/>
            <w:vAlign w:val="center"/>
          </w:tcPr>
          <w:p w:rsidR="00E82BC7" w:rsidRPr="00C11493" w:rsidRDefault="003B390C" w:rsidP="00102473">
            <w:pPr>
              <w:pStyle w:val="TableBody"/>
              <w:spacing w:before="20" w:after="20"/>
              <w:rPr>
                <w:noProof/>
                <w:sz w:val="22"/>
                <w:szCs w:val="22"/>
              </w:rPr>
            </w:pPr>
            <w:r w:rsidRPr="00C11493">
              <w:rPr>
                <w:noProof/>
                <w:sz w:val="22"/>
                <w:szCs w:val="22"/>
              </w:rPr>
              <w:t>Events W/C’</w:t>
            </w:r>
            <w:r w:rsidRPr="00C11493">
              <w:rPr>
                <w:noProof/>
                <w:sz w:val="22"/>
                <w:szCs w:val="22"/>
              </w:rPr>
              <w:br/>
              <w:t>Lower than B</w:t>
            </w:r>
          </w:p>
        </w:tc>
        <w:tc>
          <w:tcPr>
            <w:tcW w:w="1153"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Mean</w:t>
            </w:r>
          </w:p>
        </w:tc>
        <w:tc>
          <w:tcPr>
            <w:tcW w:w="1710"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Standard Deviation</w:t>
            </w:r>
          </w:p>
        </w:tc>
        <w:tc>
          <w:tcPr>
            <w:tcW w:w="1620"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BC’</w:t>
            </w:r>
            <w:r w:rsidRPr="00C11493">
              <w:rPr>
                <w:noProof/>
                <w:sz w:val="22"/>
                <w:szCs w:val="22"/>
                <w:vertAlign w:val="subscript"/>
              </w:rPr>
              <w:t>ADJ</w:t>
            </w:r>
            <w:r w:rsidRPr="00C11493">
              <w:rPr>
                <w:noProof/>
                <w:sz w:val="22"/>
                <w:szCs w:val="22"/>
                <w:vertAlign w:val="subscript"/>
              </w:rPr>
              <w:br/>
            </w:r>
            <w:r w:rsidRPr="00C11493">
              <w:rPr>
                <w:noProof/>
                <w:sz w:val="22"/>
                <w:szCs w:val="22"/>
              </w:rPr>
              <w:t>(95% Quantile)</w:t>
            </w:r>
          </w:p>
        </w:tc>
      </w:tr>
      <w:tr w:rsidR="003B390C" w:rsidRPr="00C11493" w:rsidTr="003B390C">
        <w:trPr>
          <w:trHeight w:val="300"/>
          <w:jc w:val="center"/>
        </w:trPr>
        <w:tc>
          <w:tcPr>
            <w:tcW w:w="1717" w:type="dxa"/>
            <w:shd w:val="clear" w:color="auto" w:fill="auto"/>
            <w:vAlign w:val="center"/>
            <w:hideMark/>
          </w:tcPr>
          <w:p w:rsidR="003B390C" w:rsidRPr="00C11493" w:rsidRDefault="003B390C" w:rsidP="003B390C">
            <w:pPr>
              <w:pStyle w:val="TableBody"/>
              <w:spacing w:before="20" w:after="20"/>
              <w:rPr>
                <w:noProof/>
                <w:sz w:val="22"/>
                <w:szCs w:val="22"/>
              </w:rPr>
            </w:pPr>
            <w:r w:rsidRPr="00C11493">
              <w:rPr>
                <w:noProof/>
                <w:sz w:val="22"/>
                <w:szCs w:val="22"/>
              </w:rPr>
              <w:t>Eastern</w:t>
            </w:r>
          </w:p>
        </w:tc>
        <w:tc>
          <w:tcPr>
            <w:tcW w:w="975" w:type="dxa"/>
            <w:vAlign w:val="center"/>
          </w:tcPr>
          <w:p w:rsidR="003B390C" w:rsidRPr="00C11493" w:rsidRDefault="003B390C" w:rsidP="003B390C">
            <w:pPr>
              <w:pStyle w:val="TableBody"/>
              <w:spacing w:before="20" w:after="20"/>
              <w:rPr>
                <w:noProof/>
                <w:sz w:val="22"/>
                <w:szCs w:val="22"/>
              </w:rPr>
            </w:pPr>
            <w:r w:rsidRPr="00C11493">
              <w:rPr>
                <w:noProof/>
                <w:sz w:val="22"/>
                <w:szCs w:val="22"/>
              </w:rPr>
              <w:t>160</w:t>
            </w:r>
          </w:p>
        </w:tc>
        <w:tc>
          <w:tcPr>
            <w:tcW w:w="1907" w:type="dxa"/>
            <w:shd w:val="clear" w:color="auto" w:fill="auto"/>
            <w:vAlign w:val="center"/>
          </w:tcPr>
          <w:p w:rsidR="003B390C" w:rsidRPr="00C11493" w:rsidRDefault="003B390C" w:rsidP="003B390C">
            <w:pPr>
              <w:pStyle w:val="TableBody"/>
              <w:spacing w:before="20" w:after="20"/>
              <w:rPr>
                <w:noProof/>
                <w:sz w:val="22"/>
                <w:szCs w:val="22"/>
              </w:rPr>
            </w:pPr>
            <w:r w:rsidRPr="00C11493">
              <w:rPr>
                <w:noProof/>
                <w:sz w:val="22"/>
                <w:szCs w:val="22"/>
              </w:rPr>
              <w:t>159</w:t>
            </w:r>
          </w:p>
        </w:tc>
        <w:tc>
          <w:tcPr>
            <w:tcW w:w="1153" w:type="dxa"/>
            <w:vAlign w:val="center"/>
          </w:tcPr>
          <w:p w:rsidR="003B390C" w:rsidRPr="00C11493" w:rsidRDefault="003B390C" w:rsidP="003B390C">
            <w:pPr>
              <w:pStyle w:val="TableBody"/>
              <w:spacing w:before="20" w:after="20"/>
              <w:rPr>
                <w:noProof/>
                <w:sz w:val="22"/>
                <w:szCs w:val="22"/>
              </w:rPr>
            </w:pPr>
            <w:r w:rsidRPr="00C11493">
              <w:rPr>
                <w:noProof/>
                <w:sz w:val="22"/>
                <w:szCs w:val="22"/>
              </w:rPr>
              <w:t>7.3 mHz</w:t>
            </w:r>
          </w:p>
        </w:tc>
        <w:tc>
          <w:tcPr>
            <w:tcW w:w="1710" w:type="dxa"/>
            <w:vAlign w:val="center"/>
          </w:tcPr>
          <w:p w:rsidR="003B390C" w:rsidRPr="00C11493" w:rsidRDefault="003B390C" w:rsidP="003B390C">
            <w:pPr>
              <w:pStyle w:val="TableBody"/>
              <w:spacing w:before="20" w:after="20"/>
              <w:rPr>
                <w:noProof/>
                <w:sz w:val="22"/>
                <w:szCs w:val="22"/>
              </w:rPr>
            </w:pPr>
            <w:r w:rsidRPr="00C11493">
              <w:rPr>
                <w:sz w:val="22"/>
                <w:szCs w:val="22"/>
              </w:rPr>
              <w:t>5.5 mHz</w:t>
            </w:r>
          </w:p>
        </w:tc>
        <w:tc>
          <w:tcPr>
            <w:tcW w:w="1620" w:type="dxa"/>
            <w:vAlign w:val="center"/>
          </w:tcPr>
          <w:p w:rsidR="003B390C" w:rsidRPr="001B2F19" w:rsidRDefault="003B390C" w:rsidP="003B390C">
            <w:pPr>
              <w:pStyle w:val="TableBody"/>
              <w:spacing w:before="20" w:after="20"/>
              <w:rPr>
                <w:noProof/>
                <w:sz w:val="22"/>
                <w:szCs w:val="22"/>
              </w:rPr>
            </w:pPr>
            <w:r w:rsidRPr="001B2F19">
              <w:rPr>
                <w:noProof/>
                <w:sz w:val="22"/>
                <w:szCs w:val="22"/>
              </w:rPr>
              <w:t>17.4 mHz</w:t>
            </w:r>
          </w:p>
        </w:tc>
      </w:tr>
      <w:tr w:rsidR="003B390C" w:rsidRPr="00C11493" w:rsidTr="003B390C">
        <w:trPr>
          <w:trHeight w:val="300"/>
          <w:jc w:val="center"/>
        </w:trPr>
        <w:tc>
          <w:tcPr>
            <w:tcW w:w="1717" w:type="dxa"/>
            <w:shd w:val="clear" w:color="auto" w:fill="D9D9D9" w:themeFill="background1" w:themeFillShade="D9"/>
            <w:vAlign w:val="center"/>
            <w:hideMark/>
          </w:tcPr>
          <w:p w:rsidR="003B390C" w:rsidRPr="00C11493" w:rsidRDefault="003B390C" w:rsidP="003B390C">
            <w:pPr>
              <w:pStyle w:val="TableBody"/>
              <w:spacing w:before="20" w:after="20"/>
              <w:rPr>
                <w:noProof/>
                <w:sz w:val="22"/>
                <w:szCs w:val="22"/>
              </w:rPr>
            </w:pPr>
            <w:r w:rsidRPr="00C11493">
              <w:rPr>
                <w:noProof/>
                <w:sz w:val="22"/>
                <w:szCs w:val="22"/>
              </w:rPr>
              <w:t>Western</w:t>
            </w:r>
            <w:r w:rsidR="006F69C3">
              <w:rPr>
                <w:rStyle w:val="FootnoteReference"/>
                <w:noProof/>
                <w:sz w:val="22"/>
                <w:szCs w:val="22"/>
              </w:rPr>
              <w:footnoteReference w:id="20"/>
            </w:r>
          </w:p>
        </w:tc>
        <w:tc>
          <w:tcPr>
            <w:tcW w:w="975" w:type="dxa"/>
            <w:shd w:val="clear" w:color="auto" w:fill="D9D9D9" w:themeFill="background1" w:themeFillShade="D9"/>
            <w:vAlign w:val="center"/>
          </w:tcPr>
          <w:p w:rsidR="003B390C" w:rsidRPr="00C11493" w:rsidRDefault="003B390C" w:rsidP="003B390C">
            <w:pPr>
              <w:pStyle w:val="TableBody"/>
              <w:spacing w:before="20" w:after="20"/>
              <w:rPr>
                <w:noProof/>
                <w:sz w:val="22"/>
                <w:szCs w:val="22"/>
              </w:rPr>
            </w:pPr>
            <w:r w:rsidRPr="00C11493">
              <w:rPr>
                <w:noProof/>
                <w:sz w:val="22"/>
                <w:szCs w:val="22"/>
              </w:rPr>
              <w:t>79</w:t>
            </w:r>
          </w:p>
        </w:tc>
        <w:tc>
          <w:tcPr>
            <w:tcW w:w="1907" w:type="dxa"/>
            <w:shd w:val="clear" w:color="auto" w:fill="D9D9D9" w:themeFill="background1" w:themeFillShade="D9"/>
          </w:tcPr>
          <w:p w:rsidR="003B390C" w:rsidRPr="00C11493" w:rsidRDefault="003B390C" w:rsidP="003B390C">
            <w:pPr>
              <w:pStyle w:val="TableBody"/>
              <w:spacing w:before="20" w:after="20"/>
              <w:rPr>
                <w:noProof/>
                <w:sz w:val="22"/>
                <w:szCs w:val="22"/>
              </w:rPr>
            </w:pPr>
            <w:r w:rsidRPr="00C11493">
              <w:rPr>
                <w:noProof/>
                <w:sz w:val="22"/>
                <w:szCs w:val="22"/>
              </w:rPr>
              <w:t>79</w:t>
            </w:r>
          </w:p>
        </w:tc>
        <w:tc>
          <w:tcPr>
            <w:tcW w:w="1153" w:type="dxa"/>
            <w:shd w:val="clear" w:color="auto" w:fill="D9D9D9" w:themeFill="background1" w:themeFillShade="D9"/>
            <w:vAlign w:val="center"/>
          </w:tcPr>
          <w:p w:rsidR="003B390C" w:rsidRPr="00C11493" w:rsidRDefault="003B390C" w:rsidP="003B390C">
            <w:pPr>
              <w:pStyle w:val="TableBody"/>
              <w:spacing w:before="20" w:after="20"/>
              <w:rPr>
                <w:noProof/>
                <w:sz w:val="22"/>
                <w:szCs w:val="22"/>
              </w:rPr>
            </w:pPr>
            <w:r w:rsidRPr="00C11493">
              <w:rPr>
                <w:noProof/>
                <w:sz w:val="22"/>
                <w:szCs w:val="22"/>
              </w:rPr>
              <w:t>30.5 mHz</w:t>
            </w:r>
          </w:p>
        </w:tc>
        <w:tc>
          <w:tcPr>
            <w:tcW w:w="1710" w:type="dxa"/>
            <w:shd w:val="clear" w:color="auto" w:fill="D9D9D9" w:themeFill="background1" w:themeFillShade="D9"/>
            <w:vAlign w:val="center"/>
          </w:tcPr>
          <w:p w:rsidR="003B390C" w:rsidRPr="00C11493" w:rsidRDefault="003B390C" w:rsidP="003B390C">
            <w:pPr>
              <w:pStyle w:val="TableBody"/>
              <w:spacing w:before="20" w:after="20"/>
              <w:rPr>
                <w:noProof/>
                <w:sz w:val="22"/>
                <w:szCs w:val="22"/>
              </w:rPr>
            </w:pPr>
            <w:r w:rsidRPr="00C11493">
              <w:rPr>
                <w:sz w:val="22"/>
                <w:szCs w:val="22"/>
              </w:rPr>
              <w:t>15.5 mHz</w:t>
            </w:r>
          </w:p>
        </w:tc>
        <w:tc>
          <w:tcPr>
            <w:tcW w:w="1620" w:type="dxa"/>
            <w:shd w:val="clear" w:color="auto" w:fill="D9D9D9" w:themeFill="background1" w:themeFillShade="D9"/>
            <w:vAlign w:val="center"/>
          </w:tcPr>
          <w:p w:rsidR="003B390C" w:rsidRPr="00C11493" w:rsidRDefault="003B390C" w:rsidP="003B390C">
            <w:pPr>
              <w:pStyle w:val="TableBody"/>
              <w:spacing w:before="20" w:after="20"/>
              <w:rPr>
                <w:noProof/>
                <w:sz w:val="22"/>
                <w:szCs w:val="22"/>
              </w:rPr>
            </w:pPr>
            <w:r w:rsidRPr="00C11493">
              <w:rPr>
                <w:noProof/>
                <w:sz w:val="22"/>
                <w:szCs w:val="22"/>
              </w:rPr>
              <w:t>48.6 mHz</w:t>
            </w:r>
          </w:p>
        </w:tc>
      </w:tr>
      <w:tr w:rsidR="003B390C" w:rsidRPr="00C11493" w:rsidTr="003B390C">
        <w:trPr>
          <w:trHeight w:val="300"/>
          <w:jc w:val="center"/>
        </w:trPr>
        <w:tc>
          <w:tcPr>
            <w:tcW w:w="1717" w:type="dxa"/>
            <w:shd w:val="clear" w:color="auto" w:fill="auto"/>
            <w:vAlign w:val="center"/>
            <w:hideMark/>
          </w:tcPr>
          <w:p w:rsidR="003B390C" w:rsidRPr="006F69C3" w:rsidRDefault="003B390C" w:rsidP="003B390C">
            <w:pPr>
              <w:pStyle w:val="TableBody"/>
              <w:spacing w:before="20" w:after="20"/>
              <w:rPr>
                <w:noProof/>
                <w:sz w:val="22"/>
                <w:szCs w:val="22"/>
                <w:vertAlign w:val="superscript"/>
              </w:rPr>
            </w:pPr>
            <w:r w:rsidRPr="00C11493">
              <w:rPr>
                <w:noProof/>
                <w:sz w:val="22"/>
                <w:szCs w:val="22"/>
              </w:rPr>
              <w:t>ERCOT</w:t>
            </w:r>
            <w:r w:rsidR="006F69C3">
              <w:rPr>
                <w:noProof/>
                <w:sz w:val="22"/>
                <w:szCs w:val="22"/>
                <w:vertAlign w:val="superscript"/>
              </w:rPr>
              <w:t>20</w:t>
            </w:r>
          </w:p>
        </w:tc>
        <w:tc>
          <w:tcPr>
            <w:tcW w:w="975" w:type="dxa"/>
            <w:vAlign w:val="center"/>
          </w:tcPr>
          <w:p w:rsidR="003B390C" w:rsidRPr="00C11493" w:rsidRDefault="003B390C" w:rsidP="003B390C">
            <w:pPr>
              <w:pStyle w:val="TableBody"/>
              <w:spacing w:before="20" w:after="20"/>
              <w:rPr>
                <w:noProof/>
                <w:sz w:val="22"/>
                <w:szCs w:val="22"/>
              </w:rPr>
            </w:pPr>
            <w:r w:rsidRPr="00C11493">
              <w:rPr>
                <w:noProof/>
                <w:sz w:val="22"/>
                <w:szCs w:val="22"/>
              </w:rPr>
              <w:t>169</w:t>
            </w:r>
          </w:p>
        </w:tc>
        <w:tc>
          <w:tcPr>
            <w:tcW w:w="1907" w:type="dxa"/>
            <w:shd w:val="clear" w:color="auto" w:fill="auto"/>
            <w:vAlign w:val="center"/>
          </w:tcPr>
          <w:p w:rsidR="003B390C" w:rsidRPr="00C11493" w:rsidRDefault="003B390C" w:rsidP="003B390C">
            <w:pPr>
              <w:pStyle w:val="TableBody"/>
              <w:spacing w:before="20" w:after="20"/>
              <w:rPr>
                <w:noProof/>
                <w:sz w:val="22"/>
                <w:szCs w:val="22"/>
              </w:rPr>
            </w:pPr>
            <w:r w:rsidRPr="00C11493">
              <w:rPr>
                <w:noProof/>
                <w:sz w:val="22"/>
                <w:szCs w:val="22"/>
              </w:rPr>
              <w:t>169</w:t>
            </w:r>
          </w:p>
        </w:tc>
        <w:tc>
          <w:tcPr>
            <w:tcW w:w="1153" w:type="dxa"/>
            <w:vAlign w:val="center"/>
          </w:tcPr>
          <w:p w:rsidR="003B390C" w:rsidRPr="00C11493" w:rsidRDefault="003B390C" w:rsidP="003B390C">
            <w:pPr>
              <w:pStyle w:val="TableBody"/>
              <w:spacing w:before="20" w:after="20"/>
              <w:rPr>
                <w:noProof/>
                <w:sz w:val="22"/>
                <w:szCs w:val="22"/>
              </w:rPr>
            </w:pPr>
            <w:r w:rsidRPr="00C11493">
              <w:rPr>
                <w:noProof/>
                <w:sz w:val="22"/>
                <w:szCs w:val="22"/>
              </w:rPr>
              <w:t>26.7 mHz</w:t>
            </w:r>
          </w:p>
        </w:tc>
        <w:tc>
          <w:tcPr>
            <w:tcW w:w="1710" w:type="dxa"/>
            <w:vAlign w:val="center"/>
          </w:tcPr>
          <w:p w:rsidR="003B390C" w:rsidRPr="00C11493" w:rsidRDefault="003B390C" w:rsidP="003B390C">
            <w:pPr>
              <w:pStyle w:val="TableBody"/>
              <w:spacing w:before="20" w:after="20"/>
              <w:rPr>
                <w:noProof/>
                <w:sz w:val="22"/>
                <w:szCs w:val="22"/>
              </w:rPr>
            </w:pPr>
            <w:r w:rsidRPr="00C11493">
              <w:rPr>
                <w:sz w:val="22"/>
                <w:szCs w:val="22"/>
              </w:rPr>
              <w:t>21.9 mHz</w:t>
            </w:r>
          </w:p>
        </w:tc>
        <w:tc>
          <w:tcPr>
            <w:tcW w:w="1620" w:type="dxa"/>
            <w:vAlign w:val="center"/>
          </w:tcPr>
          <w:p w:rsidR="003B390C" w:rsidRPr="00C11493" w:rsidRDefault="003B390C" w:rsidP="003B390C">
            <w:pPr>
              <w:pStyle w:val="TableBody"/>
              <w:spacing w:before="20" w:after="20"/>
              <w:rPr>
                <w:noProof/>
                <w:sz w:val="22"/>
                <w:szCs w:val="22"/>
              </w:rPr>
            </w:pPr>
            <w:r w:rsidRPr="00C11493">
              <w:rPr>
                <w:noProof/>
                <w:sz w:val="22"/>
                <w:szCs w:val="22"/>
              </w:rPr>
              <w:t>68.9 mHz</w:t>
            </w:r>
          </w:p>
        </w:tc>
      </w:tr>
      <w:tr w:rsidR="003B390C" w:rsidRPr="00C11493" w:rsidTr="003B390C">
        <w:trPr>
          <w:trHeight w:val="300"/>
          <w:jc w:val="center"/>
        </w:trPr>
        <w:tc>
          <w:tcPr>
            <w:tcW w:w="1717" w:type="dxa"/>
            <w:shd w:val="clear" w:color="auto" w:fill="D9D9D9" w:themeFill="background1" w:themeFillShade="D9"/>
            <w:vAlign w:val="center"/>
            <w:hideMark/>
          </w:tcPr>
          <w:p w:rsidR="003B390C" w:rsidRPr="006F69C3" w:rsidRDefault="003B390C" w:rsidP="003B390C">
            <w:pPr>
              <w:pStyle w:val="TableBody"/>
              <w:spacing w:before="20" w:after="20"/>
              <w:rPr>
                <w:noProof/>
                <w:sz w:val="22"/>
                <w:szCs w:val="22"/>
                <w:vertAlign w:val="superscript"/>
              </w:rPr>
            </w:pPr>
            <w:r w:rsidRPr="00C84469">
              <w:rPr>
                <w:noProof/>
                <w:sz w:val="22"/>
                <w:szCs w:val="22"/>
              </w:rPr>
              <w:t>Québec</w:t>
            </w:r>
            <w:r w:rsidR="006F69C3">
              <w:rPr>
                <w:noProof/>
                <w:sz w:val="22"/>
                <w:szCs w:val="22"/>
                <w:vertAlign w:val="superscript"/>
              </w:rPr>
              <w:t>20</w:t>
            </w:r>
          </w:p>
        </w:tc>
        <w:tc>
          <w:tcPr>
            <w:tcW w:w="975" w:type="dxa"/>
            <w:shd w:val="clear" w:color="auto" w:fill="D9D9D9" w:themeFill="background1" w:themeFillShade="D9"/>
            <w:vAlign w:val="center"/>
          </w:tcPr>
          <w:p w:rsidR="003B390C" w:rsidRPr="00C84469" w:rsidRDefault="003B390C" w:rsidP="00403B1E">
            <w:pPr>
              <w:pStyle w:val="TableBody"/>
              <w:spacing w:before="20" w:after="20"/>
              <w:rPr>
                <w:noProof/>
                <w:sz w:val="22"/>
                <w:szCs w:val="22"/>
              </w:rPr>
            </w:pPr>
            <w:r w:rsidRPr="00C84469">
              <w:rPr>
                <w:noProof/>
                <w:sz w:val="22"/>
                <w:szCs w:val="22"/>
              </w:rPr>
              <w:t>6</w:t>
            </w:r>
            <w:r w:rsidR="00403B1E">
              <w:rPr>
                <w:noProof/>
                <w:sz w:val="22"/>
                <w:szCs w:val="22"/>
              </w:rPr>
              <w:t>7</w:t>
            </w:r>
          </w:p>
        </w:tc>
        <w:tc>
          <w:tcPr>
            <w:tcW w:w="1907" w:type="dxa"/>
            <w:shd w:val="clear" w:color="auto" w:fill="D9D9D9" w:themeFill="background1" w:themeFillShade="D9"/>
            <w:vAlign w:val="center"/>
          </w:tcPr>
          <w:p w:rsidR="003B390C" w:rsidRPr="00C84469" w:rsidRDefault="003B390C" w:rsidP="00403B1E">
            <w:pPr>
              <w:pStyle w:val="TableBody"/>
              <w:spacing w:before="20" w:after="20"/>
              <w:rPr>
                <w:noProof/>
                <w:sz w:val="22"/>
                <w:szCs w:val="22"/>
              </w:rPr>
            </w:pPr>
            <w:r w:rsidRPr="00C84469">
              <w:rPr>
                <w:noProof/>
                <w:sz w:val="22"/>
                <w:szCs w:val="22"/>
              </w:rPr>
              <w:t>6</w:t>
            </w:r>
            <w:r w:rsidR="00403B1E">
              <w:rPr>
                <w:noProof/>
                <w:sz w:val="22"/>
                <w:szCs w:val="22"/>
              </w:rPr>
              <w:t>7</w:t>
            </w:r>
          </w:p>
        </w:tc>
        <w:tc>
          <w:tcPr>
            <w:tcW w:w="1153" w:type="dxa"/>
            <w:shd w:val="clear" w:color="auto" w:fill="D9D9D9" w:themeFill="background1" w:themeFillShade="D9"/>
            <w:vAlign w:val="center"/>
          </w:tcPr>
          <w:p w:rsidR="003B390C" w:rsidRPr="00C84469" w:rsidRDefault="00403B1E" w:rsidP="003B390C">
            <w:pPr>
              <w:pStyle w:val="TableBody"/>
              <w:spacing w:before="20" w:after="20"/>
              <w:rPr>
                <w:noProof/>
                <w:sz w:val="22"/>
                <w:szCs w:val="22"/>
              </w:rPr>
            </w:pPr>
            <w:r>
              <w:rPr>
                <w:noProof/>
                <w:sz w:val="22"/>
                <w:szCs w:val="22"/>
              </w:rPr>
              <w:t>223</w:t>
            </w:r>
            <w:r w:rsidR="003B390C" w:rsidRPr="00C84469">
              <w:rPr>
                <w:noProof/>
                <w:sz w:val="22"/>
                <w:szCs w:val="22"/>
              </w:rPr>
              <w:t>.1 mHz</w:t>
            </w:r>
          </w:p>
        </w:tc>
        <w:tc>
          <w:tcPr>
            <w:tcW w:w="1710" w:type="dxa"/>
            <w:shd w:val="clear" w:color="auto" w:fill="D9D9D9" w:themeFill="background1" w:themeFillShade="D9"/>
            <w:vAlign w:val="center"/>
          </w:tcPr>
          <w:p w:rsidR="003B390C" w:rsidRPr="00C84469" w:rsidRDefault="003B390C" w:rsidP="00403B1E">
            <w:pPr>
              <w:pStyle w:val="TableBody"/>
              <w:spacing w:before="20" w:after="20"/>
              <w:rPr>
                <w:noProof/>
                <w:sz w:val="22"/>
                <w:szCs w:val="22"/>
              </w:rPr>
            </w:pPr>
            <w:r w:rsidRPr="00C84469">
              <w:rPr>
                <w:noProof/>
                <w:sz w:val="22"/>
                <w:szCs w:val="22"/>
              </w:rPr>
              <w:t>9</w:t>
            </w:r>
            <w:r w:rsidR="00403B1E">
              <w:rPr>
                <w:noProof/>
                <w:sz w:val="22"/>
                <w:szCs w:val="22"/>
              </w:rPr>
              <w:t>1.</w:t>
            </w:r>
            <w:r w:rsidRPr="00C84469">
              <w:rPr>
                <w:noProof/>
                <w:sz w:val="22"/>
                <w:szCs w:val="22"/>
              </w:rPr>
              <w:t>2 mHz</w:t>
            </w:r>
          </w:p>
        </w:tc>
        <w:tc>
          <w:tcPr>
            <w:tcW w:w="1620" w:type="dxa"/>
            <w:shd w:val="clear" w:color="auto" w:fill="D9D9D9" w:themeFill="background1" w:themeFillShade="D9"/>
            <w:vAlign w:val="center"/>
          </w:tcPr>
          <w:p w:rsidR="003B390C" w:rsidRPr="00C11493" w:rsidRDefault="00403B1E" w:rsidP="003B390C">
            <w:pPr>
              <w:pStyle w:val="TableBody"/>
              <w:spacing w:before="20" w:after="20"/>
              <w:rPr>
                <w:noProof/>
                <w:sz w:val="22"/>
                <w:szCs w:val="22"/>
              </w:rPr>
            </w:pPr>
            <w:r>
              <w:rPr>
                <w:noProof/>
                <w:sz w:val="22"/>
                <w:szCs w:val="22"/>
              </w:rPr>
              <w:t>408.7</w:t>
            </w:r>
            <w:r w:rsidR="003B390C" w:rsidRPr="00C84469">
              <w:rPr>
                <w:noProof/>
                <w:sz w:val="22"/>
                <w:szCs w:val="22"/>
              </w:rPr>
              <w:t xml:space="preserve"> mHz</w:t>
            </w:r>
          </w:p>
        </w:tc>
      </w:tr>
    </w:tbl>
    <w:p w:rsidR="00D41491" w:rsidRDefault="00D41491" w:rsidP="00D41491"/>
    <w:p w:rsidR="00D41491" w:rsidRDefault="00D41491" w:rsidP="00D41491">
      <w:r>
        <w:t>Table 10 shows when Point C’ occurred after T+0. For the Western, ERCOT, and Québec Interconnections, the occurrences of Point C’ were before or within the Value B time frame, indicating that a Point C’ adjustment to Value B is not needed in those interconnections.</w:t>
      </w:r>
    </w:p>
    <w:p w:rsidR="00E82BC7" w:rsidRDefault="00E82BC7" w:rsidP="00E82BC7"/>
    <w:tbl>
      <w:tblPr>
        <w:tblW w:w="7642"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CellMar>
          <w:left w:w="0" w:type="dxa"/>
          <w:right w:w="0" w:type="dxa"/>
        </w:tblCellMar>
        <w:tblLook w:val="04A0" w:firstRow="1" w:lastRow="0" w:firstColumn="1" w:lastColumn="0" w:noHBand="0" w:noVBand="1"/>
      </w:tblPr>
      <w:tblGrid>
        <w:gridCol w:w="1960"/>
        <w:gridCol w:w="900"/>
        <w:gridCol w:w="1246"/>
        <w:gridCol w:w="1113"/>
        <w:gridCol w:w="2423"/>
      </w:tblGrid>
      <w:tr w:rsidR="00E82BC7" w:rsidRPr="00C11493" w:rsidTr="00367FEE">
        <w:trPr>
          <w:trHeight w:val="432"/>
          <w:jc w:val="center"/>
        </w:trPr>
        <w:tc>
          <w:tcPr>
            <w:tcW w:w="7642" w:type="dxa"/>
            <w:gridSpan w:val="5"/>
            <w:shd w:val="clear" w:color="auto" w:fill="264D74"/>
            <w:vAlign w:val="center"/>
          </w:tcPr>
          <w:p w:rsidR="00E82BC7" w:rsidRPr="00C11493" w:rsidRDefault="00E82BC7" w:rsidP="00102473">
            <w:pPr>
              <w:pStyle w:val="TableBody"/>
              <w:spacing w:before="20" w:after="20"/>
              <w:rPr>
                <w:noProof/>
                <w:sz w:val="22"/>
                <w:szCs w:val="22"/>
              </w:rPr>
            </w:pPr>
            <w:r w:rsidRPr="00C11493">
              <w:rPr>
                <w:rFonts w:cs="Arial"/>
                <w:b/>
                <w:color w:val="FFFFFF"/>
                <w:sz w:val="22"/>
                <w:szCs w:val="22"/>
              </w:rPr>
              <w:t>Table 10: Seconds from T+0 to C’ Nadir</w:t>
            </w:r>
          </w:p>
        </w:tc>
      </w:tr>
      <w:tr w:rsidR="00E82BC7" w:rsidRPr="00C11493" w:rsidTr="00C97A54">
        <w:trPr>
          <w:trHeight w:val="674"/>
          <w:jc w:val="center"/>
        </w:trPr>
        <w:tc>
          <w:tcPr>
            <w:tcW w:w="1960" w:type="dxa"/>
            <w:shd w:val="clear" w:color="auto" w:fill="8DB5DA"/>
            <w:vAlign w:val="center"/>
            <w:hideMark/>
          </w:tcPr>
          <w:p w:rsidR="00E82BC7" w:rsidRPr="00C11493" w:rsidRDefault="00E82BC7" w:rsidP="00102473">
            <w:pPr>
              <w:pStyle w:val="TableBody"/>
              <w:spacing w:before="20" w:after="20"/>
              <w:rPr>
                <w:noProof/>
                <w:kern w:val="32"/>
                <w:sz w:val="22"/>
                <w:szCs w:val="22"/>
              </w:rPr>
            </w:pPr>
            <w:r w:rsidRPr="00C11493">
              <w:rPr>
                <w:noProof/>
                <w:kern w:val="32"/>
                <w:sz w:val="22"/>
                <w:szCs w:val="22"/>
              </w:rPr>
              <w:t>Interconnection</w:t>
            </w:r>
          </w:p>
        </w:tc>
        <w:tc>
          <w:tcPr>
            <w:tcW w:w="900"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Total</w:t>
            </w:r>
            <w:r w:rsidRPr="00C11493">
              <w:rPr>
                <w:noProof/>
                <w:sz w:val="22"/>
                <w:szCs w:val="22"/>
              </w:rPr>
              <w:br/>
              <w:t>Events</w:t>
            </w:r>
          </w:p>
        </w:tc>
        <w:tc>
          <w:tcPr>
            <w:tcW w:w="1246" w:type="dxa"/>
            <w:shd w:val="clear" w:color="auto" w:fill="8DB5DA"/>
            <w:vAlign w:val="center"/>
            <w:hideMark/>
          </w:tcPr>
          <w:p w:rsidR="00E82BC7" w:rsidRPr="00C11493" w:rsidRDefault="00E82BC7" w:rsidP="00102473">
            <w:pPr>
              <w:pStyle w:val="TableBody"/>
              <w:spacing w:before="20" w:after="20"/>
              <w:rPr>
                <w:noProof/>
                <w:sz w:val="22"/>
                <w:szCs w:val="22"/>
              </w:rPr>
            </w:pPr>
            <w:r w:rsidRPr="00C11493">
              <w:rPr>
                <w:noProof/>
                <w:sz w:val="22"/>
                <w:szCs w:val="22"/>
              </w:rPr>
              <w:t>Events W/C’</w:t>
            </w:r>
            <w:r w:rsidRPr="00C11493">
              <w:rPr>
                <w:noProof/>
                <w:sz w:val="22"/>
                <w:szCs w:val="22"/>
              </w:rPr>
              <w:br/>
              <w:t>Lower than B</w:t>
            </w:r>
          </w:p>
        </w:tc>
        <w:tc>
          <w:tcPr>
            <w:tcW w:w="1113"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Mean</w:t>
            </w:r>
          </w:p>
        </w:tc>
        <w:tc>
          <w:tcPr>
            <w:tcW w:w="2423" w:type="dxa"/>
            <w:shd w:val="clear" w:color="auto" w:fill="8DB5DA"/>
            <w:vAlign w:val="center"/>
          </w:tcPr>
          <w:p w:rsidR="00E82BC7" w:rsidRPr="00C11493" w:rsidRDefault="00E82BC7" w:rsidP="00102473">
            <w:pPr>
              <w:pStyle w:val="TableBody"/>
              <w:spacing w:before="20" w:after="20"/>
              <w:rPr>
                <w:noProof/>
                <w:sz w:val="22"/>
                <w:szCs w:val="22"/>
              </w:rPr>
            </w:pPr>
            <w:r w:rsidRPr="00C11493">
              <w:rPr>
                <w:noProof/>
                <w:sz w:val="22"/>
                <w:szCs w:val="22"/>
              </w:rPr>
              <w:t>Point C’ Time</w:t>
            </w:r>
            <w:r w:rsidRPr="00C11493">
              <w:rPr>
                <w:noProof/>
                <w:sz w:val="22"/>
                <w:szCs w:val="22"/>
                <w:vertAlign w:val="subscript"/>
              </w:rPr>
              <w:br/>
            </w:r>
            <w:r w:rsidRPr="00C11493">
              <w:rPr>
                <w:noProof/>
                <w:sz w:val="22"/>
                <w:szCs w:val="22"/>
              </w:rPr>
              <w:t>(Confidence Adjusted)</w:t>
            </w:r>
          </w:p>
        </w:tc>
      </w:tr>
      <w:tr w:rsidR="00B97774" w:rsidRPr="00C11493" w:rsidTr="00C97A54">
        <w:trPr>
          <w:trHeight w:val="300"/>
          <w:jc w:val="center"/>
        </w:trPr>
        <w:tc>
          <w:tcPr>
            <w:tcW w:w="1960" w:type="dxa"/>
            <w:shd w:val="clear" w:color="auto" w:fill="auto"/>
            <w:vAlign w:val="center"/>
            <w:hideMark/>
          </w:tcPr>
          <w:p w:rsidR="00B97774" w:rsidRPr="00C11493" w:rsidRDefault="00B97774" w:rsidP="00B97774">
            <w:pPr>
              <w:pStyle w:val="TableBody"/>
              <w:spacing w:before="20" w:after="20"/>
              <w:rPr>
                <w:noProof/>
                <w:sz w:val="22"/>
                <w:szCs w:val="22"/>
              </w:rPr>
            </w:pPr>
            <w:r w:rsidRPr="00C11493">
              <w:rPr>
                <w:noProof/>
                <w:sz w:val="22"/>
                <w:szCs w:val="22"/>
              </w:rPr>
              <w:t>Eastern</w:t>
            </w:r>
          </w:p>
        </w:tc>
        <w:tc>
          <w:tcPr>
            <w:tcW w:w="900" w:type="dxa"/>
            <w:vAlign w:val="center"/>
          </w:tcPr>
          <w:p w:rsidR="00B97774" w:rsidRPr="00C11493" w:rsidRDefault="00B97774" w:rsidP="00B97774">
            <w:pPr>
              <w:pStyle w:val="TableBody"/>
              <w:spacing w:before="20" w:after="20"/>
              <w:rPr>
                <w:noProof/>
                <w:sz w:val="22"/>
                <w:szCs w:val="22"/>
              </w:rPr>
            </w:pPr>
            <w:r w:rsidRPr="00C11493">
              <w:rPr>
                <w:noProof/>
                <w:sz w:val="22"/>
                <w:szCs w:val="22"/>
              </w:rPr>
              <w:t>160</w:t>
            </w:r>
          </w:p>
        </w:tc>
        <w:tc>
          <w:tcPr>
            <w:tcW w:w="1246" w:type="dxa"/>
            <w:shd w:val="clear" w:color="auto" w:fill="auto"/>
            <w:vAlign w:val="center"/>
            <w:hideMark/>
          </w:tcPr>
          <w:p w:rsidR="00B97774" w:rsidRPr="00C11493" w:rsidRDefault="00B97774" w:rsidP="00B97774">
            <w:pPr>
              <w:pStyle w:val="TableBody"/>
              <w:spacing w:before="20" w:after="20"/>
              <w:rPr>
                <w:noProof/>
                <w:sz w:val="22"/>
                <w:szCs w:val="22"/>
              </w:rPr>
            </w:pPr>
            <w:r w:rsidRPr="00C11493">
              <w:rPr>
                <w:noProof/>
                <w:sz w:val="22"/>
                <w:szCs w:val="22"/>
              </w:rPr>
              <w:t>159</w:t>
            </w:r>
          </w:p>
        </w:tc>
        <w:tc>
          <w:tcPr>
            <w:tcW w:w="1113" w:type="dxa"/>
            <w:vAlign w:val="center"/>
          </w:tcPr>
          <w:p w:rsidR="00B97774" w:rsidRPr="00C11493" w:rsidRDefault="00B97774" w:rsidP="00B97774">
            <w:pPr>
              <w:pStyle w:val="TableBody"/>
              <w:spacing w:before="20" w:after="20"/>
              <w:rPr>
                <w:noProof/>
                <w:sz w:val="22"/>
                <w:szCs w:val="22"/>
              </w:rPr>
            </w:pPr>
            <w:r w:rsidRPr="00C11493">
              <w:rPr>
                <w:color w:val="000000"/>
                <w:sz w:val="22"/>
                <w:szCs w:val="22"/>
              </w:rPr>
              <w:t>58</w:t>
            </w:r>
          </w:p>
        </w:tc>
        <w:tc>
          <w:tcPr>
            <w:tcW w:w="2423" w:type="dxa"/>
            <w:vAlign w:val="center"/>
          </w:tcPr>
          <w:p w:rsidR="00B97774" w:rsidRPr="00C11493" w:rsidRDefault="00B97774" w:rsidP="00B97774">
            <w:pPr>
              <w:pStyle w:val="TableBody"/>
              <w:spacing w:before="20" w:after="20"/>
              <w:rPr>
                <w:noProof/>
                <w:sz w:val="22"/>
                <w:szCs w:val="22"/>
              </w:rPr>
            </w:pPr>
            <w:r w:rsidRPr="00C11493">
              <w:rPr>
                <w:noProof/>
                <w:sz w:val="22"/>
                <w:szCs w:val="22"/>
              </w:rPr>
              <w:t>52 s to 65 s</w:t>
            </w:r>
          </w:p>
        </w:tc>
      </w:tr>
      <w:tr w:rsidR="00B97774" w:rsidRPr="00C11493" w:rsidTr="00C97A54">
        <w:trPr>
          <w:trHeight w:val="300"/>
          <w:jc w:val="center"/>
        </w:trPr>
        <w:tc>
          <w:tcPr>
            <w:tcW w:w="1960" w:type="dxa"/>
            <w:shd w:val="clear" w:color="auto" w:fill="D9D9D9" w:themeFill="background1" w:themeFillShade="D9"/>
            <w:vAlign w:val="center"/>
          </w:tcPr>
          <w:p w:rsidR="00B97774" w:rsidRPr="00C11493" w:rsidRDefault="00B97774" w:rsidP="00B97774">
            <w:pPr>
              <w:pStyle w:val="TableBody"/>
              <w:spacing w:before="20" w:after="20"/>
              <w:rPr>
                <w:noProof/>
                <w:sz w:val="22"/>
                <w:szCs w:val="22"/>
              </w:rPr>
            </w:pPr>
            <w:r w:rsidRPr="00C11493">
              <w:rPr>
                <w:noProof/>
                <w:sz w:val="22"/>
                <w:szCs w:val="22"/>
              </w:rPr>
              <w:t>Western</w:t>
            </w:r>
          </w:p>
        </w:tc>
        <w:tc>
          <w:tcPr>
            <w:tcW w:w="900" w:type="dxa"/>
            <w:shd w:val="clear" w:color="auto" w:fill="D9D9D9" w:themeFill="background1" w:themeFillShade="D9"/>
          </w:tcPr>
          <w:p w:rsidR="00B97774" w:rsidRPr="00C11493" w:rsidRDefault="00B97774" w:rsidP="00B97774">
            <w:pPr>
              <w:pStyle w:val="TableBody"/>
              <w:spacing w:before="20" w:after="20"/>
              <w:rPr>
                <w:noProof/>
                <w:sz w:val="22"/>
                <w:szCs w:val="22"/>
              </w:rPr>
            </w:pPr>
            <w:r w:rsidRPr="00C11493">
              <w:rPr>
                <w:noProof/>
                <w:sz w:val="22"/>
                <w:szCs w:val="22"/>
              </w:rPr>
              <w:t>79</w:t>
            </w:r>
          </w:p>
        </w:tc>
        <w:tc>
          <w:tcPr>
            <w:tcW w:w="1246" w:type="dxa"/>
            <w:shd w:val="clear" w:color="auto" w:fill="D9D9D9" w:themeFill="background1" w:themeFillShade="D9"/>
          </w:tcPr>
          <w:p w:rsidR="00B97774" w:rsidRPr="00C11493" w:rsidRDefault="00B97774" w:rsidP="00B97774">
            <w:pPr>
              <w:pStyle w:val="TableBody"/>
              <w:spacing w:before="20" w:after="20"/>
              <w:rPr>
                <w:noProof/>
                <w:sz w:val="22"/>
                <w:szCs w:val="22"/>
              </w:rPr>
            </w:pPr>
            <w:r w:rsidRPr="00C11493">
              <w:rPr>
                <w:noProof/>
                <w:sz w:val="22"/>
                <w:szCs w:val="22"/>
              </w:rPr>
              <w:t>79</w:t>
            </w:r>
          </w:p>
        </w:tc>
        <w:tc>
          <w:tcPr>
            <w:tcW w:w="1113" w:type="dxa"/>
            <w:shd w:val="clear" w:color="auto" w:fill="D9D9D9" w:themeFill="background1" w:themeFillShade="D9"/>
            <w:vAlign w:val="center"/>
          </w:tcPr>
          <w:p w:rsidR="00B97774" w:rsidRPr="00C11493" w:rsidRDefault="00B97774" w:rsidP="00B97774">
            <w:pPr>
              <w:pStyle w:val="TableBody"/>
              <w:spacing w:before="20" w:after="20"/>
              <w:rPr>
                <w:noProof/>
                <w:sz w:val="22"/>
                <w:szCs w:val="22"/>
              </w:rPr>
            </w:pPr>
            <w:r w:rsidRPr="00C11493">
              <w:rPr>
                <w:color w:val="000000"/>
                <w:sz w:val="22"/>
                <w:szCs w:val="22"/>
              </w:rPr>
              <w:t>15</w:t>
            </w:r>
          </w:p>
        </w:tc>
        <w:tc>
          <w:tcPr>
            <w:tcW w:w="2423" w:type="dxa"/>
            <w:shd w:val="clear" w:color="auto" w:fill="D9D9D9" w:themeFill="background1" w:themeFillShade="D9"/>
            <w:vAlign w:val="center"/>
          </w:tcPr>
          <w:p w:rsidR="00B97774" w:rsidRPr="00C11493" w:rsidRDefault="00B97774" w:rsidP="00B97774">
            <w:pPr>
              <w:pStyle w:val="TableBody"/>
              <w:spacing w:before="20" w:after="20"/>
              <w:rPr>
                <w:noProof/>
                <w:sz w:val="22"/>
                <w:szCs w:val="22"/>
              </w:rPr>
            </w:pPr>
            <w:r w:rsidRPr="00C11493">
              <w:rPr>
                <w:noProof/>
                <w:sz w:val="22"/>
                <w:szCs w:val="22"/>
              </w:rPr>
              <w:t>12 s to 19 s</w:t>
            </w:r>
          </w:p>
        </w:tc>
      </w:tr>
      <w:tr w:rsidR="00B97774" w:rsidRPr="00C11493" w:rsidTr="00C97A54">
        <w:trPr>
          <w:trHeight w:val="300"/>
          <w:jc w:val="center"/>
        </w:trPr>
        <w:tc>
          <w:tcPr>
            <w:tcW w:w="1960" w:type="dxa"/>
            <w:shd w:val="clear" w:color="auto" w:fill="auto"/>
            <w:vAlign w:val="center"/>
          </w:tcPr>
          <w:p w:rsidR="00B97774" w:rsidRPr="00C11493" w:rsidRDefault="00B97774" w:rsidP="00B97774">
            <w:pPr>
              <w:pStyle w:val="TableBody"/>
              <w:spacing w:before="20" w:after="20"/>
              <w:rPr>
                <w:noProof/>
                <w:sz w:val="22"/>
                <w:szCs w:val="22"/>
              </w:rPr>
            </w:pPr>
            <w:r w:rsidRPr="00C11493">
              <w:rPr>
                <w:noProof/>
                <w:sz w:val="22"/>
                <w:szCs w:val="22"/>
              </w:rPr>
              <w:t>ERCOT</w:t>
            </w:r>
          </w:p>
        </w:tc>
        <w:tc>
          <w:tcPr>
            <w:tcW w:w="900" w:type="dxa"/>
            <w:shd w:val="clear" w:color="auto" w:fill="auto"/>
            <w:vAlign w:val="center"/>
          </w:tcPr>
          <w:p w:rsidR="00B97774" w:rsidRPr="00C11493" w:rsidRDefault="00B97774" w:rsidP="00B97774">
            <w:pPr>
              <w:pStyle w:val="TableBody"/>
              <w:spacing w:before="20" w:after="20"/>
              <w:rPr>
                <w:noProof/>
                <w:sz w:val="22"/>
                <w:szCs w:val="22"/>
              </w:rPr>
            </w:pPr>
            <w:r w:rsidRPr="00C11493">
              <w:rPr>
                <w:noProof/>
                <w:sz w:val="22"/>
                <w:szCs w:val="22"/>
              </w:rPr>
              <w:t>169</w:t>
            </w:r>
          </w:p>
        </w:tc>
        <w:tc>
          <w:tcPr>
            <w:tcW w:w="1246" w:type="dxa"/>
            <w:shd w:val="clear" w:color="auto" w:fill="auto"/>
            <w:vAlign w:val="center"/>
          </w:tcPr>
          <w:p w:rsidR="00B97774" w:rsidRPr="00C11493" w:rsidRDefault="00B97774" w:rsidP="00B97774">
            <w:pPr>
              <w:pStyle w:val="TableBody"/>
              <w:spacing w:before="20" w:after="20"/>
              <w:rPr>
                <w:noProof/>
                <w:sz w:val="22"/>
                <w:szCs w:val="22"/>
              </w:rPr>
            </w:pPr>
            <w:r w:rsidRPr="00C11493">
              <w:rPr>
                <w:noProof/>
                <w:sz w:val="22"/>
                <w:szCs w:val="22"/>
              </w:rPr>
              <w:t>169</w:t>
            </w:r>
          </w:p>
        </w:tc>
        <w:tc>
          <w:tcPr>
            <w:tcW w:w="1113" w:type="dxa"/>
            <w:shd w:val="clear" w:color="auto" w:fill="auto"/>
            <w:vAlign w:val="center"/>
          </w:tcPr>
          <w:p w:rsidR="00B97774" w:rsidRPr="00C11493" w:rsidRDefault="00B97774" w:rsidP="00B97774">
            <w:pPr>
              <w:pStyle w:val="TableBody"/>
              <w:spacing w:before="20" w:after="20"/>
              <w:rPr>
                <w:noProof/>
                <w:sz w:val="22"/>
                <w:szCs w:val="22"/>
              </w:rPr>
            </w:pPr>
            <w:r w:rsidRPr="00C11493">
              <w:rPr>
                <w:color w:val="000000"/>
                <w:sz w:val="22"/>
                <w:szCs w:val="22"/>
              </w:rPr>
              <w:t>26</w:t>
            </w:r>
          </w:p>
        </w:tc>
        <w:tc>
          <w:tcPr>
            <w:tcW w:w="2423" w:type="dxa"/>
            <w:shd w:val="clear" w:color="auto" w:fill="auto"/>
            <w:vAlign w:val="center"/>
          </w:tcPr>
          <w:p w:rsidR="00B97774" w:rsidRPr="00C11493" w:rsidRDefault="00B97774" w:rsidP="00B97774">
            <w:pPr>
              <w:pStyle w:val="TableBody"/>
              <w:spacing w:before="20" w:after="20"/>
              <w:rPr>
                <w:noProof/>
                <w:sz w:val="22"/>
                <w:szCs w:val="22"/>
              </w:rPr>
            </w:pPr>
            <w:r w:rsidRPr="00C11493">
              <w:rPr>
                <w:noProof/>
                <w:sz w:val="22"/>
                <w:szCs w:val="22"/>
              </w:rPr>
              <w:t>21 s to 31 s</w:t>
            </w:r>
          </w:p>
        </w:tc>
      </w:tr>
      <w:tr w:rsidR="00B97774" w:rsidRPr="00C11493" w:rsidTr="00C97A54">
        <w:trPr>
          <w:trHeight w:val="300"/>
          <w:jc w:val="center"/>
        </w:trPr>
        <w:tc>
          <w:tcPr>
            <w:tcW w:w="1960" w:type="dxa"/>
            <w:shd w:val="clear" w:color="auto" w:fill="D9D9D9" w:themeFill="background1" w:themeFillShade="D9"/>
            <w:vAlign w:val="center"/>
            <w:hideMark/>
          </w:tcPr>
          <w:p w:rsidR="00B97774" w:rsidRPr="00C11493" w:rsidRDefault="00B97774" w:rsidP="00B97774">
            <w:pPr>
              <w:pStyle w:val="TableBody"/>
              <w:spacing w:before="20" w:after="20"/>
              <w:rPr>
                <w:noProof/>
                <w:sz w:val="22"/>
                <w:szCs w:val="22"/>
              </w:rPr>
            </w:pPr>
            <w:r w:rsidRPr="00C11493">
              <w:rPr>
                <w:noProof/>
                <w:sz w:val="22"/>
                <w:szCs w:val="22"/>
              </w:rPr>
              <w:t>Québec</w:t>
            </w:r>
          </w:p>
        </w:tc>
        <w:tc>
          <w:tcPr>
            <w:tcW w:w="900" w:type="dxa"/>
            <w:shd w:val="clear" w:color="auto" w:fill="D9D9D9" w:themeFill="background1" w:themeFillShade="D9"/>
            <w:vAlign w:val="center"/>
          </w:tcPr>
          <w:p w:rsidR="00B97774" w:rsidRPr="00C11493" w:rsidRDefault="00B97774" w:rsidP="00403B1E">
            <w:pPr>
              <w:pStyle w:val="TableBody"/>
              <w:spacing w:before="20" w:after="20"/>
              <w:rPr>
                <w:noProof/>
                <w:sz w:val="22"/>
                <w:szCs w:val="22"/>
              </w:rPr>
            </w:pPr>
            <w:r w:rsidRPr="00C11493">
              <w:rPr>
                <w:noProof/>
                <w:sz w:val="22"/>
                <w:szCs w:val="22"/>
              </w:rPr>
              <w:t>6</w:t>
            </w:r>
            <w:r w:rsidR="00403B1E">
              <w:rPr>
                <w:noProof/>
                <w:sz w:val="22"/>
                <w:szCs w:val="22"/>
              </w:rPr>
              <w:t>7</w:t>
            </w:r>
          </w:p>
        </w:tc>
        <w:tc>
          <w:tcPr>
            <w:tcW w:w="1246" w:type="dxa"/>
            <w:shd w:val="clear" w:color="auto" w:fill="D9D9D9" w:themeFill="background1" w:themeFillShade="D9"/>
            <w:vAlign w:val="center"/>
            <w:hideMark/>
          </w:tcPr>
          <w:p w:rsidR="00B97774" w:rsidRPr="00C11493" w:rsidRDefault="00B97774" w:rsidP="00403B1E">
            <w:pPr>
              <w:pStyle w:val="TableBody"/>
              <w:spacing w:before="20" w:after="20"/>
              <w:rPr>
                <w:noProof/>
                <w:sz w:val="22"/>
                <w:szCs w:val="22"/>
              </w:rPr>
            </w:pPr>
            <w:r w:rsidRPr="00C11493">
              <w:rPr>
                <w:noProof/>
                <w:sz w:val="22"/>
                <w:szCs w:val="22"/>
              </w:rPr>
              <w:t>6</w:t>
            </w:r>
            <w:r w:rsidR="00403B1E">
              <w:rPr>
                <w:noProof/>
                <w:sz w:val="22"/>
                <w:szCs w:val="22"/>
              </w:rPr>
              <w:t>7</w:t>
            </w:r>
          </w:p>
        </w:tc>
        <w:tc>
          <w:tcPr>
            <w:tcW w:w="1113" w:type="dxa"/>
            <w:shd w:val="clear" w:color="auto" w:fill="D9D9D9" w:themeFill="background1" w:themeFillShade="D9"/>
            <w:vAlign w:val="center"/>
          </w:tcPr>
          <w:p w:rsidR="00B97774" w:rsidRPr="00C11493" w:rsidRDefault="00403B1E" w:rsidP="00B97774">
            <w:pPr>
              <w:pStyle w:val="TableBody"/>
              <w:spacing w:before="20" w:after="20"/>
              <w:rPr>
                <w:noProof/>
                <w:sz w:val="22"/>
                <w:szCs w:val="22"/>
              </w:rPr>
            </w:pPr>
            <w:r>
              <w:rPr>
                <w:color w:val="000000"/>
                <w:sz w:val="22"/>
                <w:szCs w:val="22"/>
              </w:rPr>
              <w:t>12</w:t>
            </w:r>
          </w:p>
        </w:tc>
        <w:tc>
          <w:tcPr>
            <w:tcW w:w="2423" w:type="dxa"/>
            <w:shd w:val="clear" w:color="auto" w:fill="D9D9D9" w:themeFill="background1" w:themeFillShade="D9"/>
            <w:vAlign w:val="center"/>
          </w:tcPr>
          <w:p w:rsidR="00B97774" w:rsidRPr="00C11493" w:rsidRDefault="00B97774" w:rsidP="00403B1E">
            <w:pPr>
              <w:pStyle w:val="TableBody"/>
              <w:spacing w:before="20" w:after="20"/>
              <w:rPr>
                <w:noProof/>
                <w:sz w:val="22"/>
                <w:szCs w:val="22"/>
              </w:rPr>
            </w:pPr>
            <w:r w:rsidRPr="00C11493">
              <w:rPr>
                <w:noProof/>
                <w:sz w:val="22"/>
                <w:szCs w:val="22"/>
              </w:rPr>
              <w:t>12 s</w:t>
            </w:r>
          </w:p>
        </w:tc>
      </w:tr>
    </w:tbl>
    <w:p w:rsidR="00B97774" w:rsidRDefault="00B97774" w:rsidP="00B97774"/>
    <w:p w:rsidR="00E82BC7" w:rsidRDefault="00E82BC7" w:rsidP="00E82BC7">
      <w:r>
        <w:t xml:space="preserve">Note that the expected time for the Point C’ nadir to occur in the Eastern Interconnection is </w:t>
      </w:r>
      <w:r w:rsidR="00B97774">
        <w:t>52</w:t>
      </w:r>
      <w:r>
        <w:t xml:space="preserve"> to </w:t>
      </w:r>
      <w:r w:rsidR="00B97774">
        <w:t>65</w:t>
      </w:r>
      <w:r>
        <w:t xml:space="preserve"> seconds after the start of the event, which is beyond the Value B time frame. Therefore, a BC’</w:t>
      </w:r>
      <w:r w:rsidRPr="00E82BC7">
        <w:rPr>
          <w:vertAlign w:val="subscript"/>
        </w:rPr>
        <w:t>ADJ</w:t>
      </w:r>
      <w:r>
        <w:t xml:space="preserve"> of </w:t>
      </w:r>
      <w:r w:rsidR="00B97774">
        <w:t>17.4</w:t>
      </w:r>
      <w:r>
        <w:t xml:space="preserve"> mHz is appropriate for the Eastern Interconnection.</w:t>
      </w:r>
      <w:r w:rsidR="00C84469">
        <w:t xml:space="preserve"> No BC’</w:t>
      </w:r>
      <w:r w:rsidR="00C84469" w:rsidRPr="00C84469">
        <w:rPr>
          <w:vertAlign w:val="subscript"/>
        </w:rPr>
        <w:t>ADJ</w:t>
      </w:r>
      <w:r w:rsidR="00C84469">
        <w:t xml:space="preserve"> is used for the other three interconnections.</w:t>
      </w:r>
    </w:p>
    <w:p w:rsidR="00E82BC7" w:rsidRDefault="00E82BC7" w:rsidP="00E82BC7"/>
    <w:p w:rsidR="00E82BC7" w:rsidRDefault="00E82BC7" w:rsidP="00E82BC7">
      <w:r>
        <w:t>The 95 percent quantile value is used for the Eastern Interconnection BC’</w:t>
      </w:r>
      <w:r w:rsidRPr="00E82BC7">
        <w:rPr>
          <w:vertAlign w:val="subscript"/>
        </w:rPr>
        <w:t>ADJ</w:t>
      </w:r>
      <w:r>
        <w:t xml:space="preserve"> to account for the statistically expected Point C’ value of a frequency event.</w:t>
      </w:r>
    </w:p>
    <w:p w:rsidR="00E82BC7" w:rsidRDefault="00E82BC7" w:rsidP="00E82BC7"/>
    <w:p w:rsidR="00FB52B0" w:rsidRDefault="00FB52B0" w:rsidP="00102473">
      <w:pPr>
        <w:pStyle w:val="Heading3"/>
      </w:pPr>
      <w:r>
        <w:br w:type="page"/>
      </w:r>
    </w:p>
    <w:p w:rsidR="00E82BC7" w:rsidRDefault="00E82BC7" w:rsidP="00102473">
      <w:pPr>
        <w:pStyle w:val="Heading3"/>
      </w:pPr>
      <w:bookmarkStart w:id="21" w:name="_Toc408812269"/>
      <w:r>
        <w:t>Variables in Determination of IFRO</w:t>
      </w:r>
      <w:bookmarkEnd w:id="21"/>
      <w:r>
        <w:t xml:space="preserve"> </w:t>
      </w:r>
    </w:p>
    <w:p w:rsidR="00102473" w:rsidRDefault="00E82BC7" w:rsidP="00E82BC7">
      <w:r>
        <w:t>To determine the IFROs, a number of other variables must be taken into consideration.</w:t>
      </w:r>
    </w:p>
    <w:p w:rsidR="00102473" w:rsidRDefault="00102473" w:rsidP="00E82BC7"/>
    <w:p w:rsidR="00E82BC7" w:rsidRDefault="00102473" w:rsidP="00102473">
      <w:pPr>
        <w:pStyle w:val="Heading4"/>
      </w:pPr>
      <w:r>
        <w:t>L</w:t>
      </w:r>
      <w:r w:rsidR="00E82BC7">
        <w:t>ow-Frequency Limit</w:t>
      </w:r>
    </w:p>
    <w:p w:rsidR="00E82BC7" w:rsidRDefault="00E82BC7" w:rsidP="00E82BC7">
      <w:r>
        <w:t>The low-frequency limit to be used for the IFRO calculations should be the highest step in the interconnection for regionally approved UFLS systems.</w:t>
      </w:r>
    </w:p>
    <w:p w:rsidR="00E82BC7" w:rsidRDefault="00E82BC7" w:rsidP="00E82BC7"/>
    <w:tbl>
      <w:tblPr>
        <w:tblW w:w="0" w:type="auto"/>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338"/>
        <w:gridCol w:w="3106"/>
      </w:tblGrid>
      <w:tr w:rsidR="00E82BC7" w:rsidRPr="00C11493" w:rsidTr="006F69C3">
        <w:trPr>
          <w:cantSplit/>
          <w:trHeight w:val="20"/>
          <w:jc w:val="center"/>
        </w:trPr>
        <w:tc>
          <w:tcPr>
            <w:tcW w:w="5444" w:type="dxa"/>
            <w:gridSpan w:val="2"/>
            <w:shd w:val="clear" w:color="auto" w:fill="264D74"/>
            <w:tcMar>
              <w:top w:w="72" w:type="dxa"/>
              <w:left w:w="115" w:type="dxa"/>
              <w:bottom w:w="72" w:type="dxa"/>
              <w:right w:w="115" w:type="dxa"/>
            </w:tcMar>
            <w:vAlign w:val="center"/>
          </w:tcPr>
          <w:p w:rsidR="006F69C3" w:rsidRPr="00C11493" w:rsidRDefault="00E82BC7" w:rsidP="006F69C3">
            <w:pPr>
              <w:jc w:val="center"/>
              <w:rPr>
                <w:rFonts w:ascii="Arial" w:hAnsi="Arial" w:cs="Arial"/>
                <w:b/>
                <w:color w:val="FFFFFF"/>
                <w:szCs w:val="22"/>
              </w:rPr>
            </w:pPr>
            <w:r w:rsidRPr="00C11493">
              <w:rPr>
                <w:rFonts w:cs="Arial"/>
                <w:b/>
                <w:color w:val="FFFFFF"/>
                <w:szCs w:val="22"/>
              </w:rPr>
              <w:t>Table 11: Low-Frequency Limits (Hz)</w:t>
            </w:r>
          </w:p>
        </w:tc>
      </w:tr>
      <w:tr w:rsidR="00E82BC7" w:rsidRPr="00C11493" w:rsidTr="006F69C3">
        <w:trPr>
          <w:cantSplit/>
          <w:trHeight w:val="20"/>
          <w:jc w:val="center"/>
        </w:trPr>
        <w:tc>
          <w:tcPr>
            <w:tcW w:w="2338" w:type="dxa"/>
            <w:shd w:val="clear" w:color="auto" w:fill="8DB5DA"/>
            <w:tcMar>
              <w:top w:w="72" w:type="dxa"/>
              <w:left w:w="115" w:type="dxa"/>
              <w:bottom w:w="72" w:type="dxa"/>
              <w:right w:w="115" w:type="dxa"/>
            </w:tcMar>
            <w:vAlign w:val="center"/>
          </w:tcPr>
          <w:p w:rsidR="00E82BC7" w:rsidRPr="00C11493" w:rsidRDefault="00E82BC7" w:rsidP="006F69C3">
            <w:pPr>
              <w:rPr>
                <w:szCs w:val="22"/>
              </w:rPr>
            </w:pPr>
            <w:r w:rsidRPr="00C11493">
              <w:rPr>
                <w:szCs w:val="22"/>
              </w:rPr>
              <w:t>Interconnection</w:t>
            </w:r>
          </w:p>
        </w:tc>
        <w:tc>
          <w:tcPr>
            <w:tcW w:w="3106" w:type="dxa"/>
            <w:shd w:val="clear" w:color="auto" w:fill="8DB5DA"/>
            <w:tcMar>
              <w:top w:w="72" w:type="dxa"/>
              <w:left w:w="115" w:type="dxa"/>
              <w:bottom w:w="72" w:type="dxa"/>
              <w:right w:w="115" w:type="dxa"/>
            </w:tcMar>
            <w:vAlign w:val="center"/>
          </w:tcPr>
          <w:p w:rsidR="00E82BC7" w:rsidRPr="00C11493" w:rsidRDefault="00E82BC7" w:rsidP="006F69C3">
            <w:pPr>
              <w:pStyle w:val="TableHeaderRow"/>
              <w:rPr>
                <w:b w:val="0"/>
                <w:sz w:val="22"/>
                <w:szCs w:val="22"/>
              </w:rPr>
            </w:pPr>
            <w:r w:rsidRPr="00C11493">
              <w:rPr>
                <w:rFonts w:cs="Arial"/>
                <w:b w:val="0"/>
                <w:sz w:val="22"/>
                <w:szCs w:val="22"/>
              </w:rPr>
              <w:t>Highest UFLS Trip Frequency</w:t>
            </w:r>
          </w:p>
        </w:tc>
      </w:tr>
      <w:tr w:rsidR="00E82BC7" w:rsidRPr="00C11493" w:rsidTr="006F69C3">
        <w:trPr>
          <w:cantSplit/>
          <w:trHeight w:val="20"/>
          <w:jc w:val="center"/>
        </w:trPr>
        <w:tc>
          <w:tcPr>
            <w:tcW w:w="2338" w:type="dxa"/>
            <w:shd w:val="clear" w:color="auto" w:fill="auto"/>
            <w:tcMar>
              <w:top w:w="72" w:type="dxa"/>
              <w:left w:w="115" w:type="dxa"/>
              <w:bottom w:w="72" w:type="dxa"/>
              <w:right w:w="115" w:type="dxa"/>
            </w:tcMar>
            <w:vAlign w:val="center"/>
          </w:tcPr>
          <w:p w:rsidR="00E82BC7" w:rsidRPr="00C11493" w:rsidRDefault="00E82BC7" w:rsidP="006F69C3">
            <w:pPr>
              <w:pStyle w:val="TableBody"/>
              <w:jc w:val="left"/>
              <w:rPr>
                <w:sz w:val="22"/>
                <w:szCs w:val="22"/>
              </w:rPr>
            </w:pPr>
            <w:r w:rsidRPr="00C11493">
              <w:rPr>
                <w:sz w:val="22"/>
                <w:szCs w:val="22"/>
              </w:rPr>
              <w:t>Eastern</w:t>
            </w:r>
          </w:p>
        </w:tc>
        <w:tc>
          <w:tcPr>
            <w:tcW w:w="3106" w:type="dxa"/>
            <w:shd w:val="clear" w:color="auto" w:fill="auto"/>
            <w:tcMar>
              <w:top w:w="72" w:type="dxa"/>
              <w:left w:w="115" w:type="dxa"/>
              <w:bottom w:w="72" w:type="dxa"/>
              <w:right w:w="115" w:type="dxa"/>
            </w:tcMar>
            <w:vAlign w:val="center"/>
          </w:tcPr>
          <w:p w:rsidR="00E82BC7" w:rsidRPr="00C11493" w:rsidRDefault="00E82BC7" w:rsidP="006F69C3">
            <w:pPr>
              <w:pStyle w:val="TableBody"/>
              <w:rPr>
                <w:sz w:val="22"/>
                <w:szCs w:val="22"/>
              </w:rPr>
            </w:pPr>
            <w:r w:rsidRPr="00C11493">
              <w:rPr>
                <w:sz w:val="22"/>
                <w:szCs w:val="22"/>
              </w:rPr>
              <w:t>59.5</w:t>
            </w:r>
          </w:p>
        </w:tc>
      </w:tr>
      <w:tr w:rsidR="00E82BC7" w:rsidRPr="00C11493" w:rsidTr="006F69C3">
        <w:trPr>
          <w:cantSplit/>
          <w:trHeight w:val="20"/>
          <w:jc w:val="center"/>
        </w:trPr>
        <w:tc>
          <w:tcPr>
            <w:tcW w:w="2338" w:type="dxa"/>
            <w:shd w:val="clear" w:color="auto" w:fill="E0E0E0"/>
            <w:tcMar>
              <w:top w:w="72" w:type="dxa"/>
              <w:left w:w="115" w:type="dxa"/>
              <w:bottom w:w="72" w:type="dxa"/>
              <w:right w:w="115" w:type="dxa"/>
            </w:tcMar>
            <w:vAlign w:val="center"/>
          </w:tcPr>
          <w:p w:rsidR="00E82BC7" w:rsidRPr="00C11493" w:rsidRDefault="00E82BC7" w:rsidP="006F69C3">
            <w:pPr>
              <w:pStyle w:val="TableBody"/>
              <w:jc w:val="left"/>
              <w:rPr>
                <w:sz w:val="22"/>
                <w:szCs w:val="22"/>
              </w:rPr>
            </w:pPr>
            <w:r w:rsidRPr="00C11493">
              <w:rPr>
                <w:sz w:val="22"/>
                <w:szCs w:val="22"/>
              </w:rPr>
              <w:t>Western</w:t>
            </w:r>
          </w:p>
        </w:tc>
        <w:tc>
          <w:tcPr>
            <w:tcW w:w="3106" w:type="dxa"/>
            <w:shd w:val="clear" w:color="auto" w:fill="E0E0E0"/>
            <w:tcMar>
              <w:top w:w="72" w:type="dxa"/>
              <w:left w:w="115" w:type="dxa"/>
              <w:bottom w:w="72" w:type="dxa"/>
              <w:right w:w="115" w:type="dxa"/>
            </w:tcMar>
            <w:vAlign w:val="center"/>
          </w:tcPr>
          <w:p w:rsidR="00E82BC7" w:rsidRPr="00C11493" w:rsidRDefault="00E82BC7" w:rsidP="006F69C3">
            <w:pPr>
              <w:pStyle w:val="TableBody"/>
              <w:rPr>
                <w:sz w:val="22"/>
                <w:szCs w:val="22"/>
              </w:rPr>
            </w:pPr>
            <w:r w:rsidRPr="00C11493">
              <w:rPr>
                <w:sz w:val="22"/>
                <w:szCs w:val="22"/>
              </w:rPr>
              <w:t>59.5</w:t>
            </w:r>
          </w:p>
        </w:tc>
      </w:tr>
      <w:tr w:rsidR="00E82BC7" w:rsidRPr="00C11493" w:rsidTr="006F69C3">
        <w:trPr>
          <w:cantSplit/>
          <w:trHeight w:val="20"/>
          <w:jc w:val="center"/>
        </w:trPr>
        <w:tc>
          <w:tcPr>
            <w:tcW w:w="2338" w:type="dxa"/>
            <w:shd w:val="clear" w:color="auto" w:fill="auto"/>
            <w:tcMar>
              <w:top w:w="72" w:type="dxa"/>
              <w:left w:w="115" w:type="dxa"/>
              <w:bottom w:w="72" w:type="dxa"/>
              <w:right w:w="115" w:type="dxa"/>
            </w:tcMar>
            <w:vAlign w:val="center"/>
          </w:tcPr>
          <w:p w:rsidR="00E82BC7" w:rsidRPr="00C11493" w:rsidRDefault="00E82BC7" w:rsidP="006F69C3">
            <w:pPr>
              <w:pStyle w:val="TableBody"/>
              <w:jc w:val="left"/>
              <w:rPr>
                <w:sz w:val="22"/>
                <w:szCs w:val="22"/>
              </w:rPr>
            </w:pPr>
            <w:r w:rsidRPr="00C11493">
              <w:rPr>
                <w:sz w:val="22"/>
                <w:szCs w:val="22"/>
              </w:rPr>
              <w:t>ERCOT</w:t>
            </w:r>
          </w:p>
        </w:tc>
        <w:tc>
          <w:tcPr>
            <w:tcW w:w="3106" w:type="dxa"/>
            <w:shd w:val="clear" w:color="auto" w:fill="auto"/>
            <w:tcMar>
              <w:top w:w="72" w:type="dxa"/>
              <w:left w:w="115" w:type="dxa"/>
              <w:bottom w:w="72" w:type="dxa"/>
              <w:right w:w="115" w:type="dxa"/>
            </w:tcMar>
            <w:vAlign w:val="center"/>
          </w:tcPr>
          <w:p w:rsidR="00E82BC7" w:rsidRPr="00C11493" w:rsidRDefault="00E82BC7" w:rsidP="006F69C3">
            <w:pPr>
              <w:pStyle w:val="TableBody"/>
              <w:rPr>
                <w:sz w:val="22"/>
                <w:szCs w:val="22"/>
              </w:rPr>
            </w:pPr>
            <w:r w:rsidRPr="00C11493">
              <w:rPr>
                <w:sz w:val="22"/>
                <w:szCs w:val="22"/>
              </w:rPr>
              <w:t>59.3</w:t>
            </w:r>
          </w:p>
        </w:tc>
      </w:tr>
      <w:tr w:rsidR="00E82BC7" w:rsidRPr="00C11493" w:rsidTr="006F69C3">
        <w:trPr>
          <w:cantSplit/>
          <w:trHeight w:val="20"/>
          <w:jc w:val="center"/>
        </w:trPr>
        <w:tc>
          <w:tcPr>
            <w:tcW w:w="2338" w:type="dxa"/>
            <w:shd w:val="clear" w:color="auto" w:fill="E0E0E0"/>
            <w:tcMar>
              <w:top w:w="72" w:type="dxa"/>
              <w:left w:w="115" w:type="dxa"/>
              <w:bottom w:w="72" w:type="dxa"/>
              <w:right w:w="115" w:type="dxa"/>
            </w:tcMar>
            <w:vAlign w:val="center"/>
          </w:tcPr>
          <w:p w:rsidR="00E82BC7" w:rsidRPr="00C11493" w:rsidRDefault="00E82BC7" w:rsidP="006F69C3">
            <w:pPr>
              <w:pStyle w:val="TableBody"/>
              <w:jc w:val="left"/>
              <w:rPr>
                <w:sz w:val="22"/>
                <w:szCs w:val="22"/>
              </w:rPr>
            </w:pPr>
            <w:r w:rsidRPr="00C11493">
              <w:rPr>
                <w:sz w:val="22"/>
                <w:szCs w:val="22"/>
              </w:rPr>
              <w:t>Québec</w:t>
            </w:r>
          </w:p>
        </w:tc>
        <w:tc>
          <w:tcPr>
            <w:tcW w:w="3106" w:type="dxa"/>
            <w:shd w:val="clear" w:color="auto" w:fill="E0E0E0"/>
            <w:tcMar>
              <w:top w:w="72" w:type="dxa"/>
              <w:left w:w="115" w:type="dxa"/>
              <w:bottom w:w="72" w:type="dxa"/>
              <w:right w:w="115" w:type="dxa"/>
            </w:tcMar>
            <w:vAlign w:val="center"/>
          </w:tcPr>
          <w:p w:rsidR="00E82BC7" w:rsidRPr="00C11493" w:rsidRDefault="00E82BC7" w:rsidP="006F69C3">
            <w:pPr>
              <w:pStyle w:val="TableBody"/>
              <w:rPr>
                <w:sz w:val="22"/>
                <w:szCs w:val="22"/>
              </w:rPr>
            </w:pPr>
            <w:r w:rsidRPr="00C11493">
              <w:rPr>
                <w:sz w:val="22"/>
                <w:szCs w:val="22"/>
              </w:rPr>
              <w:t>58.5</w:t>
            </w:r>
          </w:p>
        </w:tc>
      </w:tr>
    </w:tbl>
    <w:p w:rsidR="00E82BC7" w:rsidRDefault="00E82BC7" w:rsidP="00E82BC7"/>
    <w:p w:rsidR="00E82BC7" w:rsidRDefault="00E82BC7" w:rsidP="00E82BC7">
      <w:r>
        <w:t>Note that the highest UFLS set point in the Eastern Interconnection is 59.7 Hz in FRCC, while the prevalent highest set point in the rest of that interconnection is 59.5 Hz. The FRCC 59.7 Hz first UFLS step is based on internal stability concerns and for preventing the separation of the Florida peninsula from the rest of the interconnection. FRCC concluded that the IFRO starting point of 59.5 Hz for the Eastern Interconnection is acceptable in that it imposes no greater risk of UFLS operation for an interconnection resource loss event than for an internal FRCC event.</w:t>
      </w:r>
    </w:p>
    <w:p w:rsidR="00E82BC7" w:rsidRDefault="00E82BC7" w:rsidP="00E82BC7"/>
    <w:p w:rsidR="00102473" w:rsidRDefault="00E82BC7" w:rsidP="00E82BC7">
      <w:r>
        <w:t xml:space="preserve">Protection against tripping the highest step of UFLS does not ensure that generation that has frequency-sensitive boiler or turbine control systems will not trip. Severe system conditions might drive the frequency </w:t>
      </w:r>
      <w:r w:rsidR="00102473">
        <w:t xml:space="preserve">and voltage </w:t>
      </w:r>
      <w:r>
        <w:t>to levels that may present a combination of conditions to control systems that may cause the generation to trip. Severe rate-of-change in voltage or frequency, which might actuate volts-per-hertz relays</w:t>
      </w:r>
      <w:r w:rsidR="00102473">
        <w:t>,</w:t>
      </w:r>
      <w:r>
        <w:t xml:space="preserve"> could trip the unit. Similarly, some combustion turbines may not be able to sustain operation at frequencies below 59.5 </w:t>
      </w:r>
      <w:r w:rsidR="00102473">
        <w:t>Hz.</w:t>
      </w:r>
    </w:p>
    <w:p w:rsidR="00102473" w:rsidRDefault="00102473" w:rsidP="00E82BC7"/>
    <w:p w:rsidR="00E82BC7" w:rsidRDefault="00102473" w:rsidP="00E82BC7">
      <w:r>
        <w:t xml:space="preserve">Also, electronically-coupled resources are susceptible to extremes in frequency. </w:t>
      </w:r>
      <w:r w:rsidR="00E82BC7">
        <w:t>Southern California Edison’s recent laboratory testing of inverters used on residential and commercial scale photovoltaic (PV) systems revealed a propensity to trip at about 59.4 Hz, which is 200 mHz above the expected 59.2 Hz prescribed in IEEE Standard 1547 for distribution-connected PV systems rated at or below 30 kW (57.0 Hz for larger installations). This could become problematic in the future in areas of high penetration of PV resources.</w:t>
      </w:r>
    </w:p>
    <w:p w:rsidR="00F103FA" w:rsidRDefault="00F103FA" w:rsidP="00E82BC7"/>
    <w:p w:rsidR="00E82BC7" w:rsidRDefault="00E82BC7" w:rsidP="00F103FA">
      <w:pPr>
        <w:pStyle w:val="Heading4"/>
      </w:pPr>
      <w:r>
        <w:t>Credit for Load Resources (CLR)</w:t>
      </w:r>
    </w:p>
    <w:p w:rsidR="00E82BC7" w:rsidRDefault="00E82BC7" w:rsidP="00E82BC7">
      <w:r>
        <w:t xml:space="preserve">The ERCOT Interconnection depends on contractually interruptible demand that automatically trips at 59.7 Hz to help arrest frequency declines. A load resource credit of up to 1,400 MW (formerly called Load </w:t>
      </w:r>
      <w:r w:rsidR="00102473">
        <w:t xml:space="preserve">acting as a Resource – LaaR) may be </w:t>
      </w:r>
      <w:r>
        <w:t xml:space="preserve">included against the resource contingency for the ERCOT Interconnection. The actual amount of CLR available at any given time varies. Therefore, NERC performed a statistical analysis on hourly available CLR for </w:t>
      </w:r>
      <w:r w:rsidRPr="005C14A3">
        <w:t xml:space="preserve">the period of January 2011 through </w:t>
      </w:r>
      <w:r w:rsidR="00A60B5C" w:rsidRPr="005C14A3">
        <w:t>May 2014</w:t>
      </w:r>
      <w:r w:rsidRPr="005C14A3">
        <w:t xml:space="preserve">. That analysis indicated that at least </w:t>
      </w:r>
      <w:r w:rsidR="00A36E9A">
        <w:t>909</w:t>
      </w:r>
      <w:r w:rsidRPr="005C14A3">
        <w:t xml:space="preserve"> MW of CLR is available</w:t>
      </w:r>
      <w:r>
        <w:t xml:space="preserve"> 95 percent of the time. </w:t>
      </w:r>
      <w:r w:rsidR="00A36E9A">
        <w:t>Therefore, a</w:t>
      </w:r>
      <w:r>
        <w:t xml:space="preserve"> CLR adjustment </w:t>
      </w:r>
      <w:r w:rsidRPr="00A60B5C">
        <w:t xml:space="preserve">of </w:t>
      </w:r>
      <w:r w:rsidR="00A36E9A">
        <w:t>909</w:t>
      </w:r>
      <w:r w:rsidR="00A60B5C">
        <w:t xml:space="preserve"> MW </w:t>
      </w:r>
      <w:r>
        <w:t>should be applied in the calculation of the ERCOT IFRO instead of the contractual 1,400 MW</w:t>
      </w:r>
      <w:r w:rsidR="00A60B5C">
        <w:t>, handled in the calculation of the IFRO as a reduction to the loss of resources</w:t>
      </w:r>
      <w:r>
        <w:t>.</w:t>
      </w:r>
      <w:r w:rsidR="00A60B5C">
        <w:t xml:space="preserve"> This is </w:t>
      </w:r>
      <w:r w:rsidR="00A36E9A">
        <w:t>14</w:t>
      </w:r>
      <w:r w:rsidR="00A60B5C">
        <w:t xml:space="preserve"> MW higher than the </w:t>
      </w:r>
      <w:r w:rsidR="00A60B5C" w:rsidRPr="00A60B5C">
        <w:t>895 MW</w:t>
      </w:r>
      <w:r w:rsidR="00A60B5C">
        <w:t xml:space="preserve"> adjustment used in the 2013 IFRO calculations.</w:t>
      </w:r>
    </w:p>
    <w:p w:rsidR="00E82BC7" w:rsidRDefault="00E82BC7" w:rsidP="00E82BC7"/>
    <w:p w:rsidR="00102473" w:rsidRDefault="00102473" w:rsidP="00102473">
      <w:pPr>
        <w:pStyle w:val="Heading3"/>
      </w:pPr>
      <w:bookmarkStart w:id="22" w:name="_Toc408812270"/>
      <w:r>
        <w:t>Determination of Maximum Allowable Delta Frequencies</w:t>
      </w:r>
      <w:bookmarkEnd w:id="22"/>
    </w:p>
    <w:p w:rsidR="00E82BC7" w:rsidRDefault="00102473" w:rsidP="00102473">
      <w:r>
        <w:t>Because of the measurement limitation of the BA-level Frequency Response performance using Value B, the IFROs must be calculated in “Value B space.” Protection from tripping UFLS for the interconnections based on Point C , Value B , or any nadir occurring after point C, within Value B, or after T+52 seconds, must be reflected in the maximum allowable delta frequency for IFRO calculations expressed as a Value B.</w:t>
      </w:r>
    </w:p>
    <w:p w:rsidR="00102473" w:rsidRDefault="00102473" w:rsidP="00102473"/>
    <w:tbl>
      <w:tblPr>
        <w:tblW w:w="8481"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441"/>
        <w:gridCol w:w="1083"/>
        <w:gridCol w:w="1224"/>
        <w:gridCol w:w="1147"/>
        <w:gridCol w:w="1199"/>
        <w:gridCol w:w="1387"/>
      </w:tblGrid>
      <w:tr w:rsidR="00102473" w:rsidRPr="00C11493" w:rsidTr="00367FEE">
        <w:trPr>
          <w:cantSplit/>
          <w:trHeight w:val="432"/>
          <w:jc w:val="center"/>
        </w:trPr>
        <w:tc>
          <w:tcPr>
            <w:tcW w:w="8481" w:type="dxa"/>
            <w:gridSpan w:val="6"/>
            <w:shd w:val="clear" w:color="auto" w:fill="264D74"/>
            <w:tcMar>
              <w:top w:w="72" w:type="dxa"/>
              <w:left w:w="115" w:type="dxa"/>
              <w:bottom w:w="72" w:type="dxa"/>
              <w:right w:w="115" w:type="dxa"/>
            </w:tcMar>
            <w:vAlign w:val="center"/>
          </w:tcPr>
          <w:p w:rsidR="00102473" w:rsidRPr="00C11493" w:rsidRDefault="00102473" w:rsidP="00102473">
            <w:pPr>
              <w:tabs>
                <w:tab w:val="left" w:pos="721"/>
              </w:tabs>
              <w:spacing w:beforeLines="20" w:before="48" w:afterLines="20" w:after="48"/>
              <w:jc w:val="center"/>
              <w:rPr>
                <w:rFonts w:asciiTheme="minorHAnsi" w:hAnsiTheme="minorHAnsi" w:cs="Arial"/>
                <w:b/>
                <w:color w:val="FFFFFF"/>
                <w:szCs w:val="22"/>
              </w:rPr>
            </w:pPr>
            <w:r w:rsidRPr="00C11493">
              <w:rPr>
                <w:rFonts w:asciiTheme="minorHAnsi" w:hAnsiTheme="minorHAnsi" w:cs="Arial"/>
                <w:b/>
                <w:color w:val="FFFFFF"/>
                <w:szCs w:val="22"/>
              </w:rPr>
              <w:t>Table 12: Determination of Maximum Allowable Delta Frequencies</w:t>
            </w:r>
          </w:p>
        </w:tc>
      </w:tr>
      <w:tr w:rsidR="00102473" w:rsidRPr="00C11493" w:rsidTr="00102473">
        <w:tblPrEx>
          <w:tblLook w:val="04A0" w:firstRow="1" w:lastRow="0" w:firstColumn="1" w:lastColumn="0" w:noHBand="0" w:noVBand="1"/>
        </w:tblPrEx>
        <w:trPr>
          <w:cantSplit/>
          <w:jc w:val="center"/>
        </w:trPr>
        <w:tc>
          <w:tcPr>
            <w:tcW w:w="2441" w:type="dxa"/>
            <w:shd w:val="clear" w:color="auto" w:fill="8DB5DA"/>
            <w:vAlign w:val="center"/>
          </w:tcPr>
          <w:p w:rsidR="00102473" w:rsidRPr="00C11493" w:rsidRDefault="00102473" w:rsidP="00102473">
            <w:pPr>
              <w:spacing w:beforeLines="20" w:before="48" w:afterLines="20" w:after="48"/>
              <w:rPr>
                <w:rFonts w:asciiTheme="minorHAnsi" w:hAnsiTheme="minorHAnsi" w:cs="Arial"/>
                <w:szCs w:val="22"/>
              </w:rPr>
            </w:pPr>
          </w:p>
        </w:tc>
        <w:tc>
          <w:tcPr>
            <w:tcW w:w="1083" w:type="dxa"/>
            <w:shd w:val="clear" w:color="auto" w:fill="8DB5DA"/>
            <w:vAlign w:val="center"/>
          </w:tcPr>
          <w:p w:rsidR="00102473" w:rsidRPr="00C11493" w:rsidRDefault="00102473" w:rsidP="00102473">
            <w:pPr>
              <w:spacing w:beforeLines="20" w:before="48" w:afterLines="20" w:after="48"/>
              <w:jc w:val="center"/>
              <w:rPr>
                <w:rFonts w:asciiTheme="minorHAnsi" w:hAnsiTheme="minorHAnsi" w:cs="Arial"/>
                <w:szCs w:val="22"/>
              </w:rPr>
            </w:pPr>
            <w:r w:rsidRPr="00C11493">
              <w:rPr>
                <w:rFonts w:asciiTheme="minorHAnsi" w:hAnsiTheme="minorHAnsi" w:cs="Arial"/>
                <w:szCs w:val="22"/>
              </w:rPr>
              <w:t>Eastern</w:t>
            </w:r>
          </w:p>
        </w:tc>
        <w:tc>
          <w:tcPr>
            <w:tcW w:w="1224" w:type="dxa"/>
            <w:shd w:val="clear" w:color="auto" w:fill="8DB5DA"/>
            <w:vAlign w:val="center"/>
          </w:tcPr>
          <w:p w:rsidR="00102473" w:rsidRPr="00C11493" w:rsidRDefault="00102473" w:rsidP="00102473">
            <w:pPr>
              <w:spacing w:beforeLines="20" w:before="48" w:afterLines="20" w:after="48"/>
              <w:jc w:val="center"/>
              <w:rPr>
                <w:rFonts w:asciiTheme="minorHAnsi" w:hAnsiTheme="minorHAnsi" w:cs="Arial"/>
                <w:szCs w:val="22"/>
              </w:rPr>
            </w:pPr>
            <w:r w:rsidRPr="00C11493">
              <w:rPr>
                <w:rFonts w:asciiTheme="minorHAnsi" w:hAnsiTheme="minorHAnsi" w:cs="Arial"/>
                <w:szCs w:val="22"/>
              </w:rPr>
              <w:t>Western</w:t>
            </w:r>
          </w:p>
        </w:tc>
        <w:tc>
          <w:tcPr>
            <w:tcW w:w="1147" w:type="dxa"/>
            <w:shd w:val="clear" w:color="auto" w:fill="8DB5DA"/>
            <w:vAlign w:val="center"/>
          </w:tcPr>
          <w:p w:rsidR="00102473" w:rsidRPr="00C11493" w:rsidRDefault="00102473" w:rsidP="00102473">
            <w:pPr>
              <w:spacing w:beforeLines="20" w:before="48" w:afterLines="20" w:after="48"/>
              <w:jc w:val="center"/>
              <w:rPr>
                <w:rFonts w:asciiTheme="minorHAnsi" w:hAnsiTheme="minorHAnsi" w:cs="Arial"/>
                <w:szCs w:val="22"/>
              </w:rPr>
            </w:pPr>
            <w:r w:rsidRPr="00C11493">
              <w:rPr>
                <w:rFonts w:asciiTheme="minorHAnsi" w:hAnsiTheme="minorHAnsi" w:cs="Arial"/>
                <w:szCs w:val="22"/>
              </w:rPr>
              <w:t>ERCOT</w:t>
            </w:r>
          </w:p>
        </w:tc>
        <w:tc>
          <w:tcPr>
            <w:tcW w:w="1199" w:type="dxa"/>
            <w:shd w:val="clear" w:color="auto" w:fill="8DB5DA"/>
            <w:vAlign w:val="center"/>
          </w:tcPr>
          <w:p w:rsidR="00102473" w:rsidRPr="00C11493" w:rsidRDefault="00102473" w:rsidP="00102473">
            <w:pPr>
              <w:spacing w:beforeLines="20" w:before="48" w:afterLines="20" w:after="48"/>
              <w:jc w:val="center"/>
              <w:rPr>
                <w:rFonts w:asciiTheme="minorHAnsi" w:hAnsiTheme="minorHAnsi" w:cs="Arial"/>
                <w:szCs w:val="22"/>
              </w:rPr>
            </w:pPr>
            <w:r w:rsidRPr="00C11493">
              <w:rPr>
                <w:rFonts w:asciiTheme="minorHAnsi" w:hAnsiTheme="minorHAnsi" w:cs="Arial"/>
                <w:szCs w:val="22"/>
              </w:rPr>
              <w:t>Québec</w:t>
            </w:r>
          </w:p>
        </w:tc>
        <w:tc>
          <w:tcPr>
            <w:tcW w:w="1387" w:type="dxa"/>
            <w:shd w:val="clear" w:color="auto" w:fill="8DB5DA"/>
            <w:vAlign w:val="center"/>
          </w:tcPr>
          <w:p w:rsidR="00102473" w:rsidRPr="00C11493" w:rsidRDefault="00102473" w:rsidP="00102473">
            <w:pPr>
              <w:spacing w:beforeLines="20" w:before="48" w:afterLines="20" w:after="48"/>
              <w:jc w:val="center"/>
              <w:rPr>
                <w:rFonts w:asciiTheme="minorHAnsi" w:hAnsiTheme="minorHAnsi" w:cs="Arial"/>
                <w:szCs w:val="22"/>
              </w:rPr>
            </w:pPr>
            <w:r w:rsidRPr="00C11493">
              <w:rPr>
                <w:rFonts w:asciiTheme="minorHAnsi" w:hAnsiTheme="minorHAnsi" w:cs="Arial"/>
                <w:szCs w:val="22"/>
              </w:rPr>
              <w:t>Units</w:t>
            </w:r>
          </w:p>
        </w:tc>
      </w:tr>
      <w:tr w:rsidR="00102473" w:rsidRPr="00C11493" w:rsidTr="00102473">
        <w:tblPrEx>
          <w:tblLook w:val="04A0" w:firstRow="1" w:lastRow="0" w:firstColumn="1" w:lastColumn="0" w:noHBand="0" w:noVBand="1"/>
        </w:tblPrEx>
        <w:trPr>
          <w:cantSplit/>
          <w:jc w:val="center"/>
        </w:trPr>
        <w:tc>
          <w:tcPr>
            <w:tcW w:w="2441" w:type="dxa"/>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Starting Frequency</w:t>
            </w:r>
          </w:p>
        </w:tc>
        <w:tc>
          <w:tcPr>
            <w:tcW w:w="1083"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59.974</w:t>
            </w:r>
          </w:p>
        </w:tc>
        <w:tc>
          <w:tcPr>
            <w:tcW w:w="1224" w:type="dxa"/>
            <w:vAlign w:val="center"/>
          </w:tcPr>
          <w:p w:rsidR="00102473" w:rsidRPr="00C11493" w:rsidRDefault="00102473" w:rsidP="00A4172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w:t>
            </w:r>
            <w:r w:rsidR="00A41722" w:rsidRPr="00C11493">
              <w:rPr>
                <w:rFonts w:asciiTheme="minorHAnsi" w:hAnsiTheme="minorHAnsi"/>
                <w:sz w:val="22"/>
                <w:szCs w:val="22"/>
              </w:rPr>
              <w:t>68</w:t>
            </w:r>
          </w:p>
        </w:tc>
        <w:tc>
          <w:tcPr>
            <w:tcW w:w="1147" w:type="dxa"/>
            <w:vAlign w:val="center"/>
          </w:tcPr>
          <w:p w:rsidR="00102473" w:rsidRPr="00C11493" w:rsidRDefault="00102473" w:rsidP="00A4172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w:t>
            </w:r>
            <w:r w:rsidR="00A41722" w:rsidRPr="00C11493">
              <w:rPr>
                <w:rFonts w:asciiTheme="minorHAnsi" w:hAnsiTheme="minorHAnsi"/>
                <w:sz w:val="22"/>
                <w:szCs w:val="22"/>
              </w:rPr>
              <w:t>5</w:t>
            </w:r>
          </w:p>
        </w:tc>
        <w:tc>
          <w:tcPr>
            <w:tcW w:w="1199"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59.968</w:t>
            </w:r>
          </w:p>
        </w:tc>
        <w:tc>
          <w:tcPr>
            <w:tcW w:w="138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jc w:val="center"/>
        </w:trPr>
        <w:tc>
          <w:tcPr>
            <w:tcW w:w="2441" w:type="dxa"/>
            <w:shd w:val="clear" w:color="auto" w:fill="D5D5D5"/>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Minimum Frequency Limit</w:t>
            </w:r>
          </w:p>
        </w:tc>
        <w:tc>
          <w:tcPr>
            <w:tcW w:w="1083"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224"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147"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59.300</w:t>
            </w:r>
          </w:p>
        </w:tc>
        <w:tc>
          <w:tcPr>
            <w:tcW w:w="1199"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58.500</w:t>
            </w:r>
          </w:p>
        </w:tc>
        <w:tc>
          <w:tcPr>
            <w:tcW w:w="1387"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trHeight w:val="314"/>
          <w:jc w:val="center"/>
        </w:trPr>
        <w:tc>
          <w:tcPr>
            <w:tcW w:w="2441" w:type="dxa"/>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Base Delta Frequency</w:t>
            </w:r>
          </w:p>
        </w:tc>
        <w:tc>
          <w:tcPr>
            <w:tcW w:w="1083"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0.474</w:t>
            </w:r>
          </w:p>
        </w:tc>
        <w:tc>
          <w:tcPr>
            <w:tcW w:w="1224" w:type="dxa"/>
            <w:vAlign w:val="center"/>
          </w:tcPr>
          <w:p w:rsidR="00102473" w:rsidRPr="00C11493" w:rsidRDefault="00102473" w:rsidP="00A4172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w:t>
            </w:r>
            <w:r w:rsidR="00A41722" w:rsidRPr="00C11493">
              <w:rPr>
                <w:rFonts w:asciiTheme="minorHAnsi" w:hAnsiTheme="minorHAnsi"/>
                <w:sz w:val="22"/>
                <w:szCs w:val="22"/>
              </w:rPr>
              <w:t>68</w:t>
            </w:r>
          </w:p>
        </w:tc>
        <w:tc>
          <w:tcPr>
            <w:tcW w:w="1147" w:type="dxa"/>
            <w:vAlign w:val="center"/>
          </w:tcPr>
          <w:p w:rsidR="00102473" w:rsidRPr="00C11493" w:rsidRDefault="00102473" w:rsidP="00A4172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w:t>
            </w:r>
            <w:r w:rsidR="00A41722" w:rsidRPr="00C11493">
              <w:rPr>
                <w:rFonts w:asciiTheme="minorHAnsi" w:hAnsiTheme="minorHAnsi"/>
                <w:sz w:val="22"/>
                <w:szCs w:val="22"/>
              </w:rPr>
              <w:t>5</w:t>
            </w:r>
          </w:p>
        </w:tc>
        <w:tc>
          <w:tcPr>
            <w:tcW w:w="1199"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1.468</w:t>
            </w:r>
          </w:p>
        </w:tc>
        <w:tc>
          <w:tcPr>
            <w:tcW w:w="138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jc w:val="center"/>
        </w:trPr>
        <w:tc>
          <w:tcPr>
            <w:tcW w:w="2441" w:type="dxa"/>
            <w:shd w:val="clear" w:color="auto" w:fill="D5D5D5"/>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CC</w:t>
            </w:r>
            <w:r w:rsidRPr="00C11493">
              <w:rPr>
                <w:rFonts w:asciiTheme="minorHAnsi" w:hAnsiTheme="minorHAnsi"/>
                <w:sz w:val="22"/>
                <w:szCs w:val="22"/>
                <w:vertAlign w:val="subscript"/>
              </w:rPr>
              <w:t>ADJ</w:t>
            </w:r>
            <w:r w:rsidRPr="00C11493">
              <w:rPr>
                <w:rStyle w:val="FootnoteReference"/>
                <w:rFonts w:asciiTheme="minorHAnsi" w:hAnsiTheme="minorHAnsi"/>
                <w:sz w:val="22"/>
                <w:szCs w:val="22"/>
              </w:rPr>
              <w:footnoteReference w:id="21"/>
            </w:r>
          </w:p>
        </w:tc>
        <w:tc>
          <w:tcPr>
            <w:tcW w:w="1083" w:type="dxa"/>
            <w:shd w:val="clear" w:color="auto" w:fill="D5D5D5"/>
            <w:vAlign w:val="center"/>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4D32D4" w:rsidRPr="00C11493">
              <w:rPr>
                <w:rFonts w:asciiTheme="minorHAnsi" w:hAnsiTheme="minorHAnsi"/>
                <w:sz w:val="22"/>
                <w:szCs w:val="22"/>
              </w:rPr>
              <w:t>13</w:t>
            </w:r>
          </w:p>
        </w:tc>
        <w:tc>
          <w:tcPr>
            <w:tcW w:w="1224" w:type="dxa"/>
            <w:shd w:val="clear" w:color="auto" w:fill="D5D5D5"/>
            <w:vAlign w:val="center"/>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4D32D4" w:rsidRPr="00C11493">
              <w:rPr>
                <w:rFonts w:asciiTheme="minorHAnsi" w:hAnsiTheme="minorHAnsi"/>
                <w:sz w:val="22"/>
                <w:szCs w:val="22"/>
              </w:rPr>
              <w:t>11</w:t>
            </w:r>
          </w:p>
        </w:tc>
        <w:tc>
          <w:tcPr>
            <w:tcW w:w="1147" w:type="dxa"/>
            <w:shd w:val="clear" w:color="auto" w:fill="D9D9D9" w:themeFill="background1" w:themeFillShade="D9"/>
            <w:vAlign w:val="center"/>
          </w:tcPr>
          <w:p w:rsidR="00102473" w:rsidRPr="00C11493" w:rsidRDefault="00102473" w:rsidP="005C14A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w:t>
            </w:r>
            <w:r w:rsidR="0063139F" w:rsidRPr="00C11493">
              <w:rPr>
                <w:rFonts w:asciiTheme="minorHAnsi" w:hAnsiTheme="minorHAnsi"/>
                <w:sz w:val="22"/>
                <w:szCs w:val="22"/>
              </w:rPr>
              <w:t>1</w:t>
            </w:r>
          </w:p>
        </w:tc>
        <w:tc>
          <w:tcPr>
            <w:tcW w:w="1199" w:type="dxa"/>
            <w:shd w:val="clear" w:color="auto" w:fill="D5D5D5"/>
            <w:vAlign w:val="center"/>
          </w:tcPr>
          <w:p w:rsidR="00102473" w:rsidRPr="00C11493" w:rsidRDefault="004D32D4" w:rsidP="008D434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0.031</w:t>
            </w:r>
          </w:p>
        </w:tc>
        <w:tc>
          <w:tcPr>
            <w:tcW w:w="1387"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jc w:val="center"/>
        </w:trPr>
        <w:tc>
          <w:tcPr>
            <w:tcW w:w="2441" w:type="dxa"/>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CC</w:t>
            </w:r>
            <w:r w:rsidRPr="00C11493">
              <w:rPr>
                <w:rFonts w:asciiTheme="minorHAnsi" w:hAnsiTheme="minorHAnsi"/>
                <w:sz w:val="22"/>
                <w:szCs w:val="22"/>
              </w:rPr>
              <w:t>)</w:t>
            </w:r>
          </w:p>
        </w:tc>
        <w:tc>
          <w:tcPr>
            <w:tcW w:w="1083" w:type="dxa"/>
            <w:vAlign w:val="center"/>
          </w:tcPr>
          <w:p w:rsidR="00102473" w:rsidRPr="00C11493" w:rsidRDefault="00102473"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0.46</w:t>
            </w:r>
            <w:r w:rsidR="00543476">
              <w:rPr>
                <w:rFonts w:asciiTheme="minorHAnsi" w:hAnsiTheme="minorHAnsi"/>
                <w:sz w:val="22"/>
                <w:szCs w:val="22"/>
              </w:rPr>
              <w:t>1</w:t>
            </w:r>
          </w:p>
        </w:tc>
        <w:tc>
          <w:tcPr>
            <w:tcW w:w="1224" w:type="dxa"/>
            <w:vAlign w:val="center"/>
          </w:tcPr>
          <w:p w:rsidR="00102473" w:rsidRPr="00C11493" w:rsidRDefault="00102473"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w:t>
            </w:r>
            <w:r w:rsidR="00543476">
              <w:rPr>
                <w:rFonts w:asciiTheme="minorHAnsi" w:hAnsiTheme="minorHAnsi"/>
                <w:sz w:val="22"/>
                <w:szCs w:val="22"/>
              </w:rPr>
              <w:t>57</w:t>
            </w:r>
          </w:p>
        </w:tc>
        <w:tc>
          <w:tcPr>
            <w:tcW w:w="114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0.664</w:t>
            </w:r>
          </w:p>
        </w:tc>
        <w:tc>
          <w:tcPr>
            <w:tcW w:w="1199" w:type="dxa"/>
            <w:vAlign w:val="center"/>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w:t>
            </w:r>
            <w:r w:rsidR="004D32D4" w:rsidRPr="00C11493">
              <w:rPr>
                <w:rFonts w:asciiTheme="minorHAnsi" w:hAnsiTheme="minorHAnsi"/>
                <w:sz w:val="22"/>
                <w:szCs w:val="22"/>
              </w:rPr>
              <w:t>37</w:t>
            </w:r>
          </w:p>
        </w:tc>
        <w:tc>
          <w:tcPr>
            <w:tcW w:w="138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jc w:val="center"/>
        </w:trPr>
        <w:tc>
          <w:tcPr>
            <w:tcW w:w="2441" w:type="dxa"/>
            <w:shd w:val="clear" w:color="auto" w:fill="D5D5D5"/>
            <w:vAlign w:val="center"/>
          </w:tcPr>
          <w:p w:rsidR="00102473" w:rsidRPr="00C11493" w:rsidRDefault="00102473" w:rsidP="00102473">
            <w:pPr>
              <w:spacing w:beforeLines="20" w:before="48" w:afterLines="20" w:after="48"/>
              <w:rPr>
                <w:rFonts w:asciiTheme="minorHAnsi" w:hAnsiTheme="minorHAnsi"/>
                <w:szCs w:val="22"/>
              </w:rPr>
            </w:pPr>
            <w:r w:rsidRPr="00C11493">
              <w:rPr>
                <w:rFonts w:asciiTheme="minorHAnsi" w:hAnsiTheme="minorHAnsi"/>
                <w:szCs w:val="22"/>
              </w:rPr>
              <w:t>CB</w:t>
            </w:r>
            <w:r w:rsidRPr="00C11493">
              <w:rPr>
                <w:rFonts w:asciiTheme="minorHAnsi" w:hAnsiTheme="minorHAnsi"/>
                <w:szCs w:val="22"/>
                <w:vertAlign w:val="subscript"/>
              </w:rPr>
              <w:t>R</w:t>
            </w:r>
            <w:r w:rsidRPr="00C11493">
              <w:rPr>
                <w:rStyle w:val="FootnoteReference"/>
                <w:rFonts w:asciiTheme="minorHAnsi" w:hAnsiTheme="minorHAnsi"/>
                <w:szCs w:val="22"/>
              </w:rPr>
              <w:footnoteReference w:id="22"/>
            </w:r>
          </w:p>
        </w:tc>
        <w:tc>
          <w:tcPr>
            <w:tcW w:w="1083" w:type="dxa"/>
            <w:shd w:val="clear" w:color="auto" w:fill="D5D5D5"/>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1.000</w:t>
            </w:r>
            <w:r w:rsidRPr="00C11493">
              <w:rPr>
                <w:rStyle w:val="FootnoteReference"/>
                <w:rFonts w:asciiTheme="minorHAnsi" w:hAnsiTheme="minorHAnsi"/>
                <w:sz w:val="22"/>
                <w:szCs w:val="22"/>
              </w:rPr>
              <w:footnoteReference w:id="23"/>
            </w:r>
          </w:p>
        </w:tc>
        <w:tc>
          <w:tcPr>
            <w:tcW w:w="1224" w:type="dxa"/>
            <w:shd w:val="clear" w:color="auto" w:fill="D5D5D5"/>
            <w:vAlign w:val="center"/>
          </w:tcPr>
          <w:p w:rsidR="00102473" w:rsidRPr="00C11493" w:rsidRDefault="00102473" w:rsidP="00543476">
            <w:pPr>
              <w:spacing w:beforeLines="20" w:before="48" w:afterLines="20" w:after="48"/>
              <w:jc w:val="center"/>
              <w:rPr>
                <w:rFonts w:asciiTheme="minorHAnsi" w:hAnsiTheme="minorHAnsi"/>
                <w:szCs w:val="22"/>
              </w:rPr>
            </w:pPr>
            <w:r w:rsidRPr="00C11493">
              <w:rPr>
                <w:rFonts w:asciiTheme="minorHAnsi" w:hAnsiTheme="minorHAnsi"/>
                <w:szCs w:val="22"/>
              </w:rPr>
              <w:t>1.</w:t>
            </w:r>
            <w:r w:rsidR="00543476">
              <w:rPr>
                <w:rFonts w:asciiTheme="minorHAnsi" w:hAnsiTheme="minorHAnsi"/>
                <w:szCs w:val="22"/>
              </w:rPr>
              <w:t>672</w:t>
            </w:r>
          </w:p>
        </w:tc>
        <w:tc>
          <w:tcPr>
            <w:tcW w:w="1147" w:type="dxa"/>
            <w:shd w:val="clear" w:color="auto" w:fill="D5D5D5"/>
            <w:vAlign w:val="center"/>
          </w:tcPr>
          <w:p w:rsidR="00102473" w:rsidRPr="00C11493" w:rsidRDefault="00102473" w:rsidP="00543476">
            <w:pPr>
              <w:spacing w:beforeLines="20" w:before="48" w:afterLines="20" w:after="48"/>
              <w:jc w:val="center"/>
              <w:rPr>
                <w:rFonts w:asciiTheme="minorHAnsi" w:hAnsiTheme="minorHAnsi"/>
                <w:szCs w:val="22"/>
              </w:rPr>
            </w:pPr>
            <w:r w:rsidRPr="00C11493">
              <w:rPr>
                <w:rFonts w:asciiTheme="minorHAnsi" w:hAnsiTheme="minorHAnsi"/>
                <w:szCs w:val="22"/>
              </w:rPr>
              <w:t>1.</w:t>
            </w:r>
            <w:r w:rsidR="00543476">
              <w:rPr>
                <w:rFonts w:asciiTheme="minorHAnsi" w:hAnsiTheme="minorHAnsi"/>
                <w:szCs w:val="22"/>
              </w:rPr>
              <w:t>700</w:t>
            </w:r>
          </w:p>
        </w:tc>
        <w:tc>
          <w:tcPr>
            <w:tcW w:w="1199" w:type="dxa"/>
            <w:shd w:val="clear" w:color="auto" w:fill="D5D5D5"/>
            <w:vAlign w:val="center"/>
          </w:tcPr>
          <w:p w:rsidR="00102473" w:rsidRPr="00C11493" w:rsidRDefault="00102473" w:rsidP="00102473">
            <w:pPr>
              <w:spacing w:beforeLines="20" w:before="48" w:afterLines="20" w:after="48"/>
              <w:jc w:val="center"/>
              <w:rPr>
                <w:rFonts w:asciiTheme="minorHAnsi" w:hAnsiTheme="minorHAnsi"/>
                <w:szCs w:val="22"/>
              </w:rPr>
            </w:pPr>
            <w:r w:rsidRPr="00C11493">
              <w:rPr>
                <w:rFonts w:asciiTheme="minorHAnsi" w:hAnsiTheme="minorHAnsi"/>
                <w:szCs w:val="22"/>
              </w:rPr>
              <w:t>1.550</w:t>
            </w:r>
            <w:r w:rsidRPr="00C11493">
              <w:rPr>
                <w:rStyle w:val="FootnoteReference"/>
                <w:rFonts w:asciiTheme="minorHAnsi" w:hAnsiTheme="minorHAnsi"/>
                <w:szCs w:val="22"/>
              </w:rPr>
              <w:footnoteReference w:id="24"/>
            </w:r>
          </w:p>
        </w:tc>
        <w:tc>
          <w:tcPr>
            <w:tcW w:w="1387" w:type="dxa"/>
            <w:shd w:val="clear" w:color="auto" w:fill="D5D5D5"/>
            <w:vAlign w:val="center"/>
          </w:tcPr>
          <w:p w:rsidR="00102473" w:rsidRPr="00C11493" w:rsidRDefault="00892A5F" w:rsidP="00102473">
            <w:pPr>
              <w:spacing w:beforeLines="20" w:before="48" w:afterLines="20" w:after="48"/>
              <w:jc w:val="center"/>
              <w:rPr>
                <w:rFonts w:asciiTheme="minorHAnsi" w:hAnsiTheme="minorHAnsi"/>
                <w:szCs w:val="22"/>
              </w:rPr>
            </w:pPr>
            <w:r w:rsidRPr="00C11493">
              <w:rPr>
                <w:rFonts w:asciiTheme="minorHAnsi" w:hAnsiTheme="minorHAnsi"/>
                <w:szCs w:val="22"/>
              </w:rPr>
              <w:t>Ratio</w:t>
            </w:r>
          </w:p>
        </w:tc>
      </w:tr>
      <w:tr w:rsidR="00102473" w:rsidRPr="00C11493" w:rsidTr="00102473">
        <w:tblPrEx>
          <w:tblLook w:val="04A0" w:firstRow="1" w:lastRow="0" w:firstColumn="1" w:lastColumn="0" w:noHBand="0" w:noVBand="1"/>
        </w:tblPrEx>
        <w:trPr>
          <w:cantSplit/>
          <w:jc w:val="center"/>
        </w:trPr>
        <w:tc>
          <w:tcPr>
            <w:tcW w:w="2441" w:type="dxa"/>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CBR</w:t>
            </w:r>
            <w:r w:rsidRPr="00C11493">
              <w:rPr>
                <w:rFonts w:asciiTheme="minorHAnsi" w:hAnsiTheme="minorHAnsi"/>
                <w:sz w:val="22"/>
                <w:szCs w:val="22"/>
              </w:rPr>
              <w:t>)</w:t>
            </w:r>
            <w:r w:rsidRPr="00C11493">
              <w:rPr>
                <w:rStyle w:val="FootnoteReference"/>
                <w:rFonts w:asciiTheme="minorHAnsi" w:hAnsiTheme="minorHAnsi"/>
                <w:sz w:val="22"/>
                <w:szCs w:val="22"/>
              </w:rPr>
              <w:footnoteReference w:id="25"/>
            </w:r>
          </w:p>
        </w:tc>
        <w:tc>
          <w:tcPr>
            <w:tcW w:w="1083" w:type="dxa"/>
            <w:vAlign w:val="center"/>
          </w:tcPr>
          <w:p w:rsidR="00102473" w:rsidRPr="00C11493" w:rsidRDefault="00102473" w:rsidP="004D32D4">
            <w:pPr>
              <w:spacing w:beforeLines="20" w:before="48" w:afterLines="20" w:after="48"/>
              <w:jc w:val="center"/>
              <w:rPr>
                <w:rFonts w:asciiTheme="minorHAnsi" w:hAnsiTheme="minorHAnsi"/>
                <w:szCs w:val="22"/>
              </w:rPr>
            </w:pPr>
            <w:r w:rsidRPr="00C11493">
              <w:rPr>
                <w:rFonts w:asciiTheme="minorHAnsi" w:hAnsiTheme="minorHAnsi"/>
                <w:szCs w:val="22"/>
              </w:rPr>
              <w:t>0.46</w:t>
            </w:r>
            <w:r w:rsidR="004D32D4" w:rsidRPr="00C11493">
              <w:rPr>
                <w:rFonts w:asciiTheme="minorHAnsi" w:hAnsiTheme="minorHAnsi"/>
                <w:szCs w:val="22"/>
              </w:rPr>
              <w:t>1</w:t>
            </w:r>
          </w:p>
        </w:tc>
        <w:tc>
          <w:tcPr>
            <w:tcW w:w="1224" w:type="dxa"/>
            <w:vAlign w:val="center"/>
          </w:tcPr>
          <w:p w:rsidR="00102473" w:rsidRPr="00C11493" w:rsidRDefault="00102473" w:rsidP="004D32D4">
            <w:pPr>
              <w:spacing w:beforeLines="20" w:before="48" w:afterLines="20" w:after="48"/>
              <w:jc w:val="center"/>
              <w:rPr>
                <w:rFonts w:asciiTheme="minorHAnsi" w:hAnsiTheme="minorHAnsi"/>
                <w:szCs w:val="22"/>
              </w:rPr>
            </w:pPr>
            <w:r w:rsidRPr="00C11493">
              <w:rPr>
                <w:rFonts w:asciiTheme="minorHAnsi" w:hAnsiTheme="minorHAnsi"/>
                <w:szCs w:val="22"/>
              </w:rPr>
              <w:t>0.2</w:t>
            </w:r>
            <w:r w:rsidR="004D32D4" w:rsidRPr="00C11493">
              <w:rPr>
                <w:rFonts w:asciiTheme="minorHAnsi" w:hAnsiTheme="minorHAnsi"/>
                <w:szCs w:val="22"/>
              </w:rPr>
              <w:t>73</w:t>
            </w:r>
          </w:p>
        </w:tc>
        <w:tc>
          <w:tcPr>
            <w:tcW w:w="1147" w:type="dxa"/>
            <w:vAlign w:val="center"/>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w:t>
            </w:r>
            <w:r w:rsidR="004D32D4" w:rsidRPr="00C11493">
              <w:rPr>
                <w:rFonts w:asciiTheme="minorHAnsi" w:hAnsiTheme="minorHAnsi"/>
                <w:sz w:val="22"/>
                <w:szCs w:val="22"/>
              </w:rPr>
              <w:t>391</w:t>
            </w:r>
          </w:p>
        </w:tc>
        <w:tc>
          <w:tcPr>
            <w:tcW w:w="1199" w:type="dxa"/>
            <w:vAlign w:val="center"/>
          </w:tcPr>
          <w:p w:rsidR="00102473" w:rsidRPr="00C11493" w:rsidRDefault="00102473"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w:t>
            </w:r>
            <w:r w:rsidR="00543476">
              <w:rPr>
                <w:rFonts w:asciiTheme="minorHAnsi" w:hAnsiTheme="minorHAnsi"/>
                <w:sz w:val="22"/>
                <w:szCs w:val="22"/>
              </w:rPr>
              <w:t>2</w:t>
            </w:r>
            <w:r w:rsidRPr="00C11493">
              <w:rPr>
                <w:rFonts w:asciiTheme="minorHAnsi" w:hAnsiTheme="minorHAnsi"/>
                <w:sz w:val="22"/>
                <w:szCs w:val="22"/>
              </w:rPr>
              <w:t>7</w:t>
            </w:r>
          </w:p>
        </w:tc>
        <w:tc>
          <w:tcPr>
            <w:tcW w:w="138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102473" w:rsidRPr="00C11493" w:rsidTr="00102473">
        <w:tblPrEx>
          <w:tblLook w:val="04A0" w:firstRow="1" w:lastRow="0" w:firstColumn="1" w:lastColumn="0" w:noHBand="0" w:noVBand="1"/>
        </w:tblPrEx>
        <w:trPr>
          <w:cantSplit/>
          <w:jc w:val="center"/>
        </w:trPr>
        <w:tc>
          <w:tcPr>
            <w:tcW w:w="2441" w:type="dxa"/>
            <w:shd w:val="clear" w:color="auto" w:fill="D5D5D5"/>
            <w:vAlign w:val="center"/>
          </w:tcPr>
          <w:p w:rsidR="00102473" w:rsidRPr="00C11493" w:rsidRDefault="00102473" w:rsidP="00102473">
            <w:pPr>
              <w:spacing w:beforeLines="20" w:before="48" w:afterLines="20" w:after="48"/>
              <w:rPr>
                <w:rFonts w:asciiTheme="minorHAnsi" w:hAnsiTheme="minorHAnsi"/>
                <w:szCs w:val="22"/>
              </w:rPr>
            </w:pPr>
            <w:r w:rsidRPr="00C11493">
              <w:rPr>
                <w:rFonts w:asciiTheme="minorHAnsi" w:hAnsiTheme="minorHAnsi"/>
                <w:szCs w:val="22"/>
              </w:rPr>
              <w:t>BC’</w:t>
            </w:r>
            <w:r w:rsidRPr="00C11493">
              <w:rPr>
                <w:rFonts w:asciiTheme="minorHAnsi" w:hAnsiTheme="minorHAnsi"/>
                <w:szCs w:val="22"/>
                <w:vertAlign w:val="subscript"/>
              </w:rPr>
              <w:t>ADJ</w:t>
            </w:r>
            <w:r w:rsidRPr="00C11493">
              <w:rPr>
                <w:rStyle w:val="FootnoteReference"/>
                <w:rFonts w:asciiTheme="minorHAnsi" w:hAnsiTheme="minorHAnsi"/>
                <w:szCs w:val="22"/>
              </w:rPr>
              <w:footnoteReference w:id="26"/>
            </w:r>
          </w:p>
        </w:tc>
        <w:tc>
          <w:tcPr>
            <w:tcW w:w="1083" w:type="dxa"/>
            <w:shd w:val="clear" w:color="auto" w:fill="D9D9D9" w:themeFill="background1" w:themeFillShade="D9"/>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4D32D4" w:rsidRPr="00C11493">
              <w:rPr>
                <w:rFonts w:asciiTheme="minorHAnsi" w:hAnsiTheme="minorHAnsi"/>
                <w:sz w:val="22"/>
                <w:szCs w:val="22"/>
              </w:rPr>
              <w:t>17</w:t>
            </w:r>
          </w:p>
        </w:tc>
        <w:tc>
          <w:tcPr>
            <w:tcW w:w="1224"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147"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199" w:type="dxa"/>
            <w:shd w:val="clear" w:color="auto" w:fill="D5D5D5"/>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387" w:type="dxa"/>
            <w:shd w:val="clear" w:color="auto" w:fill="D5D5D5"/>
            <w:vAlign w:val="center"/>
          </w:tcPr>
          <w:p w:rsidR="00102473" w:rsidRPr="00C11493" w:rsidRDefault="00102473" w:rsidP="00102473">
            <w:pPr>
              <w:spacing w:beforeLines="20" w:before="48" w:afterLines="20" w:after="48"/>
              <w:jc w:val="center"/>
              <w:rPr>
                <w:rFonts w:asciiTheme="minorHAnsi" w:hAnsiTheme="minorHAnsi"/>
                <w:szCs w:val="22"/>
              </w:rPr>
            </w:pPr>
            <w:r w:rsidRPr="00C11493">
              <w:rPr>
                <w:rFonts w:asciiTheme="minorHAnsi" w:hAnsiTheme="minorHAnsi"/>
                <w:szCs w:val="22"/>
              </w:rPr>
              <w:t>Hz</w:t>
            </w:r>
          </w:p>
        </w:tc>
      </w:tr>
      <w:tr w:rsidR="00102473" w:rsidRPr="00C11493" w:rsidTr="00102473">
        <w:tblPrEx>
          <w:tblLook w:val="04A0" w:firstRow="1" w:lastRow="0" w:firstColumn="1" w:lastColumn="0" w:noHBand="0" w:noVBand="1"/>
        </w:tblPrEx>
        <w:trPr>
          <w:cantSplit/>
          <w:jc w:val="center"/>
        </w:trPr>
        <w:tc>
          <w:tcPr>
            <w:tcW w:w="2441" w:type="dxa"/>
            <w:vAlign w:val="center"/>
          </w:tcPr>
          <w:p w:rsidR="00102473" w:rsidRPr="00C11493" w:rsidRDefault="00102473" w:rsidP="00102473">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Max. Allowable Delta Frequency</w:t>
            </w:r>
          </w:p>
        </w:tc>
        <w:tc>
          <w:tcPr>
            <w:tcW w:w="1083" w:type="dxa"/>
            <w:vAlign w:val="center"/>
          </w:tcPr>
          <w:p w:rsidR="00543476" w:rsidRPr="00C11493" w:rsidRDefault="00102473" w:rsidP="00543476">
            <w:pPr>
              <w:spacing w:beforeLines="20" w:before="48" w:afterLines="20" w:after="48"/>
              <w:jc w:val="center"/>
              <w:rPr>
                <w:rFonts w:asciiTheme="minorHAnsi" w:hAnsiTheme="minorHAnsi"/>
                <w:szCs w:val="22"/>
              </w:rPr>
            </w:pPr>
            <w:r w:rsidRPr="00C11493">
              <w:rPr>
                <w:rFonts w:asciiTheme="minorHAnsi" w:hAnsiTheme="minorHAnsi"/>
                <w:szCs w:val="22"/>
              </w:rPr>
              <w:t>0.4</w:t>
            </w:r>
            <w:r w:rsidR="00543476">
              <w:rPr>
                <w:rFonts w:asciiTheme="minorHAnsi" w:hAnsiTheme="minorHAnsi"/>
                <w:szCs w:val="22"/>
              </w:rPr>
              <w:t>44</w:t>
            </w:r>
          </w:p>
        </w:tc>
        <w:tc>
          <w:tcPr>
            <w:tcW w:w="1224" w:type="dxa"/>
            <w:vAlign w:val="center"/>
          </w:tcPr>
          <w:p w:rsidR="00102473" w:rsidRPr="00C11493" w:rsidRDefault="00102473" w:rsidP="004D32D4">
            <w:pPr>
              <w:spacing w:beforeLines="20" w:before="48" w:afterLines="20" w:after="48"/>
              <w:jc w:val="center"/>
              <w:rPr>
                <w:rFonts w:asciiTheme="minorHAnsi" w:hAnsiTheme="minorHAnsi"/>
                <w:szCs w:val="22"/>
              </w:rPr>
            </w:pPr>
            <w:r w:rsidRPr="00C11493">
              <w:rPr>
                <w:rFonts w:asciiTheme="minorHAnsi" w:hAnsiTheme="minorHAnsi"/>
                <w:szCs w:val="22"/>
              </w:rPr>
              <w:t>0.2</w:t>
            </w:r>
            <w:r w:rsidR="004D32D4" w:rsidRPr="00C11493">
              <w:rPr>
                <w:rFonts w:asciiTheme="minorHAnsi" w:hAnsiTheme="minorHAnsi"/>
                <w:szCs w:val="22"/>
              </w:rPr>
              <w:t>73</w:t>
            </w:r>
          </w:p>
        </w:tc>
        <w:tc>
          <w:tcPr>
            <w:tcW w:w="1147" w:type="dxa"/>
            <w:vAlign w:val="center"/>
          </w:tcPr>
          <w:p w:rsidR="00102473" w:rsidRPr="00C11493" w:rsidRDefault="00102473" w:rsidP="004D32D4">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w:t>
            </w:r>
            <w:r w:rsidR="004D32D4" w:rsidRPr="00C11493">
              <w:rPr>
                <w:rFonts w:asciiTheme="minorHAnsi" w:hAnsiTheme="minorHAnsi"/>
                <w:sz w:val="22"/>
                <w:szCs w:val="22"/>
              </w:rPr>
              <w:t>391</w:t>
            </w:r>
          </w:p>
        </w:tc>
        <w:tc>
          <w:tcPr>
            <w:tcW w:w="1199" w:type="dxa"/>
            <w:vAlign w:val="center"/>
          </w:tcPr>
          <w:p w:rsidR="00102473" w:rsidRPr="00C11493" w:rsidRDefault="00102473"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w:t>
            </w:r>
            <w:r w:rsidR="00543476">
              <w:rPr>
                <w:rFonts w:asciiTheme="minorHAnsi" w:hAnsiTheme="minorHAnsi"/>
                <w:sz w:val="22"/>
                <w:szCs w:val="22"/>
              </w:rPr>
              <w:t>2</w:t>
            </w:r>
            <w:r w:rsidRPr="00C11493">
              <w:rPr>
                <w:rFonts w:asciiTheme="minorHAnsi" w:hAnsiTheme="minorHAnsi"/>
                <w:sz w:val="22"/>
                <w:szCs w:val="22"/>
              </w:rPr>
              <w:t>7</w:t>
            </w:r>
          </w:p>
        </w:tc>
        <w:tc>
          <w:tcPr>
            <w:tcW w:w="1387" w:type="dxa"/>
            <w:vAlign w:val="center"/>
          </w:tcPr>
          <w:p w:rsidR="00102473" w:rsidRPr="00C11493" w:rsidRDefault="00102473" w:rsidP="00102473">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bl>
    <w:p w:rsidR="00102473" w:rsidRDefault="00102473" w:rsidP="00102473"/>
    <w:p w:rsidR="00102473" w:rsidRDefault="00102473" w:rsidP="00102473">
      <w:r>
        <w:t>Table 12 shows the calculation of the maximum allowable delta frequencies for each of the interconnections. All adjustments to the maximum allowable change in frequency are made to include:</w:t>
      </w:r>
    </w:p>
    <w:p w:rsidR="00607521" w:rsidRDefault="00607521" w:rsidP="00102473"/>
    <w:p w:rsidR="00102473" w:rsidRDefault="00102473" w:rsidP="00866C29">
      <w:pPr>
        <w:pStyle w:val="ListParagraph"/>
        <w:numPr>
          <w:ilvl w:val="0"/>
          <w:numId w:val="22"/>
        </w:numPr>
      </w:pPr>
      <w:r>
        <w:t>Adjustments for the differences between one-second and sub-second Point C observations for frequency events;</w:t>
      </w:r>
    </w:p>
    <w:p w:rsidR="00102473" w:rsidRDefault="00102473" w:rsidP="00866C29">
      <w:pPr>
        <w:pStyle w:val="ListParagraph"/>
        <w:numPr>
          <w:ilvl w:val="0"/>
          <w:numId w:val="22"/>
        </w:numPr>
      </w:pPr>
      <w:r>
        <w:t>Adjustments for the differences between Point C and Value B; and</w:t>
      </w:r>
    </w:p>
    <w:p w:rsidR="00102473" w:rsidRDefault="00102473" w:rsidP="00866C29">
      <w:pPr>
        <w:pStyle w:val="ListParagraph"/>
        <w:numPr>
          <w:ilvl w:val="0"/>
          <w:numId w:val="22"/>
        </w:numPr>
      </w:pPr>
      <w:r>
        <w:t>Adjustments for the event nadir being below Value B (Eastern Interconnection only) due to primary frequency response withdrawal.</w:t>
      </w:r>
    </w:p>
    <w:p w:rsidR="00FB52B0" w:rsidRDefault="00FB52B0" w:rsidP="00E82BC7">
      <w:r>
        <w:br w:type="page"/>
      </w:r>
    </w:p>
    <w:p w:rsidR="00102473" w:rsidRDefault="00102473" w:rsidP="00E82BC7"/>
    <w:p w:rsidR="00102473" w:rsidRDefault="00102473" w:rsidP="00102473">
      <w:pPr>
        <w:pStyle w:val="Heading4"/>
      </w:pPr>
      <w:r>
        <w:t>Comparison of Maximum Allowable Delta Frequencies</w:t>
      </w:r>
    </w:p>
    <w:p w:rsidR="00102473" w:rsidRDefault="00102473" w:rsidP="00102473">
      <w:r>
        <w:t>The following is a comparison of the 201</w:t>
      </w:r>
      <w:r w:rsidR="00C11493">
        <w:t>4</w:t>
      </w:r>
      <w:r>
        <w:t xml:space="preserve"> maximum allowable delta frequencies with those presented in the 201</w:t>
      </w:r>
      <w:r w:rsidR="00C11493">
        <w:t>3</w:t>
      </w:r>
      <w:r>
        <w:t xml:space="preserve"> </w:t>
      </w:r>
      <w:r w:rsidRPr="00C11493">
        <w:rPr>
          <w:i/>
        </w:rPr>
        <w:t xml:space="preserve">Frequency Response </w:t>
      </w:r>
      <w:r w:rsidR="00C11493" w:rsidRPr="00C11493">
        <w:rPr>
          <w:i/>
        </w:rPr>
        <w:t>Annual Analysis</w:t>
      </w:r>
      <w:r w:rsidR="00C11493">
        <w:t xml:space="preserve"> </w:t>
      </w:r>
      <w:r w:rsidR="0058579A">
        <w:t>r</w:t>
      </w:r>
      <w:r>
        <w:t>eport.</w:t>
      </w:r>
    </w:p>
    <w:p w:rsidR="002B4AC6" w:rsidRDefault="002B4AC6" w:rsidP="00102473"/>
    <w:tbl>
      <w:tblPr>
        <w:tblW w:w="7359"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441"/>
        <w:gridCol w:w="1083"/>
        <w:gridCol w:w="1224"/>
        <w:gridCol w:w="1224"/>
        <w:gridCol w:w="1387"/>
      </w:tblGrid>
      <w:tr w:rsidR="002B4AC6" w:rsidRPr="00C11493" w:rsidTr="00367FEE">
        <w:trPr>
          <w:cantSplit/>
          <w:trHeight w:val="432"/>
          <w:jc w:val="center"/>
        </w:trPr>
        <w:tc>
          <w:tcPr>
            <w:tcW w:w="7359" w:type="dxa"/>
            <w:gridSpan w:val="5"/>
            <w:shd w:val="clear" w:color="auto" w:fill="214D74"/>
            <w:vAlign w:val="center"/>
          </w:tcPr>
          <w:p w:rsidR="002B4AC6" w:rsidRPr="00C11493" w:rsidRDefault="002B4AC6" w:rsidP="004C7660">
            <w:pPr>
              <w:spacing w:beforeLines="20" w:before="48" w:afterLines="20" w:after="48"/>
              <w:jc w:val="center"/>
              <w:rPr>
                <w:rFonts w:asciiTheme="minorHAnsi" w:hAnsiTheme="minorHAnsi" w:cs="Arial"/>
                <w:szCs w:val="22"/>
              </w:rPr>
            </w:pPr>
            <w:r w:rsidRPr="00C11493">
              <w:rPr>
                <w:rFonts w:asciiTheme="minorHAnsi" w:hAnsiTheme="minorHAnsi" w:cs="Arial"/>
                <w:b/>
                <w:color w:val="FFFFFF"/>
                <w:szCs w:val="22"/>
              </w:rPr>
              <w:t>Table 13a: Maximum Delta Allowable Frequency Comparison</w:t>
            </w:r>
          </w:p>
        </w:tc>
      </w:tr>
      <w:tr w:rsidR="002B4AC6" w:rsidRPr="00C11493" w:rsidTr="004C7660">
        <w:trPr>
          <w:cantSplit/>
          <w:jc w:val="center"/>
        </w:trPr>
        <w:tc>
          <w:tcPr>
            <w:tcW w:w="2441"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Eastern</w:t>
            </w:r>
          </w:p>
        </w:tc>
        <w:tc>
          <w:tcPr>
            <w:tcW w:w="1083" w:type="dxa"/>
            <w:shd w:val="clear" w:color="auto" w:fill="8DB5DA"/>
            <w:vAlign w:val="center"/>
          </w:tcPr>
          <w:p w:rsidR="002B4AC6" w:rsidRPr="00C11493" w:rsidRDefault="002B4AC6" w:rsidP="00372D1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w:t>
            </w:r>
            <w:r w:rsidR="00372D16" w:rsidRPr="00C11493">
              <w:rPr>
                <w:rFonts w:asciiTheme="minorHAnsi" w:hAnsiTheme="minorHAnsi" w:cs="Arial"/>
                <w:b/>
                <w:szCs w:val="22"/>
              </w:rPr>
              <w:t>13</w:t>
            </w:r>
          </w:p>
        </w:tc>
        <w:tc>
          <w:tcPr>
            <w:tcW w:w="1224" w:type="dxa"/>
            <w:shd w:val="clear" w:color="auto" w:fill="8DB5DA"/>
            <w:vAlign w:val="center"/>
          </w:tcPr>
          <w:p w:rsidR="002B4AC6" w:rsidRPr="00C11493" w:rsidRDefault="002B4AC6" w:rsidP="00372D1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372D16" w:rsidRPr="00C11493">
              <w:rPr>
                <w:rFonts w:asciiTheme="minorHAnsi" w:hAnsiTheme="minorHAnsi" w:cs="Arial"/>
                <w:b/>
                <w:szCs w:val="22"/>
              </w:rPr>
              <w:t>4</w:t>
            </w:r>
          </w:p>
        </w:tc>
        <w:tc>
          <w:tcPr>
            <w:tcW w:w="1224"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372D16" w:rsidRPr="00C11493" w:rsidTr="004C7660">
        <w:trPr>
          <w:cantSplit/>
          <w:jc w:val="center"/>
        </w:trPr>
        <w:tc>
          <w:tcPr>
            <w:tcW w:w="2441" w:type="dxa"/>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Starting Frequency</w:t>
            </w:r>
          </w:p>
        </w:tc>
        <w:tc>
          <w:tcPr>
            <w:tcW w:w="1083"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59.974</w:t>
            </w:r>
          </w:p>
        </w:tc>
        <w:tc>
          <w:tcPr>
            <w:tcW w:w="1224"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59.974</w:t>
            </w:r>
          </w:p>
        </w:tc>
        <w:tc>
          <w:tcPr>
            <w:tcW w:w="1224"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Min. Frequency Limit</w:t>
            </w:r>
          </w:p>
        </w:tc>
        <w:tc>
          <w:tcPr>
            <w:tcW w:w="1083"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Base Delta Frequency</w:t>
            </w:r>
          </w:p>
        </w:tc>
        <w:tc>
          <w:tcPr>
            <w:tcW w:w="1083"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0.474</w:t>
            </w:r>
          </w:p>
        </w:tc>
        <w:tc>
          <w:tcPr>
            <w:tcW w:w="1224"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0.474</w:t>
            </w:r>
          </w:p>
        </w:tc>
        <w:tc>
          <w:tcPr>
            <w:tcW w:w="1224"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CC</w:t>
            </w:r>
            <w:r w:rsidRPr="00C11493">
              <w:rPr>
                <w:rFonts w:asciiTheme="minorHAnsi" w:hAnsiTheme="minorHAnsi"/>
                <w:sz w:val="22"/>
                <w:szCs w:val="22"/>
                <w:vertAlign w:val="subscript"/>
              </w:rPr>
              <w:t>ADJ</w:t>
            </w:r>
          </w:p>
        </w:tc>
        <w:tc>
          <w:tcPr>
            <w:tcW w:w="1083"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0.009</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0.013</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0.004</w:t>
            </w:r>
          </w:p>
        </w:tc>
        <w:tc>
          <w:tcPr>
            <w:tcW w:w="1387"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auto"/>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CC</w:t>
            </w:r>
            <w:r w:rsidRPr="00C11493">
              <w:rPr>
                <w:rFonts w:asciiTheme="minorHAnsi" w:hAnsiTheme="minorHAnsi"/>
                <w:sz w:val="22"/>
                <w:szCs w:val="22"/>
              </w:rPr>
              <w:t>)</w:t>
            </w:r>
          </w:p>
        </w:tc>
        <w:tc>
          <w:tcPr>
            <w:tcW w:w="1083"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0.465</w:t>
            </w:r>
          </w:p>
        </w:tc>
        <w:tc>
          <w:tcPr>
            <w:tcW w:w="1224"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0.461</w:t>
            </w:r>
          </w:p>
        </w:tc>
        <w:tc>
          <w:tcPr>
            <w:tcW w:w="1224"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-0.004</w:t>
            </w:r>
          </w:p>
        </w:tc>
        <w:tc>
          <w:tcPr>
            <w:tcW w:w="1387"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spacing w:beforeLines="20" w:before="48" w:afterLines="20" w:after="48"/>
              <w:rPr>
                <w:rFonts w:asciiTheme="minorHAnsi" w:hAnsiTheme="minorHAnsi"/>
                <w:szCs w:val="22"/>
              </w:rPr>
            </w:pPr>
            <w:r w:rsidRPr="00C11493">
              <w:rPr>
                <w:rFonts w:asciiTheme="minorHAnsi" w:hAnsiTheme="minorHAnsi"/>
                <w:szCs w:val="22"/>
              </w:rPr>
              <w:t>CB</w:t>
            </w:r>
            <w:r w:rsidRPr="00C11493">
              <w:rPr>
                <w:rFonts w:asciiTheme="minorHAnsi" w:hAnsiTheme="minorHAnsi"/>
                <w:szCs w:val="22"/>
                <w:vertAlign w:val="subscript"/>
              </w:rPr>
              <w:t>R</w:t>
            </w:r>
          </w:p>
        </w:tc>
        <w:tc>
          <w:tcPr>
            <w:tcW w:w="1083" w:type="dxa"/>
            <w:shd w:val="clear" w:color="auto" w:fill="D5D5D5"/>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1.000</w:t>
            </w:r>
          </w:p>
        </w:tc>
        <w:tc>
          <w:tcPr>
            <w:tcW w:w="1224" w:type="dxa"/>
            <w:shd w:val="clear" w:color="auto" w:fill="D5D5D5"/>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1.000</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Ratio</w:t>
            </w:r>
          </w:p>
        </w:tc>
      </w:tr>
      <w:tr w:rsidR="00372D16" w:rsidRPr="00C11493" w:rsidTr="004C7660">
        <w:trPr>
          <w:cantSplit/>
          <w:jc w:val="center"/>
        </w:trPr>
        <w:tc>
          <w:tcPr>
            <w:tcW w:w="2441" w:type="dxa"/>
            <w:shd w:val="clear" w:color="auto" w:fill="auto"/>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 (DF</w:t>
            </w:r>
            <w:r w:rsidRPr="00C11493">
              <w:rPr>
                <w:rFonts w:asciiTheme="minorHAnsi" w:hAnsiTheme="minorHAnsi"/>
                <w:sz w:val="22"/>
                <w:szCs w:val="22"/>
                <w:vertAlign w:val="subscript"/>
              </w:rPr>
              <w:t>CBR</w:t>
            </w:r>
            <w:r w:rsidRPr="00C11493">
              <w:rPr>
                <w:rFonts w:asciiTheme="minorHAnsi" w:hAnsiTheme="minorHAnsi"/>
                <w:sz w:val="22"/>
                <w:szCs w:val="22"/>
              </w:rPr>
              <w:t>)</w:t>
            </w:r>
          </w:p>
        </w:tc>
        <w:tc>
          <w:tcPr>
            <w:tcW w:w="1083" w:type="dxa"/>
            <w:shd w:val="clear" w:color="auto" w:fill="auto"/>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0.465</w:t>
            </w:r>
          </w:p>
        </w:tc>
        <w:tc>
          <w:tcPr>
            <w:tcW w:w="1224" w:type="dxa"/>
            <w:shd w:val="clear" w:color="auto" w:fill="auto"/>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0.461</w:t>
            </w:r>
          </w:p>
        </w:tc>
        <w:tc>
          <w:tcPr>
            <w:tcW w:w="1224"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-0.004</w:t>
            </w:r>
          </w:p>
        </w:tc>
        <w:tc>
          <w:tcPr>
            <w:tcW w:w="1387"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spacing w:beforeLines="20" w:before="48" w:afterLines="20" w:after="48"/>
              <w:rPr>
                <w:rFonts w:asciiTheme="minorHAnsi" w:hAnsiTheme="minorHAnsi"/>
                <w:szCs w:val="22"/>
              </w:rPr>
            </w:pPr>
            <w:r w:rsidRPr="00C11493">
              <w:rPr>
                <w:rFonts w:asciiTheme="minorHAnsi" w:hAnsiTheme="minorHAnsi"/>
                <w:szCs w:val="22"/>
              </w:rPr>
              <w:t>BC’</w:t>
            </w:r>
            <w:r w:rsidRPr="00C11493">
              <w:rPr>
                <w:rFonts w:asciiTheme="minorHAnsi" w:hAnsiTheme="minorHAnsi"/>
                <w:szCs w:val="22"/>
                <w:vertAlign w:val="subscript"/>
              </w:rPr>
              <w:t>ADJ</w:t>
            </w:r>
          </w:p>
        </w:tc>
        <w:tc>
          <w:tcPr>
            <w:tcW w:w="1083" w:type="dxa"/>
            <w:shd w:val="clear" w:color="auto" w:fill="D5D5D5"/>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0.021</w:t>
            </w:r>
          </w:p>
        </w:tc>
        <w:tc>
          <w:tcPr>
            <w:tcW w:w="1224" w:type="dxa"/>
            <w:shd w:val="clear" w:color="auto" w:fill="D5D5D5"/>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0.017</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-0.004</w:t>
            </w:r>
          </w:p>
        </w:tc>
        <w:tc>
          <w:tcPr>
            <w:tcW w:w="1387" w:type="dxa"/>
            <w:shd w:val="clear" w:color="auto" w:fill="D5D5D5"/>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Hz</w:t>
            </w:r>
          </w:p>
        </w:tc>
      </w:tr>
      <w:tr w:rsidR="00372D16" w:rsidRPr="00C11493" w:rsidTr="004C7660">
        <w:trPr>
          <w:cantSplit/>
          <w:jc w:val="center"/>
        </w:trPr>
        <w:tc>
          <w:tcPr>
            <w:tcW w:w="2441" w:type="dxa"/>
            <w:shd w:val="clear" w:color="auto" w:fill="auto"/>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Max. Allowable Delta Frequency</w:t>
            </w:r>
          </w:p>
        </w:tc>
        <w:tc>
          <w:tcPr>
            <w:tcW w:w="1083" w:type="dxa"/>
            <w:shd w:val="clear" w:color="auto" w:fill="auto"/>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0.444</w:t>
            </w:r>
          </w:p>
        </w:tc>
        <w:tc>
          <w:tcPr>
            <w:tcW w:w="1224" w:type="dxa"/>
            <w:shd w:val="clear" w:color="auto" w:fill="auto"/>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0.444</w:t>
            </w:r>
          </w:p>
        </w:tc>
        <w:tc>
          <w:tcPr>
            <w:tcW w:w="1224"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2B4AC6" w:rsidRPr="00C11493" w:rsidTr="004C7660">
        <w:trPr>
          <w:cantSplit/>
          <w:jc w:val="center"/>
        </w:trPr>
        <w:tc>
          <w:tcPr>
            <w:tcW w:w="2441"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Western</w:t>
            </w:r>
          </w:p>
        </w:tc>
        <w:tc>
          <w:tcPr>
            <w:tcW w:w="1083" w:type="dxa"/>
            <w:shd w:val="clear" w:color="auto" w:fill="8DB5DA"/>
            <w:vAlign w:val="center"/>
          </w:tcPr>
          <w:p w:rsidR="002B4AC6" w:rsidRPr="00C11493" w:rsidRDefault="002B4AC6" w:rsidP="00372D1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w:t>
            </w:r>
            <w:r w:rsidR="00372D16" w:rsidRPr="00C11493">
              <w:rPr>
                <w:rFonts w:asciiTheme="minorHAnsi" w:hAnsiTheme="minorHAnsi" w:cs="Arial"/>
                <w:b/>
                <w:szCs w:val="22"/>
              </w:rPr>
              <w:t>13</w:t>
            </w:r>
          </w:p>
        </w:tc>
        <w:tc>
          <w:tcPr>
            <w:tcW w:w="1224" w:type="dxa"/>
            <w:shd w:val="clear" w:color="auto" w:fill="8DB5DA"/>
            <w:vAlign w:val="center"/>
          </w:tcPr>
          <w:p w:rsidR="002B4AC6" w:rsidRPr="00C11493" w:rsidRDefault="002B4AC6" w:rsidP="00372D1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w:t>
            </w:r>
            <w:r w:rsidR="00372D16" w:rsidRPr="00C11493">
              <w:rPr>
                <w:rFonts w:asciiTheme="minorHAnsi" w:hAnsiTheme="minorHAnsi" w:cs="Arial"/>
                <w:b/>
                <w:szCs w:val="22"/>
              </w:rPr>
              <w:t>14</w:t>
            </w:r>
          </w:p>
        </w:tc>
        <w:tc>
          <w:tcPr>
            <w:tcW w:w="1224"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2B4AC6" w:rsidRPr="00C11493" w:rsidRDefault="002B4AC6"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372D16" w:rsidRPr="00C11493" w:rsidTr="004C7660">
        <w:trPr>
          <w:cantSplit/>
          <w:jc w:val="center"/>
        </w:trPr>
        <w:tc>
          <w:tcPr>
            <w:tcW w:w="2441" w:type="dxa"/>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Starting Frequency</w:t>
            </w:r>
          </w:p>
        </w:tc>
        <w:tc>
          <w:tcPr>
            <w:tcW w:w="1083"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59.971</w:t>
            </w:r>
          </w:p>
        </w:tc>
        <w:tc>
          <w:tcPr>
            <w:tcW w:w="1224" w:type="dxa"/>
            <w:vAlign w:val="center"/>
          </w:tcPr>
          <w:p w:rsidR="00372D16" w:rsidRPr="00C11493" w:rsidRDefault="00372D16" w:rsidP="00CA50C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w:t>
            </w:r>
            <w:r w:rsidR="00CA50C2" w:rsidRPr="00C11493">
              <w:rPr>
                <w:rFonts w:asciiTheme="minorHAnsi" w:hAnsiTheme="minorHAnsi"/>
                <w:sz w:val="22"/>
                <w:szCs w:val="22"/>
              </w:rPr>
              <w:t>68</w:t>
            </w:r>
          </w:p>
        </w:tc>
        <w:tc>
          <w:tcPr>
            <w:tcW w:w="1224" w:type="dxa"/>
            <w:vAlign w:val="center"/>
          </w:tcPr>
          <w:p w:rsidR="00372D16" w:rsidRPr="00C11493" w:rsidRDefault="00372D16" w:rsidP="00CA50C2">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w:t>
            </w:r>
            <w:r w:rsidR="00CA50C2" w:rsidRPr="00C11493">
              <w:rPr>
                <w:rFonts w:asciiTheme="minorHAnsi" w:hAnsiTheme="minorHAnsi"/>
                <w:sz w:val="22"/>
                <w:szCs w:val="22"/>
              </w:rPr>
              <w:t>3</w:t>
            </w:r>
          </w:p>
        </w:tc>
        <w:tc>
          <w:tcPr>
            <w:tcW w:w="1387"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Min. Frequency Limit</w:t>
            </w:r>
          </w:p>
        </w:tc>
        <w:tc>
          <w:tcPr>
            <w:tcW w:w="1083"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59.500</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Base Delta Frequency</w:t>
            </w:r>
          </w:p>
        </w:tc>
        <w:tc>
          <w:tcPr>
            <w:tcW w:w="1083"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0.471</w:t>
            </w:r>
          </w:p>
        </w:tc>
        <w:tc>
          <w:tcPr>
            <w:tcW w:w="1224" w:type="dxa"/>
            <w:vAlign w:val="center"/>
          </w:tcPr>
          <w:p w:rsidR="00372D16" w:rsidRPr="00C11493" w:rsidRDefault="00372D16" w:rsidP="004724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w:t>
            </w:r>
            <w:r w:rsidR="00472416" w:rsidRPr="00C11493">
              <w:rPr>
                <w:rFonts w:asciiTheme="minorHAnsi" w:hAnsiTheme="minorHAnsi"/>
                <w:sz w:val="22"/>
                <w:szCs w:val="22"/>
              </w:rPr>
              <w:t>68</w:t>
            </w:r>
          </w:p>
        </w:tc>
        <w:tc>
          <w:tcPr>
            <w:tcW w:w="1224" w:type="dxa"/>
            <w:vAlign w:val="center"/>
          </w:tcPr>
          <w:p w:rsidR="00372D16" w:rsidRPr="00C11493" w:rsidRDefault="00372D16" w:rsidP="004724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w:t>
            </w:r>
            <w:r w:rsidR="00472416" w:rsidRPr="00C11493">
              <w:rPr>
                <w:rFonts w:asciiTheme="minorHAnsi" w:hAnsiTheme="minorHAnsi"/>
                <w:sz w:val="22"/>
                <w:szCs w:val="22"/>
              </w:rPr>
              <w:t>3</w:t>
            </w:r>
          </w:p>
        </w:tc>
        <w:tc>
          <w:tcPr>
            <w:tcW w:w="1387" w:type="dxa"/>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CC</w:t>
            </w:r>
            <w:r w:rsidRPr="00C11493">
              <w:rPr>
                <w:rFonts w:asciiTheme="minorHAnsi" w:hAnsiTheme="minorHAnsi"/>
                <w:sz w:val="22"/>
                <w:szCs w:val="22"/>
                <w:vertAlign w:val="subscript"/>
              </w:rPr>
              <w:t>ADJ</w:t>
            </w:r>
          </w:p>
        </w:tc>
        <w:tc>
          <w:tcPr>
            <w:tcW w:w="1083"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0.008</w:t>
            </w:r>
          </w:p>
        </w:tc>
        <w:tc>
          <w:tcPr>
            <w:tcW w:w="1224" w:type="dxa"/>
            <w:shd w:val="clear" w:color="auto" w:fill="D5D5D5"/>
            <w:vAlign w:val="center"/>
          </w:tcPr>
          <w:p w:rsidR="00372D16" w:rsidRPr="00C11493" w:rsidRDefault="00372D16"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E91CBD" w:rsidRPr="00C11493">
              <w:rPr>
                <w:rFonts w:asciiTheme="minorHAnsi" w:hAnsiTheme="minorHAnsi"/>
                <w:sz w:val="22"/>
                <w:szCs w:val="22"/>
              </w:rPr>
              <w:t>11</w:t>
            </w:r>
          </w:p>
        </w:tc>
        <w:tc>
          <w:tcPr>
            <w:tcW w:w="1224" w:type="dxa"/>
            <w:shd w:val="clear" w:color="auto" w:fill="D5D5D5"/>
            <w:vAlign w:val="center"/>
          </w:tcPr>
          <w:p w:rsidR="00372D16" w:rsidRPr="00C11493" w:rsidRDefault="00372D16"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w:t>
            </w:r>
            <w:r w:rsidR="00E91CBD" w:rsidRPr="00C11493">
              <w:rPr>
                <w:rFonts w:asciiTheme="minorHAnsi" w:hAnsiTheme="minorHAnsi"/>
                <w:sz w:val="22"/>
                <w:szCs w:val="22"/>
              </w:rPr>
              <w:t>3</w:t>
            </w:r>
          </w:p>
        </w:tc>
        <w:tc>
          <w:tcPr>
            <w:tcW w:w="1387"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auto"/>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CC</w:t>
            </w:r>
            <w:r w:rsidRPr="00C11493">
              <w:rPr>
                <w:rFonts w:asciiTheme="minorHAnsi" w:hAnsiTheme="minorHAnsi"/>
                <w:sz w:val="22"/>
                <w:szCs w:val="22"/>
              </w:rPr>
              <w:t>)</w:t>
            </w:r>
          </w:p>
        </w:tc>
        <w:tc>
          <w:tcPr>
            <w:tcW w:w="1083"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0.463</w:t>
            </w:r>
          </w:p>
        </w:tc>
        <w:tc>
          <w:tcPr>
            <w:tcW w:w="1224" w:type="dxa"/>
            <w:shd w:val="clear" w:color="auto" w:fill="auto"/>
            <w:vAlign w:val="center"/>
          </w:tcPr>
          <w:p w:rsidR="00372D16" w:rsidRPr="00C11493" w:rsidRDefault="00372D16"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w:t>
            </w:r>
            <w:r w:rsidR="00E91CBD" w:rsidRPr="00C11493">
              <w:rPr>
                <w:rFonts w:asciiTheme="minorHAnsi" w:hAnsiTheme="minorHAnsi"/>
                <w:sz w:val="22"/>
                <w:szCs w:val="22"/>
              </w:rPr>
              <w:t>57</w:t>
            </w:r>
          </w:p>
        </w:tc>
        <w:tc>
          <w:tcPr>
            <w:tcW w:w="1224" w:type="dxa"/>
            <w:shd w:val="clear" w:color="auto" w:fill="auto"/>
            <w:vAlign w:val="center"/>
          </w:tcPr>
          <w:p w:rsidR="00372D16" w:rsidRPr="00C11493" w:rsidRDefault="00372D16"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w:t>
            </w:r>
            <w:r w:rsidR="00E91CBD" w:rsidRPr="00C11493">
              <w:rPr>
                <w:rFonts w:asciiTheme="minorHAnsi" w:hAnsiTheme="minorHAnsi"/>
                <w:sz w:val="22"/>
                <w:szCs w:val="22"/>
              </w:rPr>
              <w:t>6</w:t>
            </w:r>
          </w:p>
        </w:tc>
        <w:tc>
          <w:tcPr>
            <w:tcW w:w="1387"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spacing w:beforeLines="20" w:before="48" w:afterLines="20" w:after="48"/>
              <w:rPr>
                <w:rFonts w:asciiTheme="minorHAnsi" w:hAnsiTheme="minorHAnsi"/>
                <w:szCs w:val="22"/>
              </w:rPr>
            </w:pPr>
            <w:r w:rsidRPr="00C11493">
              <w:rPr>
                <w:rFonts w:asciiTheme="minorHAnsi" w:hAnsiTheme="minorHAnsi"/>
                <w:szCs w:val="22"/>
              </w:rPr>
              <w:t>CB</w:t>
            </w:r>
            <w:r w:rsidRPr="00C11493">
              <w:rPr>
                <w:rFonts w:asciiTheme="minorHAnsi" w:hAnsiTheme="minorHAnsi"/>
                <w:szCs w:val="22"/>
                <w:vertAlign w:val="subscript"/>
              </w:rPr>
              <w:t>R</w:t>
            </w:r>
          </w:p>
        </w:tc>
        <w:tc>
          <w:tcPr>
            <w:tcW w:w="1083" w:type="dxa"/>
            <w:shd w:val="clear" w:color="auto" w:fill="D5D5D5"/>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1.774</w:t>
            </w:r>
          </w:p>
        </w:tc>
        <w:tc>
          <w:tcPr>
            <w:tcW w:w="1224" w:type="dxa"/>
            <w:shd w:val="clear" w:color="auto" w:fill="D5D5D5"/>
            <w:vAlign w:val="center"/>
          </w:tcPr>
          <w:p w:rsidR="00372D16" w:rsidRPr="00C11493" w:rsidRDefault="00372D16" w:rsidP="00E91CBD">
            <w:pPr>
              <w:spacing w:beforeLines="20" w:before="48" w:afterLines="20" w:after="48"/>
              <w:jc w:val="center"/>
              <w:rPr>
                <w:rFonts w:asciiTheme="minorHAnsi" w:hAnsiTheme="minorHAnsi"/>
                <w:szCs w:val="22"/>
              </w:rPr>
            </w:pPr>
            <w:r w:rsidRPr="00C11493">
              <w:rPr>
                <w:rFonts w:asciiTheme="minorHAnsi" w:hAnsiTheme="minorHAnsi"/>
                <w:szCs w:val="22"/>
              </w:rPr>
              <w:t>1.</w:t>
            </w:r>
            <w:r w:rsidR="00E91CBD" w:rsidRPr="00C11493">
              <w:rPr>
                <w:rFonts w:asciiTheme="minorHAnsi" w:hAnsiTheme="minorHAnsi"/>
                <w:szCs w:val="22"/>
              </w:rPr>
              <w:t>672</w:t>
            </w:r>
          </w:p>
        </w:tc>
        <w:tc>
          <w:tcPr>
            <w:tcW w:w="1224" w:type="dxa"/>
            <w:shd w:val="clear" w:color="auto" w:fill="D5D5D5"/>
            <w:vAlign w:val="center"/>
          </w:tcPr>
          <w:p w:rsidR="00372D16" w:rsidRPr="00C11493" w:rsidRDefault="00E91CBD"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r w:rsidR="00372D16" w:rsidRPr="00C11493">
              <w:rPr>
                <w:rFonts w:asciiTheme="minorHAnsi" w:hAnsiTheme="minorHAnsi"/>
                <w:sz w:val="22"/>
                <w:szCs w:val="22"/>
              </w:rPr>
              <w:t>0.</w:t>
            </w:r>
            <w:r w:rsidRPr="00C11493">
              <w:rPr>
                <w:rFonts w:asciiTheme="minorHAnsi" w:hAnsiTheme="minorHAnsi"/>
                <w:sz w:val="22"/>
                <w:szCs w:val="22"/>
              </w:rPr>
              <w:t>102</w:t>
            </w:r>
          </w:p>
        </w:tc>
        <w:tc>
          <w:tcPr>
            <w:tcW w:w="1387" w:type="dxa"/>
            <w:shd w:val="clear" w:color="auto" w:fill="D5D5D5"/>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Ratio</w:t>
            </w:r>
          </w:p>
        </w:tc>
      </w:tr>
      <w:tr w:rsidR="00372D16" w:rsidRPr="00C11493" w:rsidTr="004C7660">
        <w:trPr>
          <w:cantSplit/>
          <w:jc w:val="center"/>
        </w:trPr>
        <w:tc>
          <w:tcPr>
            <w:tcW w:w="2441" w:type="dxa"/>
            <w:shd w:val="clear" w:color="auto" w:fill="auto"/>
            <w:vAlign w:val="center"/>
          </w:tcPr>
          <w:p w:rsidR="00372D16" w:rsidRPr="00C11493" w:rsidRDefault="00372D16" w:rsidP="00372D1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 (DF</w:t>
            </w:r>
            <w:r w:rsidRPr="00C11493">
              <w:rPr>
                <w:rFonts w:asciiTheme="minorHAnsi" w:hAnsiTheme="minorHAnsi"/>
                <w:sz w:val="22"/>
                <w:szCs w:val="22"/>
                <w:vertAlign w:val="subscript"/>
              </w:rPr>
              <w:t>CBR</w:t>
            </w:r>
            <w:r w:rsidRPr="00C11493">
              <w:rPr>
                <w:rFonts w:asciiTheme="minorHAnsi" w:hAnsiTheme="minorHAnsi"/>
                <w:sz w:val="22"/>
                <w:szCs w:val="22"/>
              </w:rPr>
              <w:t>)</w:t>
            </w:r>
          </w:p>
        </w:tc>
        <w:tc>
          <w:tcPr>
            <w:tcW w:w="1083" w:type="dxa"/>
            <w:shd w:val="clear" w:color="auto" w:fill="auto"/>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0.261</w:t>
            </w:r>
          </w:p>
        </w:tc>
        <w:tc>
          <w:tcPr>
            <w:tcW w:w="1224" w:type="dxa"/>
            <w:shd w:val="clear" w:color="auto" w:fill="auto"/>
            <w:vAlign w:val="center"/>
          </w:tcPr>
          <w:p w:rsidR="00372D16" w:rsidRPr="00C11493" w:rsidRDefault="00372D16" w:rsidP="00E91CBD">
            <w:pPr>
              <w:spacing w:beforeLines="20" w:before="48" w:afterLines="20" w:after="48"/>
              <w:jc w:val="center"/>
              <w:rPr>
                <w:rFonts w:asciiTheme="minorHAnsi" w:hAnsiTheme="minorHAnsi"/>
                <w:szCs w:val="22"/>
              </w:rPr>
            </w:pPr>
            <w:r w:rsidRPr="00C11493">
              <w:rPr>
                <w:rFonts w:asciiTheme="minorHAnsi" w:hAnsiTheme="minorHAnsi"/>
                <w:szCs w:val="22"/>
              </w:rPr>
              <w:t>0.2</w:t>
            </w:r>
            <w:r w:rsidR="00E91CBD" w:rsidRPr="00C11493">
              <w:rPr>
                <w:rFonts w:asciiTheme="minorHAnsi" w:hAnsiTheme="minorHAnsi"/>
                <w:szCs w:val="22"/>
              </w:rPr>
              <w:t>73</w:t>
            </w:r>
          </w:p>
        </w:tc>
        <w:tc>
          <w:tcPr>
            <w:tcW w:w="1224" w:type="dxa"/>
            <w:shd w:val="clear" w:color="auto" w:fill="auto"/>
            <w:vAlign w:val="center"/>
          </w:tcPr>
          <w:p w:rsidR="00372D16" w:rsidRPr="00C11493" w:rsidRDefault="00372D16" w:rsidP="00E91CBD">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E91CBD" w:rsidRPr="00C11493">
              <w:rPr>
                <w:rFonts w:asciiTheme="minorHAnsi" w:hAnsiTheme="minorHAnsi"/>
                <w:sz w:val="22"/>
                <w:szCs w:val="22"/>
              </w:rPr>
              <w:t>12</w:t>
            </w:r>
          </w:p>
        </w:tc>
        <w:tc>
          <w:tcPr>
            <w:tcW w:w="1387" w:type="dxa"/>
            <w:shd w:val="clear" w:color="auto" w:fill="auto"/>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372D16" w:rsidRPr="00C11493" w:rsidTr="004C7660">
        <w:trPr>
          <w:cantSplit/>
          <w:jc w:val="center"/>
        </w:trPr>
        <w:tc>
          <w:tcPr>
            <w:tcW w:w="2441" w:type="dxa"/>
            <w:shd w:val="clear" w:color="auto" w:fill="D5D5D5"/>
            <w:vAlign w:val="center"/>
          </w:tcPr>
          <w:p w:rsidR="00372D16" w:rsidRPr="00C11493" w:rsidRDefault="00372D16" w:rsidP="00372D16">
            <w:pPr>
              <w:spacing w:beforeLines="20" w:before="48" w:afterLines="20" w:after="48"/>
              <w:rPr>
                <w:rFonts w:asciiTheme="minorHAnsi" w:hAnsiTheme="minorHAnsi"/>
                <w:szCs w:val="22"/>
              </w:rPr>
            </w:pPr>
            <w:r w:rsidRPr="00C11493">
              <w:rPr>
                <w:rFonts w:asciiTheme="minorHAnsi" w:hAnsiTheme="minorHAnsi"/>
                <w:szCs w:val="22"/>
              </w:rPr>
              <w:t>BC’</w:t>
            </w:r>
            <w:r w:rsidRPr="00C11493">
              <w:rPr>
                <w:rFonts w:asciiTheme="minorHAnsi" w:hAnsiTheme="minorHAnsi"/>
                <w:szCs w:val="22"/>
                <w:vertAlign w:val="subscript"/>
              </w:rPr>
              <w:t>ADJ</w:t>
            </w:r>
          </w:p>
        </w:tc>
        <w:tc>
          <w:tcPr>
            <w:tcW w:w="1083"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372D16" w:rsidRPr="00C11493" w:rsidRDefault="00372D16" w:rsidP="00372D1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372D16" w:rsidRPr="00C11493" w:rsidRDefault="00372D16" w:rsidP="00372D16">
            <w:pPr>
              <w:spacing w:beforeLines="20" w:before="48" w:afterLines="20" w:after="48"/>
              <w:jc w:val="center"/>
              <w:rPr>
                <w:rFonts w:asciiTheme="minorHAnsi" w:hAnsiTheme="minorHAnsi"/>
                <w:szCs w:val="22"/>
              </w:rPr>
            </w:pPr>
            <w:r w:rsidRPr="00C11493">
              <w:rPr>
                <w:rFonts w:asciiTheme="minorHAnsi" w:hAnsiTheme="minorHAnsi"/>
                <w:szCs w:val="22"/>
              </w:rPr>
              <w:t>Hz</w:t>
            </w:r>
          </w:p>
        </w:tc>
      </w:tr>
      <w:tr w:rsidR="00543476" w:rsidRPr="00C11493" w:rsidTr="004C7660">
        <w:trPr>
          <w:cantSplit/>
          <w:jc w:val="center"/>
        </w:trPr>
        <w:tc>
          <w:tcPr>
            <w:tcW w:w="2441" w:type="dxa"/>
            <w:shd w:val="clear" w:color="auto" w:fill="auto"/>
            <w:vAlign w:val="center"/>
          </w:tcPr>
          <w:p w:rsidR="00543476" w:rsidRPr="00C11493" w:rsidRDefault="00543476" w:rsidP="0054347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Max. Allowable Delta Frequency</w:t>
            </w:r>
          </w:p>
        </w:tc>
        <w:tc>
          <w:tcPr>
            <w:tcW w:w="1083" w:type="dxa"/>
            <w:shd w:val="clear" w:color="auto" w:fill="auto"/>
            <w:vAlign w:val="center"/>
          </w:tcPr>
          <w:p w:rsidR="00543476" w:rsidRPr="00C11493" w:rsidRDefault="00543476" w:rsidP="00543476">
            <w:pPr>
              <w:spacing w:beforeLines="20" w:before="48" w:afterLines="20" w:after="48"/>
              <w:jc w:val="center"/>
              <w:rPr>
                <w:rFonts w:asciiTheme="minorHAnsi" w:hAnsiTheme="minorHAnsi"/>
                <w:szCs w:val="22"/>
              </w:rPr>
            </w:pPr>
            <w:r w:rsidRPr="00C11493">
              <w:rPr>
                <w:rFonts w:asciiTheme="minorHAnsi" w:hAnsiTheme="minorHAnsi"/>
                <w:szCs w:val="22"/>
              </w:rPr>
              <w:t>0.261</w:t>
            </w:r>
          </w:p>
        </w:tc>
        <w:tc>
          <w:tcPr>
            <w:tcW w:w="1224" w:type="dxa"/>
            <w:shd w:val="clear" w:color="auto" w:fill="auto"/>
            <w:vAlign w:val="center"/>
          </w:tcPr>
          <w:p w:rsidR="00543476" w:rsidRPr="00C11493" w:rsidRDefault="00543476" w:rsidP="00543476">
            <w:pPr>
              <w:spacing w:beforeLines="20" w:before="48" w:afterLines="20" w:after="48"/>
              <w:jc w:val="center"/>
              <w:rPr>
                <w:rFonts w:asciiTheme="minorHAnsi" w:hAnsiTheme="minorHAnsi"/>
                <w:szCs w:val="22"/>
              </w:rPr>
            </w:pPr>
            <w:r w:rsidRPr="00C11493">
              <w:rPr>
                <w:rFonts w:asciiTheme="minorHAnsi" w:hAnsiTheme="minorHAnsi"/>
                <w:szCs w:val="22"/>
              </w:rPr>
              <w:t>0.273</w:t>
            </w:r>
          </w:p>
        </w:tc>
        <w:tc>
          <w:tcPr>
            <w:tcW w:w="1224" w:type="dxa"/>
            <w:shd w:val="clear" w:color="auto" w:fill="auto"/>
            <w:vAlign w:val="center"/>
          </w:tcPr>
          <w:p w:rsidR="00543476" w:rsidRPr="00C11493" w:rsidRDefault="00543476"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0.012</w:t>
            </w:r>
          </w:p>
        </w:tc>
        <w:tc>
          <w:tcPr>
            <w:tcW w:w="1387" w:type="dxa"/>
            <w:shd w:val="clear" w:color="auto" w:fill="auto"/>
            <w:vAlign w:val="center"/>
          </w:tcPr>
          <w:p w:rsidR="00543476" w:rsidRPr="00C11493" w:rsidRDefault="00543476" w:rsidP="0054347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bl>
    <w:p w:rsidR="002B4AC6" w:rsidRDefault="002B4AC6" w:rsidP="00102473"/>
    <w:p w:rsidR="000E6C33" w:rsidRDefault="004F3755" w:rsidP="000E6C33">
      <w:r>
        <w:t>In the Eastern Interconnection</w:t>
      </w:r>
      <w:r w:rsidR="00472416">
        <w:t>, the 4 mHz</w:t>
      </w:r>
      <w:r>
        <w:t xml:space="preserve"> </w:t>
      </w:r>
      <w:r w:rsidR="00472416">
        <w:t>increase in CC</w:t>
      </w:r>
      <w:r w:rsidR="00472416" w:rsidRPr="004F3755">
        <w:rPr>
          <w:vertAlign w:val="subscript"/>
        </w:rPr>
        <w:t>ADJ</w:t>
      </w:r>
      <w:r w:rsidR="00472416">
        <w:t xml:space="preserve"> is offset by the 4 mHz decrease in BC'</w:t>
      </w:r>
      <w:r w:rsidR="00472416" w:rsidRPr="00472416">
        <w:rPr>
          <w:vertAlign w:val="subscript"/>
        </w:rPr>
        <w:t>ADJ</w:t>
      </w:r>
      <w:r w:rsidR="00472416">
        <w:t>, resulting in no change to the Maximum Allowable Delta Frequency.</w:t>
      </w:r>
    </w:p>
    <w:p w:rsidR="000E6C33" w:rsidRDefault="000E6C33" w:rsidP="000E6C33"/>
    <w:p w:rsidR="000E6C33" w:rsidRDefault="000E6C33" w:rsidP="000E6C33">
      <w:r>
        <w:t>There is a</w:t>
      </w:r>
      <w:r w:rsidR="00403B1E">
        <w:t>n</w:t>
      </w:r>
      <w:r>
        <w:t xml:space="preserve"> </w:t>
      </w:r>
      <w:r w:rsidR="0063380B">
        <w:t>increase</w:t>
      </w:r>
      <w:r>
        <w:t xml:space="preserve"> of </w:t>
      </w:r>
      <w:r w:rsidR="00403B1E">
        <w:t>12</w:t>
      </w:r>
      <w:r>
        <w:t xml:space="preserve"> mHz in the Western Interconnection maximum allowable delta frequency caused by:</w:t>
      </w:r>
    </w:p>
    <w:p w:rsidR="000E6C33" w:rsidRDefault="000E6C33" w:rsidP="000E6C33"/>
    <w:p w:rsidR="000E6C33" w:rsidRPr="0063380B" w:rsidRDefault="000E6C33" w:rsidP="00866C29">
      <w:pPr>
        <w:pStyle w:val="ListParagraph"/>
        <w:numPr>
          <w:ilvl w:val="0"/>
          <w:numId w:val="23"/>
        </w:numPr>
      </w:pPr>
      <w:r w:rsidRPr="0063380B">
        <w:t>0.00</w:t>
      </w:r>
      <w:r w:rsidR="0063380B" w:rsidRPr="0063380B">
        <w:t>3</w:t>
      </w:r>
      <w:r w:rsidRPr="0063380B">
        <w:t xml:space="preserve"> Hz decrease in the starting frequency;</w:t>
      </w:r>
    </w:p>
    <w:p w:rsidR="000E6C33" w:rsidRPr="0063380B" w:rsidRDefault="000E6C33" w:rsidP="00866C29">
      <w:pPr>
        <w:pStyle w:val="ListParagraph"/>
        <w:numPr>
          <w:ilvl w:val="0"/>
          <w:numId w:val="23"/>
        </w:numPr>
      </w:pPr>
      <w:r w:rsidRPr="0063380B">
        <w:t>0.00</w:t>
      </w:r>
      <w:r w:rsidR="00403B1E">
        <w:t>3</w:t>
      </w:r>
      <w:r w:rsidRPr="0063380B">
        <w:t xml:space="preserve"> Hz increase in the CC</w:t>
      </w:r>
      <w:r w:rsidRPr="0063380B">
        <w:rPr>
          <w:vertAlign w:val="subscript"/>
        </w:rPr>
        <w:t>ADJ</w:t>
      </w:r>
      <w:r w:rsidRPr="0063380B">
        <w:t>; and</w:t>
      </w:r>
    </w:p>
    <w:p w:rsidR="000E6C33" w:rsidRPr="0063380B" w:rsidRDefault="000E6C33" w:rsidP="00866C29">
      <w:pPr>
        <w:pStyle w:val="ListParagraph"/>
        <w:numPr>
          <w:ilvl w:val="0"/>
          <w:numId w:val="23"/>
        </w:numPr>
      </w:pPr>
      <w:r w:rsidRPr="0063380B">
        <w:t>0.1</w:t>
      </w:r>
      <w:r w:rsidR="0063380B" w:rsidRPr="0063380B">
        <w:t>02</w:t>
      </w:r>
      <w:r w:rsidRPr="0063380B">
        <w:t xml:space="preserve"> </w:t>
      </w:r>
      <w:r w:rsidR="0063380B" w:rsidRPr="0063380B">
        <w:t>de</w:t>
      </w:r>
      <w:r w:rsidRPr="0063380B">
        <w:t>crease in the CB</w:t>
      </w:r>
      <w:r w:rsidRPr="0063380B">
        <w:rPr>
          <w:vertAlign w:val="subscript"/>
        </w:rPr>
        <w:t>R</w:t>
      </w:r>
      <w:r w:rsidR="00023E68">
        <w:rPr>
          <w:vertAlign w:val="subscript"/>
        </w:rPr>
        <w:t xml:space="preserve"> </w:t>
      </w:r>
      <w:r w:rsidR="00023E68">
        <w:t>ratio</w:t>
      </w:r>
      <w:r w:rsidRPr="0063380B">
        <w:t>.</w:t>
      </w:r>
    </w:p>
    <w:p w:rsidR="000E6C33" w:rsidRDefault="000E6C33" w:rsidP="000E6C33"/>
    <w:p w:rsidR="000E6C33" w:rsidRDefault="000E6C33" w:rsidP="000E6C33">
      <w:r>
        <w:t xml:space="preserve">These changes are caused by the changes in the interconnection's frequency characteristics and changes to the Frequency Response performance in the </w:t>
      </w:r>
      <w:r w:rsidR="000B637A">
        <w:t>analyzed events</w:t>
      </w:r>
      <w:r>
        <w:t>.</w:t>
      </w:r>
    </w:p>
    <w:p w:rsidR="000E6C33" w:rsidRDefault="000E6C33" w:rsidP="000E6C33">
      <w:r>
        <w:br w:type="page"/>
      </w:r>
    </w:p>
    <w:p w:rsidR="000E6C33" w:rsidRDefault="000E6C33" w:rsidP="000E6C33"/>
    <w:tbl>
      <w:tblPr>
        <w:tblW w:w="7359"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441"/>
        <w:gridCol w:w="1083"/>
        <w:gridCol w:w="1224"/>
        <w:gridCol w:w="1224"/>
        <w:gridCol w:w="1387"/>
      </w:tblGrid>
      <w:tr w:rsidR="000E6C33" w:rsidRPr="00C11493" w:rsidTr="00367FEE">
        <w:trPr>
          <w:cantSplit/>
          <w:trHeight w:val="432"/>
          <w:jc w:val="center"/>
        </w:trPr>
        <w:tc>
          <w:tcPr>
            <w:tcW w:w="7359" w:type="dxa"/>
            <w:gridSpan w:val="5"/>
            <w:shd w:val="clear" w:color="auto" w:fill="214D74"/>
            <w:vAlign w:val="center"/>
          </w:tcPr>
          <w:p w:rsidR="000E6C33" w:rsidRPr="00C11493" w:rsidRDefault="000E6C33" w:rsidP="004C7660">
            <w:pPr>
              <w:spacing w:beforeLines="20" w:before="48" w:afterLines="20" w:after="48"/>
              <w:jc w:val="center"/>
              <w:rPr>
                <w:rFonts w:asciiTheme="minorHAnsi" w:hAnsiTheme="minorHAnsi" w:cs="Arial"/>
                <w:szCs w:val="22"/>
              </w:rPr>
            </w:pPr>
            <w:r w:rsidRPr="00C11493">
              <w:rPr>
                <w:rFonts w:asciiTheme="minorHAnsi" w:hAnsiTheme="minorHAnsi" w:cs="Arial"/>
                <w:b/>
                <w:color w:val="FFFFFF"/>
                <w:szCs w:val="22"/>
              </w:rPr>
              <w:t>Table 13b: Maximum allowable delta Frequency Comparison</w:t>
            </w:r>
          </w:p>
        </w:tc>
      </w:tr>
      <w:tr w:rsidR="000E6C33" w:rsidRPr="00C11493" w:rsidTr="004C7660">
        <w:trPr>
          <w:cantSplit/>
          <w:jc w:val="center"/>
        </w:trPr>
        <w:tc>
          <w:tcPr>
            <w:tcW w:w="2441"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ERCOT</w:t>
            </w:r>
          </w:p>
        </w:tc>
        <w:tc>
          <w:tcPr>
            <w:tcW w:w="1083" w:type="dxa"/>
            <w:shd w:val="clear" w:color="auto" w:fill="8DB5DA"/>
            <w:vAlign w:val="center"/>
          </w:tcPr>
          <w:p w:rsidR="000E6C33" w:rsidRPr="00C11493" w:rsidRDefault="000E6C33" w:rsidP="00DB13C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DB13C6" w:rsidRPr="00C11493">
              <w:rPr>
                <w:rFonts w:asciiTheme="minorHAnsi" w:hAnsiTheme="minorHAnsi" w:cs="Arial"/>
                <w:b/>
                <w:szCs w:val="22"/>
              </w:rPr>
              <w:t>3</w:t>
            </w:r>
          </w:p>
        </w:tc>
        <w:tc>
          <w:tcPr>
            <w:tcW w:w="1224" w:type="dxa"/>
            <w:shd w:val="clear" w:color="auto" w:fill="8DB5DA"/>
            <w:vAlign w:val="center"/>
          </w:tcPr>
          <w:p w:rsidR="000E6C33" w:rsidRPr="00C11493" w:rsidRDefault="000E6C33" w:rsidP="00DB13C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DB13C6" w:rsidRPr="00C11493">
              <w:rPr>
                <w:rFonts w:asciiTheme="minorHAnsi" w:hAnsiTheme="minorHAnsi" w:cs="Arial"/>
                <w:b/>
                <w:szCs w:val="22"/>
              </w:rPr>
              <w:t>4</w:t>
            </w:r>
          </w:p>
        </w:tc>
        <w:tc>
          <w:tcPr>
            <w:tcW w:w="1224"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DB13C6" w:rsidRPr="00C11493" w:rsidTr="004C7660">
        <w:trPr>
          <w:cantSplit/>
          <w:jc w:val="center"/>
        </w:trPr>
        <w:tc>
          <w:tcPr>
            <w:tcW w:w="2441" w:type="dxa"/>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Starting Frequency</w:t>
            </w:r>
          </w:p>
        </w:tc>
        <w:tc>
          <w:tcPr>
            <w:tcW w:w="1083"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59.964</w:t>
            </w:r>
          </w:p>
        </w:tc>
        <w:tc>
          <w:tcPr>
            <w:tcW w:w="1224" w:type="dxa"/>
            <w:vAlign w:val="center"/>
          </w:tcPr>
          <w:p w:rsidR="00DB13C6" w:rsidRPr="00C11493" w:rsidRDefault="00DB13C6" w:rsidP="00B4126C">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w:t>
            </w:r>
            <w:r w:rsidR="00B4126C" w:rsidRPr="00C11493">
              <w:rPr>
                <w:rFonts w:asciiTheme="minorHAnsi" w:hAnsiTheme="minorHAnsi"/>
                <w:sz w:val="22"/>
                <w:szCs w:val="22"/>
              </w:rPr>
              <w:t>5</w:t>
            </w:r>
          </w:p>
        </w:tc>
        <w:tc>
          <w:tcPr>
            <w:tcW w:w="1224"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0.001</w:t>
            </w:r>
          </w:p>
        </w:tc>
        <w:tc>
          <w:tcPr>
            <w:tcW w:w="1387"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shd w:val="clear" w:color="auto" w:fill="D5D5D5"/>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Min. Frequency Limit</w:t>
            </w:r>
          </w:p>
        </w:tc>
        <w:tc>
          <w:tcPr>
            <w:tcW w:w="1083"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59.300</w:t>
            </w:r>
          </w:p>
        </w:tc>
        <w:tc>
          <w:tcPr>
            <w:tcW w:w="1224"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59.300</w:t>
            </w:r>
          </w:p>
        </w:tc>
        <w:tc>
          <w:tcPr>
            <w:tcW w:w="1224"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Base Delta Frequency</w:t>
            </w:r>
          </w:p>
        </w:tc>
        <w:tc>
          <w:tcPr>
            <w:tcW w:w="1083"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0.664</w:t>
            </w:r>
          </w:p>
        </w:tc>
        <w:tc>
          <w:tcPr>
            <w:tcW w:w="1224" w:type="dxa"/>
            <w:vAlign w:val="center"/>
          </w:tcPr>
          <w:p w:rsidR="00DB13C6" w:rsidRPr="00C11493" w:rsidRDefault="00DB13C6" w:rsidP="00B4126C">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w:t>
            </w:r>
            <w:r w:rsidR="00B4126C" w:rsidRPr="00C11493">
              <w:rPr>
                <w:rFonts w:asciiTheme="minorHAnsi" w:hAnsiTheme="minorHAnsi"/>
                <w:sz w:val="22"/>
                <w:szCs w:val="22"/>
              </w:rPr>
              <w:t>5</w:t>
            </w:r>
          </w:p>
        </w:tc>
        <w:tc>
          <w:tcPr>
            <w:tcW w:w="1224"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0.001</w:t>
            </w:r>
          </w:p>
        </w:tc>
        <w:tc>
          <w:tcPr>
            <w:tcW w:w="1387" w:type="dxa"/>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shd w:val="clear" w:color="auto" w:fill="D5D5D5"/>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CC</w:t>
            </w:r>
            <w:r w:rsidRPr="00C11493">
              <w:rPr>
                <w:rFonts w:asciiTheme="minorHAnsi" w:hAnsiTheme="minorHAnsi"/>
                <w:sz w:val="22"/>
                <w:szCs w:val="22"/>
                <w:vertAlign w:val="subscript"/>
              </w:rPr>
              <w:t>ADJ</w:t>
            </w:r>
          </w:p>
        </w:tc>
        <w:tc>
          <w:tcPr>
            <w:tcW w:w="1083"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0.000</w:t>
            </w:r>
          </w:p>
        </w:tc>
        <w:tc>
          <w:tcPr>
            <w:tcW w:w="1224" w:type="dxa"/>
            <w:shd w:val="clear" w:color="auto" w:fill="D5D5D5"/>
            <w:vAlign w:val="center"/>
          </w:tcPr>
          <w:p w:rsidR="00DB13C6" w:rsidRPr="00C11493" w:rsidRDefault="00DB13C6" w:rsidP="00B4126C">
            <w:pPr>
              <w:spacing w:beforeLines="20" w:before="48" w:afterLines="20" w:after="48"/>
              <w:jc w:val="center"/>
              <w:rPr>
                <w:rFonts w:asciiTheme="minorHAnsi" w:hAnsiTheme="minorHAnsi"/>
                <w:szCs w:val="22"/>
              </w:rPr>
            </w:pPr>
            <w:r w:rsidRPr="00C11493">
              <w:rPr>
                <w:rFonts w:asciiTheme="minorHAnsi" w:hAnsiTheme="minorHAnsi"/>
                <w:szCs w:val="22"/>
              </w:rPr>
              <w:t>0.00</w:t>
            </w:r>
            <w:r w:rsidR="00B4126C" w:rsidRPr="00C11493">
              <w:rPr>
                <w:rFonts w:asciiTheme="minorHAnsi" w:hAnsiTheme="minorHAnsi"/>
                <w:szCs w:val="22"/>
              </w:rPr>
              <w:t>1</w:t>
            </w:r>
          </w:p>
        </w:tc>
        <w:tc>
          <w:tcPr>
            <w:tcW w:w="1224" w:type="dxa"/>
            <w:shd w:val="clear" w:color="auto" w:fill="D5D5D5"/>
            <w:vAlign w:val="center"/>
          </w:tcPr>
          <w:p w:rsidR="00DB13C6" w:rsidRPr="00C11493" w:rsidRDefault="00023E68"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0.001</w:t>
            </w:r>
          </w:p>
        </w:tc>
        <w:tc>
          <w:tcPr>
            <w:tcW w:w="1387"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shd w:val="clear" w:color="auto" w:fill="auto"/>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CC</w:t>
            </w:r>
            <w:r w:rsidRPr="00C11493">
              <w:rPr>
                <w:rFonts w:asciiTheme="minorHAnsi" w:hAnsiTheme="minorHAnsi"/>
                <w:sz w:val="22"/>
                <w:szCs w:val="22"/>
              </w:rPr>
              <w:t>)</w:t>
            </w:r>
          </w:p>
        </w:tc>
        <w:tc>
          <w:tcPr>
            <w:tcW w:w="1083"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0.664</w:t>
            </w:r>
          </w:p>
        </w:tc>
        <w:tc>
          <w:tcPr>
            <w:tcW w:w="1224" w:type="dxa"/>
            <w:shd w:val="clear" w:color="auto" w:fill="auto"/>
            <w:vAlign w:val="center"/>
          </w:tcPr>
          <w:p w:rsidR="00DB13C6" w:rsidRPr="00C11493" w:rsidRDefault="00DB13C6" w:rsidP="00023E68">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0.66</w:t>
            </w:r>
            <w:r w:rsidR="00023E68" w:rsidRPr="00C11493">
              <w:rPr>
                <w:rFonts w:asciiTheme="minorHAnsi" w:hAnsiTheme="minorHAnsi"/>
                <w:sz w:val="22"/>
                <w:szCs w:val="22"/>
              </w:rPr>
              <w:t>4</w:t>
            </w:r>
          </w:p>
        </w:tc>
        <w:tc>
          <w:tcPr>
            <w:tcW w:w="1224" w:type="dxa"/>
            <w:shd w:val="clear" w:color="auto" w:fill="auto"/>
            <w:vAlign w:val="center"/>
          </w:tcPr>
          <w:p w:rsidR="00023E68" w:rsidRPr="00C11493" w:rsidRDefault="00023E68" w:rsidP="00023E68">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shd w:val="clear" w:color="auto" w:fill="D5D5D5"/>
            <w:vAlign w:val="center"/>
          </w:tcPr>
          <w:p w:rsidR="00DB13C6" w:rsidRPr="00C11493" w:rsidRDefault="00DB13C6" w:rsidP="00DB13C6">
            <w:pPr>
              <w:spacing w:beforeLines="20" w:before="48" w:afterLines="20" w:after="48"/>
              <w:rPr>
                <w:rFonts w:asciiTheme="minorHAnsi" w:hAnsiTheme="minorHAnsi"/>
                <w:szCs w:val="22"/>
              </w:rPr>
            </w:pPr>
            <w:r w:rsidRPr="00C11493">
              <w:rPr>
                <w:rFonts w:asciiTheme="minorHAnsi" w:hAnsiTheme="minorHAnsi"/>
                <w:szCs w:val="22"/>
              </w:rPr>
              <w:t>CB</w:t>
            </w:r>
            <w:r w:rsidRPr="00C11493">
              <w:rPr>
                <w:rFonts w:asciiTheme="minorHAnsi" w:hAnsiTheme="minorHAnsi"/>
                <w:szCs w:val="22"/>
                <w:vertAlign w:val="subscript"/>
              </w:rPr>
              <w:t>R</w:t>
            </w:r>
          </w:p>
        </w:tc>
        <w:tc>
          <w:tcPr>
            <w:tcW w:w="1083" w:type="dxa"/>
            <w:shd w:val="clear" w:color="auto" w:fill="D5D5D5"/>
            <w:vAlign w:val="center"/>
          </w:tcPr>
          <w:p w:rsidR="00DB13C6" w:rsidRPr="00C11493" w:rsidRDefault="00DB13C6" w:rsidP="00DB13C6">
            <w:pPr>
              <w:spacing w:beforeLines="20" w:before="48" w:afterLines="20" w:after="48"/>
              <w:jc w:val="center"/>
              <w:rPr>
                <w:rFonts w:asciiTheme="minorHAnsi" w:hAnsiTheme="minorHAnsi"/>
                <w:szCs w:val="22"/>
              </w:rPr>
            </w:pPr>
            <w:r w:rsidRPr="00C11493">
              <w:rPr>
                <w:rFonts w:asciiTheme="minorHAnsi" w:hAnsiTheme="minorHAnsi"/>
                <w:szCs w:val="22"/>
              </w:rPr>
              <w:t>1.478</w:t>
            </w:r>
          </w:p>
        </w:tc>
        <w:tc>
          <w:tcPr>
            <w:tcW w:w="1224" w:type="dxa"/>
            <w:shd w:val="clear" w:color="auto" w:fill="D5D5D5"/>
            <w:vAlign w:val="center"/>
          </w:tcPr>
          <w:p w:rsidR="00DB13C6" w:rsidRPr="00C11493" w:rsidRDefault="00DB13C6" w:rsidP="00B4126C">
            <w:pPr>
              <w:spacing w:beforeLines="20" w:before="48" w:afterLines="20" w:after="48"/>
              <w:jc w:val="center"/>
              <w:rPr>
                <w:rFonts w:asciiTheme="minorHAnsi" w:hAnsiTheme="minorHAnsi"/>
                <w:szCs w:val="22"/>
              </w:rPr>
            </w:pPr>
            <w:r w:rsidRPr="00C11493">
              <w:rPr>
                <w:rFonts w:asciiTheme="minorHAnsi" w:hAnsiTheme="minorHAnsi"/>
                <w:szCs w:val="22"/>
              </w:rPr>
              <w:t>1.</w:t>
            </w:r>
            <w:r w:rsidR="00B4126C" w:rsidRPr="00C11493">
              <w:rPr>
                <w:rFonts w:asciiTheme="minorHAnsi" w:hAnsiTheme="minorHAnsi"/>
                <w:szCs w:val="22"/>
              </w:rPr>
              <w:t>700</w:t>
            </w:r>
          </w:p>
        </w:tc>
        <w:tc>
          <w:tcPr>
            <w:tcW w:w="1224" w:type="dxa"/>
            <w:shd w:val="clear" w:color="auto" w:fill="D5D5D5"/>
            <w:vAlign w:val="center"/>
          </w:tcPr>
          <w:p w:rsidR="00DB13C6" w:rsidRPr="00C11493" w:rsidRDefault="00DB13C6" w:rsidP="00B4126C">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w:t>
            </w:r>
            <w:r w:rsidR="00B4126C" w:rsidRPr="00C11493">
              <w:rPr>
                <w:rFonts w:asciiTheme="minorHAnsi" w:hAnsiTheme="minorHAnsi"/>
                <w:sz w:val="22"/>
                <w:szCs w:val="22"/>
              </w:rPr>
              <w:t>222</w:t>
            </w:r>
          </w:p>
        </w:tc>
        <w:tc>
          <w:tcPr>
            <w:tcW w:w="1387" w:type="dxa"/>
            <w:shd w:val="clear" w:color="auto" w:fill="D5D5D5"/>
            <w:vAlign w:val="center"/>
          </w:tcPr>
          <w:p w:rsidR="00DB13C6" w:rsidRPr="00C11493" w:rsidRDefault="00DB13C6" w:rsidP="00DB13C6">
            <w:pPr>
              <w:spacing w:beforeLines="20" w:before="48" w:afterLines="20" w:after="48"/>
              <w:jc w:val="center"/>
              <w:rPr>
                <w:rFonts w:asciiTheme="minorHAnsi" w:hAnsiTheme="minorHAnsi"/>
                <w:szCs w:val="22"/>
              </w:rPr>
            </w:pPr>
            <w:r w:rsidRPr="00C11493">
              <w:rPr>
                <w:rFonts w:asciiTheme="minorHAnsi" w:hAnsiTheme="minorHAnsi"/>
                <w:szCs w:val="22"/>
              </w:rPr>
              <w:t>Ratio</w:t>
            </w:r>
          </w:p>
        </w:tc>
      </w:tr>
      <w:tr w:rsidR="00DB13C6" w:rsidRPr="00C11493" w:rsidTr="004C7660">
        <w:trPr>
          <w:cantSplit/>
          <w:jc w:val="center"/>
        </w:trPr>
        <w:tc>
          <w:tcPr>
            <w:tcW w:w="2441" w:type="dxa"/>
            <w:shd w:val="clear" w:color="auto" w:fill="auto"/>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 (DF</w:t>
            </w:r>
            <w:r w:rsidRPr="00C11493">
              <w:rPr>
                <w:rFonts w:asciiTheme="minorHAnsi" w:hAnsiTheme="minorHAnsi"/>
                <w:sz w:val="22"/>
                <w:szCs w:val="22"/>
                <w:vertAlign w:val="subscript"/>
              </w:rPr>
              <w:t>CBR</w:t>
            </w:r>
            <w:r w:rsidRPr="00C11493">
              <w:rPr>
                <w:rFonts w:asciiTheme="minorHAnsi" w:hAnsiTheme="minorHAnsi"/>
                <w:sz w:val="22"/>
                <w:szCs w:val="22"/>
              </w:rPr>
              <w:t>)</w:t>
            </w:r>
          </w:p>
        </w:tc>
        <w:tc>
          <w:tcPr>
            <w:tcW w:w="1083"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0.449</w:t>
            </w:r>
          </w:p>
        </w:tc>
        <w:tc>
          <w:tcPr>
            <w:tcW w:w="1224" w:type="dxa"/>
            <w:shd w:val="clear" w:color="auto" w:fill="auto"/>
            <w:vAlign w:val="center"/>
          </w:tcPr>
          <w:p w:rsidR="00DB13C6" w:rsidRPr="00C11493" w:rsidRDefault="00DB13C6" w:rsidP="00B4126C">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w:t>
            </w:r>
            <w:r w:rsidR="00B4126C" w:rsidRPr="00C11493">
              <w:rPr>
                <w:rFonts w:asciiTheme="minorHAnsi" w:hAnsiTheme="minorHAnsi"/>
                <w:sz w:val="22"/>
                <w:szCs w:val="22"/>
              </w:rPr>
              <w:t>391</w:t>
            </w:r>
          </w:p>
        </w:tc>
        <w:tc>
          <w:tcPr>
            <w:tcW w:w="1224" w:type="dxa"/>
            <w:shd w:val="clear" w:color="auto" w:fill="auto"/>
            <w:vAlign w:val="center"/>
          </w:tcPr>
          <w:p w:rsidR="00DB13C6" w:rsidRPr="00C11493" w:rsidRDefault="00DB13C6" w:rsidP="00B4126C">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B4126C" w:rsidRPr="00C11493">
              <w:rPr>
                <w:rFonts w:asciiTheme="minorHAnsi" w:hAnsiTheme="minorHAnsi"/>
                <w:sz w:val="22"/>
                <w:szCs w:val="22"/>
              </w:rPr>
              <w:t>59</w:t>
            </w:r>
          </w:p>
        </w:tc>
        <w:tc>
          <w:tcPr>
            <w:tcW w:w="1387"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DB13C6" w:rsidRPr="00C11493" w:rsidTr="004C7660">
        <w:trPr>
          <w:cantSplit/>
          <w:jc w:val="center"/>
        </w:trPr>
        <w:tc>
          <w:tcPr>
            <w:tcW w:w="2441" w:type="dxa"/>
            <w:shd w:val="clear" w:color="auto" w:fill="D5D5D5"/>
            <w:vAlign w:val="center"/>
          </w:tcPr>
          <w:p w:rsidR="00DB13C6" w:rsidRPr="00C11493" w:rsidRDefault="00DB13C6" w:rsidP="00DB13C6">
            <w:pPr>
              <w:spacing w:beforeLines="20" w:before="48" w:afterLines="20" w:after="48"/>
              <w:rPr>
                <w:rFonts w:asciiTheme="minorHAnsi" w:hAnsiTheme="minorHAnsi"/>
                <w:szCs w:val="22"/>
              </w:rPr>
            </w:pPr>
            <w:r w:rsidRPr="00C11493">
              <w:rPr>
                <w:rFonts w:asciiTheme="minorHAnsi" w:hAnsiTheme="minorHAnsi"/>
                <w:szCs w:val="22"/>
              </w:rPr>
              <w:t>BC’</w:t>
            </w:r>
            <w:r w:rsidRPr="00C11493">
              <w:rPr>
                <w:rFonts w:asciiTheme="minorHAnsi" w:hAnsiTheme="minorHAnsi"/>
                <w:szCs w:val="22"/>
                <w:vertAlign w:val="subscript"/>
              </w:rPr>
              <w:t>ADJ</w:t>
            </w:r>
          </w:p>
        </w:tc>
        <w:tc>
          <w:tcPr>
            <w:tcW w:w="1083"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DB13C6" w:rsidRPr="00C11493" w:rsidRDefault="00DB13C6" w:rsidP="00DB13C6">
            <w:pPr>
              <w:spacing w:beforeLines="20" w:before="48" w:afterLines="20" w:after="48"/>
              <w:jc w:val="center"/>
              <w:rPr>
                <w:rFonts w:asciiTheme="minorHAnsi" w:hAnsiTheme="minorHAnsi"/>
                <w:szCs w:val="22"/>
              </w:rPr>
            </w:pPr>
            <w:r w:rsidRPr="00C11493">
              <w:rPr>
                <w:rFonts w:asciiTheme="minorHAnsi" w:hAnsiTheme="minorHAnsi"/>
                <w:szCs w:val="22"/>
              </w:rPr>
              <w:t>Hz</w:t>
            </w:r>
          </w:p>
        </w:tc>
      </w:tr>
      <w:tr w:rsidR="00DB13C6" w:rsidRPr="00C11493" w:rsidTr="004C7660">
        <w:trPr>
          <w:cantSplit/>
          <w:jc w:val="center"/>
        </w:trPr>
        <w:tc>
          <w:tcPr>
            <w:tcW w:w="2441" w:type="dxa"/>
            <w:shd w:val="clear" w:color="auto" w:fill="auto"/>
            <w:vAlign w:val="center"/>
          </w:tcPr>
          <w:p w:rsidR="00DB13C6" w:rsidRPr="00C11493" w:rsidRDefault="00DB13C6" w:rsidP="00DB13C6">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Max. Allowable Delta Frequency</w:t>
            </w:r>
          </w:p>
        </w:tc>
        <w:tc>
          <w:tcPr>
            <w:tcW w:w="1083"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0.449</w:t>
            </w:r>
          </w:p>
        </w:tc>
        <w:tc>
          <w:tcPr>
            <w:tcW w:w="1224" w:type="dxa"/>
            <w:shd w:val="clear" w:color="auto" w:fill="auto"/>
            <w:vAlign w:val="center"/>
          </w:tcPr>
          <w:p w:rsidR="00DB13C6" w:rsidRPr="00C11493" w:rsidRDefault="00B4126C"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0.391</w:t>
            </w:r>
          </w:p>
        </w:tc>
        <w:tc>
          <w:tcPr>
            <w:tcW w:w="1224" w:type="dxa"/>
            <w:shd w:val="clear" w:color="auto" w:fill="auto"/>
            <w:vAlign w:val="center"/>
          </w:tcPr>
          <w:p w:rsidR="00DB13C6" w:rsidRPr="00C11493" w:rsidRDefault="00DB13C6"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w:t>
            </w:r>
            <w:r w:rsidR="00F742EA" w:rsidRPr="00C11493">
              <w:rPr>
                <w:rFonts w:asciiTheme="minorHAnsi" w:hAnsiTheme="minorHAnsi"/>
                <w:sz w:val="22"/>
                <w:szCs w:val="22"/>
              </w:rPr>
              <w:t>59</w:t>
            </w:r>
          </w:p>
        </w:tc>
        <w:tc>
          <w:tcPr>
            <w:tcW w:w="1387" w:type="dxa"/>
            <w:shd w:val="clear" w:color="auto" w:fill="auto"/>
            <w:vAlign w:val="center"/>
          </w:tcPr>
          <w:p w:rsidR="00DB13C6" w:rsidRPr="00C11493" w:rsidRDefault="00DB13C6" w:rsidP="00DB13C6">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0E6C33" w:rsidRPr="00C11493" w:rsidTr="004C7660">
        <w:trPr>
          <w:cantSplit/>
          <w:jc w:val="center"/>
        </w:trPr>
        <w:tc>
          <w:tcPr>
            <w:tcW w:w="2441"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Québec</w:t>
            </w:r>
          </w:p>
        </w:tc>
        <w:tc>
          <w:tcPr>
            <w:tcW w:w="1083" w:type="dxa"/>
            <w:shd w:val="clear" w:color="auto" w:fill="8DB5DA"/>
            <w:vAlign w:val="center"/>
          </w:tcPr>
          <w:p w:rsidR="000E6C33" w:rsidRPr="00C11493" w:rsidRDefault="000E6C33" w:rsidP="00DB13C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DB13C6" w:rsidRPr="00C11493">
              <w:rPr>
                <w:rFonts w:asciiTheme="minorHAnsi" w:hAnsiTheme="minorHAnsi" w:cs="Arial"/>
                <w:b/>
                <w:szCs w:val="22"/>
              </w:rPr>
              <w:t>3</w:t>
            </w:r>
          </w:p>
        </w:tc>
        <w:tc>
          <w:tcPr>
            <w:tcW w:w="1224" w:type="dxa"/>
            <w:shd w:val="clear" w:color="auto" w:fill="8DB5DA"/>
            <w:vAlign w:val="center"/>
          </w:tcPr>
          <w:p w:rsidR="000E6C33" w:rsidRPr="00C11493" w:rsidRDefault="000E6C33" w:rsidP="00DB13C6">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DB13C6" w:rsidRPr="00C11493">
              <w:rPr>
                <w:rFonts w:asciiTheme="minorHAnsi" w:hAnsiTheme="minorHAnsi" w:cs="Arial"/>
                <w:b/>
                <w:szCs w:val="22"/>
              </w:rPr>
              <w:t>4</w:t>
            </w:r>
          </w:p>
        </w:tc>
        <w:tc>
          <w:tcPr>
            <w:tcW w:w="1224"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F742EA" w:rsidRPr="00C11493" w:rsidTr="004C7660">
        <w:trPr>
          <w:cantSplit/>
          <w:jc w:val="center"/>
        </w:trPr>
        <w:tc>
          <w:tcPr>
            <w:tcW w:w="2441" w:type="dxa"/>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Starting Frequency</w:t>
            </w:r>
          </w:p>
        </w:tc>
        <w:tc>
          <w:tcPr>
            <w:tcW w:w="1083"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59.968</w:t>
            </w:r>
          </w:p>
        </w:tc>
        <w:tc>
          <w:tcPr>
            <w:tcW w:w="1224"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59.968</w:t>
            </w:r>
          </w:p>
        </w:tc>
        <w:tc>
          <w:tcPr>
            <w:tcW w:w="1224"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shd w:val="clear" w:color="auto" w:fill="D5D5D5"/>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Min. Frequency Limit</w:t>
            </w:r>
          </w:p>
        </w:tc>
        <w:tc>
          <w:tcPr>
            <w:tcW w:w="1083"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58.500</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58.500</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Base Delta Frequency</w:t>
            </w:r>
          </w:p>
        </w:tc>
        <w:tc>
          <w:tcPr>
            <w:tcW w:w="1083"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1.468</w:t>
            </w:r>
          </w:p>
        </w:tc>
        <w:tc>
          <w:tcPr>
            <w:tcW w:w="1224"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1.468</w:t>
            </w:r>
          </w:p>
        </w:tc>
        <w:tc>
          <w:tcPr>
            <w:tcW w:w="1224"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shd w:val="clear" w:color="auto" w:fill="D5D5D5"/>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CC</w:t>
            </w:r>
            <w:r w:rsidRPr="00C11493">
              <w:rPr>
                <w:rFonts w:asciiTheme="minorHAnsi" w:hAnsiTheme="minorHAnsi"/>
                <w:sz w:val="22"/>
                <w:szCs w:val="22"/>
                <w:vertAlign w:val="subscript"/>
              </w:rPr>
              <w:t>ADJ</w:t>
            </w:r>
          </w:p>
        </w:tc>
        <w:tc>
          <w:tcPr>
            <w:tcW w:w="1083"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0.000</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0.031</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0.031</w:t>
            </w:r>
          </w:p>
        </w:tc>
        <w:tc>
          <w:tcPr>
            <w:tcW w:w="1387"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shd w:val="clear" w:color="auto" w:fill="auto"/>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Frequency (DF</w:t>
            </w:r>
            <w:r w:rsidRPr="00C11493">
              <w:rPr>
                <w:rFonts w:asciiTheme="minorHAnsi" w:hAnsiTheme="minorHAnsi"/>
                <w:sz w:val="22"/>
                <w:szCs w:val="22"/>
                <w:vertAlign w:val="subscript"/>
              </w:rPr>
              <w:t>CC</w:t>
            </w:r>
            <w:r w:rsidRPr="00C11493">
              <w:rPr>
                <w:rFonts w:asciiTheme="minorHAnsi" w:hAnsiTheme="minorHAnsi"/>
                <w:sz w:val="22"/>
                <w:szCs w:val="22"/>
              </w:rPr>
              <w:t>)</w:t>
            </w:r>
          </w:p>
        </w:tc>
        <w:tc>
          <w:tcPr>
            <w:tcW w:w="1083"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1.468</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1.437</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-0.031</w:t>
            </w:r>
          </w:p>
        </w:tc>
        <w:tc>
          <w:tcPr>
            <w:tcW w:w="1387"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shd w:val="clear" w:color="auto" w:fill="D5D5D5"/>
            <w:vAlign w:val="center"/>
          </w:tcPr>
          <w:p w:rsidR="00F742EA" w:rsidRPr="00C11493" w:rsidRDefault="00F742EA" w:rsidP="00F742EA">
            <w:pPr>
              <w:spacing w:beforeLines="20" w:before="48" w:afterLines="20" w:after="48"/>
              <w:rPr>
                <w:rFonts w:asciiTheme="minorHAnsi" w:hAnsiTheme="minorHAnsi"/>
                <w:szCs w:val="22"/>
              </w:rPr>
            </w:pPr>
            <w:r w:rsidRPr="00C11493">
              <w:rPr>
                <w:rFonts w:asciiTheme="minorHAnsi" w:hAnsiTheme="minorHAnsi"/>
                <w:szCs w:val="22"/>
              </w:rPr>
              <w:t>CB</w:t>
            </w:r>
            <w:r w:rsidRPr="00C11493">
              <w:rPr>
                <w:rFonts w:asciiTheme="minorHAnsi" w:hAnsiTheme="minorHAnsi"/>
                <w:szCs w:val="22"/>
                <w:vertAlign w:val="subscript"/>
              </w:rPr>
              <w:t>R</w:t>
            </w:r>
          </w:p>
        </w:tc>
        <w:tc>
          <w:tcPr>
            <w:tcW w:w="1083" w:type="dxa"/>
            <w:shd w:val="clear" w:color="auto" w:fill="D5D5D5"/>
            <w:vAlign w:val="center"/>
          </w:tcPr>
          <w:p w:rsidR="00F742EA" w:rsidRPr="00C11493" w:rsidRDefault="00F742EA" w:rsidP="00F742EA">
            <w:pPr>
              <w:spacing w:beforeLines="20" w:before="48" w:afterLines="20" w:after="48"/>
              <w:jc w:val="center"/>
              <w:rPr>
                <w:rFonts w:asciiTheme="minorHAnsi" w:hAnsiTheme="minorHAnsi"/>
                <w:szCs w:val="22"/>
              </w:rPr>
            </w:pPr>
            <w:r w:rsidRPr="00C11493">
              <w:rPr>
                <w:rFonts w:asciiTheme="minorHAnsi" w:hAnsiTheme="minorHAnsi"/>
                <w:szCs w:val="22"/>
              </w:rPr>
              <w:t>1.550</w:t>
            </w:r>
          </w:p>
        </w:tc>
        <w:tc>
          <w:tcPr>
            <w:tcW w:w="1224" w:type="dxa"/>
            <w:shd w:val="clear" w:color="auto" w:fill="D5D5D5"/>
            <w:vAlign w:val="center"/>
          </w:tcPr>
          <w:p w:rsidR="00F742EA" w:rsidRPr="00C11493" w:rsidRDefault="00F742EA" w:rsidP="00F742EA">
            <w:pPr>
              <w:spacing w:beforeLines="20" w:before="48" w:afterLines="20" w:after="48"/>
              <w:jc w:val="center"/>
              <w:rPr>
                <w:rFonts w:asciiTheme="minorHAnsi" w:hAnsiTheme="minorHAnsi"/>
                <w:szCs w:val="22"/>
              </w:rPr>
            </w:pPr>
            <w:r w:rsidRPr="00C11493">
              <w:rPr>
                <w:rFonts w:asciiTheme="minorHAnsi" w:hAnsiTheme="minorHAnsi"/>
                <w:szCs w:val="22"/>
              </w:rPr>
              <w:t>1.550</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F742EA" w:rsidRPr="00C11493" w:rsidRDefault="00F742EA" w:rsidP="00F742EA">
            <w:pPr>
              <w:spacing w:beforeLines="20" w:before="48" w:afterLines="20" w:after="48"/>
              <w:jc w:val="center"/>
              <w:rPr>
                <w:rFonts w:asciiTheme="minorHAnsi" w:hAnsiTheme="minorHAnsi"/>
                <w:szCs w:val="22"/>
              </w:rPr>
            </w:pPr>
            <w:r w:rsidRPr="00C11493">
              <w:rPr>
                <w:rFonts w:asciiTheme="minorHAnsi" w:hAnsiTheme="minorHAnsi"/>
                <w:szCs w:val="22"/>
              </w:rPr>
              <w:t>Ratio</w:t>
            </w:r>
          </w:p>
        </w:tc>
      </w:tr>
      <w:tr w:rsidR="00F742EA" w:rsidRPr="00C11493" w:rsidTr="004C7660">
        <w:trPr>
          <w:cantSplit/>
          <w:jc w:val="center"/>
        </w:trPr>
        <w:tc>
          <w:tcPr>
            <w:tcW w:w="2441" w:type="dxa"/>
            <w:shd w:val="clear" w:color="auto" w:fill="auto"/>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Delta Freq. (DF</w:t>
            </w:r>
            <w:r w:rsidRPr="00C11493">
              <w:rPr>
                <w:rFonts w:asciiTheme="minorHAnsi" w:hAnsiTheme="minorHAnsi"/>
                <w:sz w:val="22"/>
                <w:szCs w:val="22"/>
                <w:vertAlign w:val="subscript"/>
              </w:rPr>
              <w:t>CBR</w:t>
            </w:r>
            <w:r w:rsidRPr="00C11493">
              <w:rPr>
                <w:rFonts w:asciiTheme="minorHAnsi" w:hAnsiTheme="minorHAnsi"/>
                <w:sz w:val="22"/>
                <w:szCs w:val="22"/>
              </w:rPr>
              <w:t>)</w:t>
            </w:r>
          </w:p>
        </w:tc>
        <w:tc>
          <w:tcPr>
            <w:tcW w:w="1083"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0.947</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0.927</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-0.020</w:t>
            </w:r>
          </w:p>
        </w:tc>
        <w:tc>
          <w:tcPr>
            <w:tcW w:w="1387"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r w:rsidR="00F742EA" w:rsidRPr="00C11493" w:rsidTr="004C7660">
        <w:trPr>
          <w:cantSplit/>
          <w:jc w:val="center"/>
        </w:trPr>
        <w:tc>
          <w:tcPr>
            <w:tcW w:w="2441" w:type="dxa"/>
            <w:shd w:val="clear" w:color="auto" w:fill="D5D5D5"/>
            <w:vAlign w:val="center"/>
          </w:tcPr>
          <w:p w:rsidR="00F742EA" w:rsidRPr="00C11493" w:rsidRDefault="00F742EA" w:rsidP="00F742EA">
            <w:pPr>
              <w:spacing w:beforeLines="20" w:before="48" w:afterLines="20" w:after="48"/>
              <w:rPr>
                <w:rFonts w:asciiTheme="minorHAnsi" w:hAnsiTheme="minorHAnsi"/>
                <w:szCs w:val="22"/>
              </w:rPr>
            </w:pPr>
            <w:r w:rsidRPr="00C11493">
              <w:rPr>
                <w:rFonts w:asciiTheme="minorHAnsi" w:hAnsiTheme="minorHAnsi"/>
                <w:szCs w:val="22"/>
              </w:rPr>
              <w:t>BC’</w:t>
            </w:r>
            <w:r w:rsidRPr="00C11493">
              <w:rPr>
                <w:rFonts w:asciiTheme="minorHAnsi" w:hAnsiTheme="minorHAnsi"/>
                <w:szCs w:val="22"/>
                <w:vertAlign w:val="subscript"/>
              </w:rPr>
              <w:t>ADJ</w:t>
            </w:r>
          </w:p>
        </w:tc>
        <w:tc>
          <w:tcPr>
            <w:tcW w:w="1083"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N/A</w:t>
            </w:r>
          </w:p>
        </w:tc>
        <w:tc>
          <w:tcPr>
            <w:tcW w:w="1224" w:type="dxa"/>
            <w:shd w:val="clear" w:color="auto" w:fill="D5D5D5"/>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w:t>
            </w:r>
          </w:p>
        </w:tc>
        <w:tc>
          <w:tcPr>
            <w:tcW w:w="1387" w:type="dxa"/>
            <w:shd w:val="clear" w:color="auto" w:fill="D5D5D5"/>
            <w:vAlign w:val="center"/>
          </w:tcPr>
          <w:p w:rsidR="00F742EA" w:rsidRPr="00C11493" w:rsidRDefault="00F742EA" w:rsidP="00F742EA">
            <w:pPr>
              <w:spacing w:beforeLines="20" w:before="48" w:afterLines="20" w:after="48"/>
              <w:jc w:val="center"/>
              <w:rPr>
                <w:rFonts w:asciiTheme="minorHAnsi" w:hAnsiTheme="minorHAnsi"/>
                <w:szCs w:val="22"/>
              </w:rPr>
            </w:pPr>
            <w:r w:rsidRPr="00C11493">
              <w:rPr>
                <w:rFonts w:asciiTheme="minorHAnsi" w:hAnsiTheme="minorHAnsi"/>
                <w:szCs w:val="22"/>
              </w:rPr>
              <w:t>Hz</w:t>
            </w:r>
          </w:p>
        </w:tc>
      </w:tr>
      <w:tr w:rsidR="00F742EA" w:rsidRPr="00C11493" w:rsidTr="004C7660">
        <w:trPr>
          <w:cantSplit/>
          <w:jc w:val="center"/>
        </w:trPr>
        <w:tc>
          <w:tcPr>
            <w:tcW w:w="2441" w:type="dxa"/>
            <w:shd w:val="clear" w:color="auto" w:fill="auto"/>
            <w:vAlign w:val="center"/>
          </w:tcPr>
          <w:p w:rsidR="00F742EA" w:rsidRPr="00C11493" w:rsidRDefault="00F742EA" w:rsidP="00F742EA">
            <w:pPr>
              <w:pStyle w:val="TableBody"/>
              <w:spacing w:beforeLines="20" w:before="48" w:afterLines="20" w:after="48"/>
              <w:jc w:val="left"/>
              <w:rPr>
                <w:rFonts w:asciiTheme="minorHAnsi" w:hAnsiTheme="minorHAnsi"/>
                <w:sz w:val="22"/>
                <w:szCs w:val="22"/>
              </w:rPr>
            </w:pPr>
            <w:r w:rsidRPr="00C11493">
              <w:rPr>
                <w:rFonts w:asciiTheme="minorHAnsi" w:hAnsiTheme="minorHAnsi"/>
                <w:sz w:val="22"/>
                <w:szCs w:val="22"/>
              </w:rPr>
              <w:t>Max. Allowable Delta Frequency</w:t>
            </w:r>
          </w:p>
        </w:tc>
        <w:tc>
          <w:tcPr>
            <w:tcW w:w="1083"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0.947</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0.927</w:t>
            </w:r>
          </w:p>
        </w:tc>
        <w:tc>
          <w:tcPr>
            <w:tcW w:w="1224"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-0.020</w:t>
            </w:r>
          </w:p>
        </w:tc>
        <w:tc>
          <w:tcPr>
            <w:tcW w:w="1387" w:type="dxa"/>
            <w:shd w:val="clear" w:color="auto" w:fill="auto"/>
            <w:vAlign w:val="center"/>
          </w:tcPr>
          <w:p w:rsidR="00F742EA" w:rsidRPr="00C11493" w:rsidRDefault="00F742EA" w:rsidP="00F742EA">
            <w:pPr>
              <w:pStyle w:val="TableBody"/>
              <w:spacing w:beforeLines="20" w:before="48" w:afterLines="20" w:after="48"/>
              <w:rPr>
                <w:rFonts w:asciiTheme="minorHAnsi" w:hAnsiTheme="minorHAnsi"/>
                <w:sz w:val="22"/>
                <w:szCs w:val="22"/>
              </w:rPr>
            </w:pPr>
            <w:r w:rsidRPr="00C11493">
              <w:rPr>
                <w:rFonts w:asciiTheme="minorHAnsi" w:hAnsiTheme="minorHAnsi"/>
                <w:sz w:val="22"/>
                <w:szCs w:val="22"/>
              </w:rPr>
              <w:t>Hz</w:t>
            </w:r>
          </w:p>
        </w:tc>
      </w:tr>
    </w:tbl>
    <w:p w:rsidR="000E6C33" w:rsidRDefault="000E6C33" w:rsidP="00E82BC7"/>
    <w:p w:rsidR="000E6C33" w:rsidRDefault="000E6C33" w:rsidP="000E6C33">
      <w:r>
        <w:t xml:space="preserve">There is a </w:t>
      </w:r>
      <w:r w:rsidR="00543476">
        <w:t xml:space="preserve">significant </w:t>
      </w:r>
      <w:r>
        <w:t xml:space="preserve">reduction of </w:t>
      </w:r>
      <w:r w:rsidR="00023E68">
        <w:t>59</w:t>
      </w:r>
      <w:r>
        <w:t xml:space="preserve"> mHz in the ERCOT Interconnection maximum allowable delta frequency caused by:</w:t>
      </w:r>
    </w:p>
    <w:p w:rsidR="000E6C33" w:rsidRDefault="000E6C33" w:rsidP="000E6C33"/>
    <w:p w:rsidR="000E6C33" w:rsidRPr="00023E68" w:rsidRDefault="00850602" w:rsidP="00866C29">
      <w:pPr>
        <w:pStyle w:val="ListParagraph"/>
        <w:numPr>
          <w:ilvl w:val="0"/>
          <w:numId w:val="24"/>
        </w:numPr>
      </w:pPr>
      <w:r>
        <w:t xml:space="preserve">The </w:t>
      </w:r>
      <w:r w:rsidR="000E6C33" w:rsidRPr="00023E68">
        <w:t>0.001 Hz increase in the starting frequency;</w:t>
      </w:r>
      <w:r w:rsidR="00023E68" w:rsidRPr="00023E68">
        <w:t xml:space="preserve"> </w:t>
      </w:r>
    </w:p>
    <w:p w:rsidR="00403B1E" w:rsidRDefault="00403B1E" w:rsidP="00A212B2">
      <w:pPr>
        <w:pStyle w:val="ListParagraph"/>
        <w:numPr>
          <w:ilvl w:val="0"/>
          <w:numId w:val="24"/>
        </w:numPr>
      </w:pPr>
      <w:r>
        <w:t xml:space="preserve">a </w:t>
      </w:r>
      <w:r w:rsidRPr="0063380B">
        <w:t>0.00</w:t>
      </w:r>
      <w:r>
        <w:t>1</w:t>
      </w:r>
      <w:r w:rsidRPr="0063380B">
        <w:t xml:space="preserve"> Hz increase in the CC</w:t>
      </w:r>
      <w:r w:rsidRPr="0063380B">
        <w:rPr>
          <w:vertAlign w:val="subscript"/>
        </w:rPr>
        <w:t>ADJ</w:t>
      </w:r>
      <w:r>
        <w:t>; and</w:t>
      </w:r>
      <w:r w:rsidRPr="00387EBA">
        <w:t xml:space="preserve"> </w:t>
      </w:r>
    </w:p>
    <w:p w:rsidR="000E6C33" w:rsidRPr="00387EBA" w:rsidRDefault="00850602" w:rsidP="00866C29">
      <w:pPr>
        <w:pStyle w:val="ListParagraph"/>
        <w:numPr>
          <w:ilvl w:val="0"/>
          <w:numId w:val="24"/>
        </w:numPr>
      </w:pPr>
      <w:r w:rsidRPr="00387EBA">
        <w:t xml:space="preserve">the </w:t>
      </w:r>
      <w:r w:rsidR="000E6C33" w:rsidRPr="00387EBA">
        <w:t>0.</w:t>
      </w:r>
      <w:r w:rsidR="00023E68" w:rsidRPr="00387EBA">
        <w:t>222</w:t>
      </w:r>
      <w:r w:rsidR="000E6C33" w:rsidRPr="00387EBA">
        <w:t xml:space="preserve"> </w:t>
      </w:r>
      <w:r w:rsidR="00023E68" w:rsidRPr="00387EBA">
        <w:t xml:space="preserve">increase </w:t>
      </w:r>
      <w:r w:rsidR="000E6C33" w:rsidRPr="00387EBA">
        <w:t>in the C</w:t>
      </w:r>
      <w:r w:rsidR="00023E68" w:rsidRPr="00387EBA">
        <w:t>B</w:t>
      </w:r>
      <w:r w:rsidR="00023E68" w:rsidRPr="00387EBA">
        <w:rPr>
          <w:vertAlign w:val="subscript"/>
        </w:rPr>
        <w:t xml:space="preserve">R </w:t>
      </w:r>
      <w:r w:rsidR="00023E68" w:rsidRPr="00387EBA">
        <w:t>ratio</w:t>
      </w:r>
      <w:r w:rsidR="00543476" w:rsidRPr="00387EBA">
        <w:t xml:space="preserve">, caused by significant changes to the ERCOT Frequency Response performance in </w:t>
      </w:r>
      <w:r w:rsidR="000B637A">
        <w:t>the analyzed events</w:t>
      </w:r>
      <w:r w:rsidR="00543476" w:rsidRPr="00387EBA">
        <w:t xml:space="preserve">. </w:t>
      </w:r>
    </w:p>
    <w:p w:rsidR="000E6C33" w:rsidRDefault="000E6C33" w:rsidP="000E6C33"/>
    <w:p w:rsidR="000E6C33" w:rsidRDefault="003F5714" w:rsidP="000E6C33">
      <w:r>
        <w:t>ERCOT has experiencing a displacement of coal-fired generation by gas-fired combined cycle units</w:t>
      </w:r>
      <w:r w:rsidR="00EC04F1">
        <w:t xml:space="preserve"> in their dispatch due to lower prices for natural gas</w:t>
      </w:r>
      <w:r>
        <w:t>. While the combined cycle units are responsive in the Value B calculation timeframe (+20 to +52 seconds), they are slower tha</w:t>
      </w:r>
      <w:r w:rsidR="00D75175">
        <w:t>n</w:t>
      </w:r>
      <w:r>
        <w:t xml:space="preserve"> the steam units to respond in the arresting power timeframe (+0 to +20 seconds). This results in a similar </w:t>
      </w:r>
      <w:r w:rsidR="00607521">
        <w:t>Value B</w:t>
      </w:r>
      <w:r>
        <w:t xml:space="preserve"> response but a lower Point C nadir, increasing the CB</w:t>
      </w:r>
      <w:r>
        <w:rPr>
          <w:vertAlign w:val="subscript"/>
        </w:rPr>
        <w:t>R</w:t>
      </w:r>
      <w:r>
        <w:t xml:space="preserve"> ratio. </w:t>
      </w:r>
      <w:r w:rsidR="009D42E1">
        <w:t>T</w:t>
      </w:r>
      <w:r>
        <w:t>he performance in 2013-2014 displaces the older performance characteristics</w:t>
      </w:r>
      <w:r w:rsidR="00620C77">
        <w:t>.</w:t>
      </w:r>
    </w:p>
    <w:p w:rsidR="000E6C33" w:rsidRDefault="000E6C33" w:rsidP="000E6C33"/>
    <w:p w:rsidR="000E6C33" w:rsidRDefault="000E6C33" w:rsidP="000E6C33">
      <w:r>
        <w:t xml:space="preserve">There is </w:t>
      </w:r>
      <w:r w:rsidR="00023E68">
        <w:t xml:space="preserve">a reduction of </w:t>
      </w:r>
      <w:r>
        <w:t>2</w:t>
      </w:r>
      <w:r w:rsidR="00023E68">
        <w:t>0</w:t>
      </w:r>
      <w:r>
        <w:t xml:space="preserve"> mHz in the Québec Interconnection maximum allowable delta frequency resulting from the </w:t>
      </w:r>
      <w:r w:rsidR="00E131D5">
        <w:t>first-time application of a CC</w:t>
      </w:r>
      <w:r w:rsidR="00E131D5" w:rsidRPr="00E131D5">
        <w:rPr>
          <w:vertAlign w:val="subscript"/>
        </w:rPr>
        <w:t>ADJ</w:t>
      </w:r>
      <w:r w:rsidR="00E131D5">
        <w:t xml:space="preserve"> adjustment</w:t>
      </w:r>
      <w:r w:rsidR="00543476">
        <w:t xml:space="preserve"> (no data was available in previous years)</w:t>
      </w:r>
      <w:r>
        <w:t>.</w:t>
      </w:r>
    </w:p>
    <w:p w:rsidR="000E6C33" w:rsidRDefault="000E6C33" w:rsidP="000E6C33">
      <w:pPr>
        <w:pStyle w:val="Heading2"/>
      </w:pPr>
      <w:bookmarkStart w:id="23" w:name="_Toc408812271"/>
      <w:r>
        <w:t>Recommended IFROs</w:t>
      </w:r>
      <w:bookmarkEnd w:id="23"/>
    </w:p>
    <w:p w:rsidR="000E6C33" w:rsidRDefault="000E6C33" w:rsidP="000E6C33">
      <w:r>
        <w:t xml:space="preserve">Table 14 shows the determination of IFROs </w:t>
      </w:r>
      <w:r w:rsidR="00850602">
        <w:t xml:space="preserve">for operating year 2015 (December 2014 through November 2015) under standard BAL-003-1 </w:t>
      </w:r>
      <w:r>
        <w:t>based on a resource loss equivalent to the recommended criteria in each interconnection. The maximum allowable delta frequency values have already been modified to include the adjustments for: the differences between Value B and Point C (CB</w:t>
      </w:r>
      <w:r w:rsidRPr="008A005C">
        <w:rPr>
          <w:vertAlign w:val="subscript"/>
        </w:rPr>
        <w:t>R</w:t>
      </w:r>
      <w:r>
        <w:t>); the differences in measurement of Point C using one-second and sub-second data (CC</w:t>
      </w:r>
      <w:r w:rsidRPr="008A005C">
        <w:rPr>
          <w:vertAlign w:val="subscript"/>
        </w:rPr>
        <w:t>ADJ</w:t>
      </w:r>
      <w:r>
        <w:t>); and the event nadir being below the Value B (BC’</w:t>
      </w:r>
      <w:r w:rsidRPr="008A005C">
        <w:rPr>
          <w:vertAlign w:val="subscript"/>
        </w:rPr>
        <w:t>ADJ</w:t>
      </w:r>
      <w:r>
        <w:t>).</w:t>
      </w:r>
    </w:p>
    <w:p w:rsidR="000E6C33" w:rsidRDefault="000E6C33" w:rsidP="000E6C33"/>
    <w:tbl>
      <w:tblPr>
        <w:tblW w:w="8650"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610"/>
        <w:gridCol w:w="1083"/>
        <w:gridCol w:w="1224"/>
        <w:gridCol w:w="1147"/>
        <w:gridCol w:w="1199"/>
        <w:gridCol w:w="1387"/>
      </w:tblGrid>
      <w:tr w:rsidR="000E6C33" w:rsidRPr="00543476" w:rsidTr="00367FEE">
        <w:trPr>
          <w:cantSplit/>
          <w:trHeight w:val="432"/>
          <w:jc w:val="center"/>
        </w:trPr>
        <w:tc>
          <w:tcPr>
            <w:tcW w:w="8650" w:type="dxa"/>
            <w:gridSpan w:val="6"/>
            <w:tcBorders>
              <w:top w:val="single" w:sz="6" w:space="0" w:color="1A3B62"/>
              <w:left w:val="single" w:sz="6" w:space="0" w:color="1A3B62"/>
              <w:bottom w:val="single" w:sz="6" w:space="0" w:color="1A3B62"/>
              <w:right w:val="single" w:sz="6" w:space="0" w:color="1A3B62"/>
            </w:tcBorders>
            <w:shd w:val="clear" w:color="auto" w:fill="264D74"/>
            <w:tcMar>
              <w:top w:w="72" w:type="dxa"/>
              <w:left w:w="115" w:type="dxa"/>
              <w:bottom w:w="72" w:type="dxa"/>
              <w:right w:w="115" w:type="dxa"/>
            </w:tcMar>
            <w:vAlign w:val="center"/>
          </w:tcPr>
          <w:p w:rsidR="000E6C33" w:rsidRPr="00543476" w:rsidRDefault="000E6C33" w:rsidP="004C7660">
            <w:pPr>
              <w:tabs>
                <w:tab w:val="left" w:pos="721"/>
              </w:tabs>
              <w:spacing w:beforeLines="20" w:before="48" w:afterLines="20" w:after="48"/>
              <w:jc w:val="center"/>
              <w:rPr>
                <w:rFonts w:asciiTheme="minorHAnsi" w:hAnsiTheme="minorHAnsi" w:cs="Arial"/>
                <w:b/>
                <w:color w:val="FFFFFF"/>
                <w:szCs w:val="22"/>
              </w:rPr>
            </w:pPr>
            <w:r w:rsidRPr="00543476">
              <w:rPr>
                <w:rFonts w:asciiTheme="minorHAnsi" w:hAnsiTheme="minorHAnsi" w:cs="Arial"/>
                <w:b/>
                <w:color w:val="FFFFFF"/>
                <w:szCs w:val="22"/>
              </w:rPr>
              <w:t>Table 14: Recommended IFROs</w:t>
            </w:r>
          </w:p>
        </w:tc>
      </w:tr>
      <w:tr w:rsidR="000E6C33" w:rsidRPr="00543476" w:rsidTr="004C7660">
        <w:trPr>
          <w:cantSplit/>
          <w:jc w:val="center"/>
        </w:trPr>
        <w:tc>
          <w:tcPr>
            <w:tcW w:w="2610" w:type="dxa"/>
            <w:shd w:val="clear" w:color="auto" w:fill="8DB5DA"/>
            <w:vAlign w:val="center"/>
          </w:tcPr>
          <w:p w:rsidR="000E6C33" w:rsidRPr="00543476" w:rsidRDefault="000E6C33" w:rsidP="004C7660">
            <w:pPr>
              <w:spacing w:beforeLines="20" w:before="48" w:afterLines="20" w:after="48"/>
              <w:jc w:val="center"/>
              <w:rPr>
                <w:rFonts w:asciiTheme="minorHAnsi" w:hAnsiTheme="minorHAnsi" w:cs="Arial"/>
                <w:szCs w:val="22"/>
              </w:rPr>
            </w:pPr>
          </w:p>
        </w:tc>
        <w:tc>
          <w:tcPr>
            <w:tcW w:w="1083" w:type="dxa"/>
            <w:shd w:val="clear" w:color="auto" w:fill="8DB5DA"/>
            <w:vAlign w:val="center"/>
          </w:tcPr>
          <w:p w:rsidR="000E6C33" w:rsidRPr="00543476" w:rsidRDefault="000E6C33" w:rsidP="00A36E9A">
            <w:pPr>
              <w:spacing w:beforeLines="20" w:before="48" w:afterLines="20" w:after="48"/>
              <w:jc w:val="center"/>
              <w:rPr>
                <w:rFonts w:asciiTheme="minorHAnsi" w:hAnsiTheme="minorHAnsi" w:cs="Arial"/>
                <w:szCs w:val="22"/>
              </w:rPr>
            </w:pPr>
            <w:r w:rsidRPr="00543476">
              <w:rPr>
                <w:rFonts w:asciiTheme="minorHAnsi" w:hAnsiTheme="minorHAnsi" w:cs="Arial"/>
                <w:szCs w:val="22"/>
              </w:rPr>
              <w:t>Eastern</w:t>
            </w:r>
          </w:p>
        </w:tc>
        <w:tc>
          <w:tcPr>
            <w:tcW w:w="1224" w:type="dxa"/>
            <w:shd w:val="clear" w:color="auto" w:fill="8DB5DA"/>
            <w:vAlign w:val="center"/>
          </w:tcPr>
          <w:p w:rsidR="000E6C33" w:rsidRPr="00543476" w:rsidRDefault="000E6C33" w:rsidP="00A36E9A">
            <w:pPr>
              <w:spacing w:beforeLines="20" w:before="48" w:afterLines="20" w:after="48"/>
              <w:jc w:val="center"/>
              <w:rPr>
                <w:rFonts w:asciiTheme="minorHAnsi" w:hAnsiTheme="minorHAnsi" w:cs="Arial"/>
                <w:szCs w:val="22"/>
              </w:rPr>
            </w:pPr>
            <w:r w:rsidRPr="00543476">
              <w:rPr>
                <w:rFonts w:asciiTheme="minorHAnsi" w:hAnsiTheme="minorHAnsi" w:cs="Arial"/>
                <w:szCs w:val="22"/>
              </w:rPr>
              <w:t>Western</w:t>
            </w:r>
          </w:p>
        </w:tc>
        <w:tc>
          <w:tcPr>
            <w:tcW w:w="1147" w:type="dxa"/>
            <w:shd w:val="clear" w:color="auto" w:fill="8DB5DA"/>
            <w:vAlign w:val="center"/>
          </w:tcPr>
          <w:p w:rsidR="000E6C33" w:rsidRPr="00543476" w:rsidRDefault="000E6C33" w:rsidP="00A36E9A">
            <w:pPr>
              <w:spacing w:beforeLines="20" w:before="48" w:afterLines="20" w:after="48"/>
              <w:jc w:val="center"/>
              <w:rPr>
                <w:rFonts w:asciiTheme="minorHAnsi" w:hAnsiTheme="minorHAnsi" w:cs="Arial"/>
                <w:szCs w:val="22"/>
              </w:rPr>
            </w:pPr>
            <w:r w:rsidRPr="00543476">
              <w:rPr>
                <w:rFonts w:asciiTheme="minorHAnsi" w:hAnsiTheme="minorHAnsi" w:cs="Arial"/>
                <w:szCs w:val="22"/>
              </w:rPr>
              <w:t>ERCOT</w:t>
            </w:r>
          </w:p>
        </w:tc>
        <w:tc>
          <w:tcPr>
            <w:tcW w:w="1199" w:type="dxa"/>
            <w:shd w:val="clear" w:color="auto" w:fill="8DB5DA"/>
            <w:vAlign w:val="center"/>
          </w:tcPr>
          <w:p w:rsidR="000E6C33" w:rsidRPr="00543476" w:rsidRDefault="000E6C33" w:rsidP="00A36E9A">
            <w:pPr>
              <w:spacing w:beforeLines="20" w:before="48" w:afterLines="20" w:after="48"/>
              <w:jc w:val="center"/>
              <w:rPr>
                <w:rFonts w:asciiTheme="minorHAnsi" w:hAnsiTheme="minorHAnsi" w:cs="Arial"/>
                <w:szCs w:val="22"/>
              </w:rPr>
            </w:pPr>
            <w:r w:rsidRPr="00543476">
              <w:rPr>
                <w:rFonts w:asciiTheme="minorHAnsi" w:hAnsiTheme="minorHAnsi" w:cs="Arial"/>
                <w:szCs w:val="22"/>
              </w:rPr>
              <w:t>Québec</w:t>
            </w:r>
          </w:p>
        </w:tc>
        <w:tc>
          <w:tcPr>
            <w:tcW w:w="1387" w:type="dxa"/>
            <w:shd w:val="clear" w:color="auto" w:fill="8DB5DA"/>
            <w:vAlign w:val="center"/>
          </w:tcPr>
          <w:p w:rsidR="000E6C33" w:rsidRPr="00543476" w:rsidRDefault="000E6C33" w:rsidP="004C7660">
            <w:pPr>
              <w:spacing w:beforeLines="20" w:before="48" w:afterLines="20" w:after="48"/>
              <w:jc w:val="center"/>
              <w:rPr>
                <w:rFonts w:asciiTheme="minorHAnsi" w:hAnsiTheme="minorHAnsi" w:cs="Arial"/>
                <w:szCs w:val="22"/>
              </w:rPr>
            </w:pPr>
            <w:r w:rsidRPr="00543476">
              <w:rPr>
                <w:rFonts w:asciiTheme="minorHAnsi" w:hAnsiTheme="minorHAnsi" w:cs="Arial"/>
                <w:szCs w:val="22"/>
              </w:rPr>
              <w:t>Units</w:t>
            </w:r>
          </w:p>
        </w:tc>
      </w:tr>
      <w:tr w:rsidR="000E6C33" w:rsidRPr="00543476" w:rsidTr="004C7660">
        <w:trPr>
          <w:cantSplit/>
          <w:jc w:val="center"/>
        </w:trPr>
        <w:tc>
          <w:tcPr>
            <w:tcW w:w="2610" w:type="dxa"/>
            <w:vAlign w:val="center"/>
          </w:tcPr>
          <w:p w:rsidR="000E6C33" w:rsidRPr="00543476" w:rsidRDefault="000E6C33" w:rsidP="004C7660">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Starting Frequency</w:t>
            </w:r>
          </w:p>
        </w:tc>
        <w:tc>
          <w:tcPr>
            <w:tcW w:w="1083"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59.974</w:t>
            </w:r>
          </w:p>
        </w:tc>
        <w:tc>
          <w:tcPr>
            <w:tcW w:w="1224" w:type="dxa"/>
            <w:vAlign w:val="center"/>
          </w:tcPr>
          <w:p w:rsidR="000E6C33" w:rsidRPr="00543476" w:rsidRDefault="00BB2ABC"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59.968</w:t>
            </w:r>
          </w:p>
        </w:tc>
        <w:tc>
          <w:tcPr>
            <w:tcW w:w="1147" w:type="dxa"/>
            <w:vAlign w:val="center"/>
          </w:tcPr>
          <w:p w:rsidR="000E6C33" w:rsidRPr="00543476" w:rsidRDefault="000E6C33" w:rsidP="00BB2ABC">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w:t>
            </w:r>
            <w:r w:rsidR="00BB2ABC" w:rsidRPr="00543476">
              <w:rPr>
                <w:rFonts w:asciiTheme="minorHAnsi" w:hAnsiTheme="minorHAnsi"/>
                <w:sz w:val="22"/>
                <w:szCs w:val="22"/>
              </w:rPr>
              <w:t>5</w:t>
            </w:r>
          </w:p>
        </w:tc>
        <w:tc>
          <w:tcPr>
            <w:tcW w:w="1199"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59.968</w:t>
            </w:r>
          </w:p>
        </w:tc>
        <w:tc>
          <w:tcPr>
            <w:tcW w:w="1387"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Hz</w:t>
            </w:r>
          </w:p>
        </w:tc>
      </w:tr>
      <w:tr w:rsidR="000E6C33" w:rsidRPr="00543476" w:rsidTr="004C7660">
        <w:trPr>
          <w:cantSplit/>
          <w:jc w:val="center"/>
        </w:trPr>
        <w:tc>
          <w:tcPr>
            <w:tcW w:w="2610" w:type="dxa"/>
            <w:shd w:val="clear" w:color="auto" w:fill="D5D5D5"/>
            <w:vAlign w:val="center"/>
          </w:tcPr>
          <w:p w:rsidR="000E6C33" w:rsidRPr="00543476" w:rsidRDefault="000E6C33" w:rsidP="004C7660">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Max. Allowable Delta Frequency</w:t>
            </w:r>
          </w:p>
        </w:tc>
        <w:tc>
          <w:tcPr>
            <w:tcW w:w="1083"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0.444</w:t>
            </w:r>
          </w:p>
        </w:tc>
        <w:tc>
          <w:tcPr>
            <w:tcW w:w="1224" w:type="dxa"/>
            <w:shd w:val="clear" w:color="auto" w:fill="D5D5D5"/>
            <w:vAlign w:val="center"/>
          </w:tcPr>
          <w:p w:rsidR="000E6C33" w:rsidRPr="00543476" w:rsidRDefault="000E6C33" w:rsidP="00BB2ABC">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w:t>
            </w:r>
            <w:r w:rsidR="00BB2ABC" w:rsidRPr="00543476">
              <w:rPr>
                <w:rFonts w:asciiTheme="minorHAnsi" w:hAnsiTheme="minorHAnsi"/>
                <w:sz w:val="22"/>
                <w:szCs w:val="22"/>
              </w:rPr>
              <w:t>273</w:t>
            </w:r>
          </w:p>
        </w:tc>
        <w:tc>
          <w:tcPr>
            <w:tcW w:w="1147" w:type="dxa"/>
            <w:shd w:val="clear" w:color="auto" w:fill="D5D5D5"/>
            <w:vAlign w:val="center"/>
          </w:tcPr>
          <w:p w:rsidR="000E6C33" w:rsidRPr="00543476" w:rsidRDefault="000E6C33" w:rsidP="00BB2ABC">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w:t>
            </w:r>
            <w:r w:rsidR="00BB2ABC" w:rsidRPr="00543476">
              <w:rPr>
                <w:rFonts w:asciiTheme="minorHAnsi" w:hAnsiTheme="minorHAnsi"/>
                <w:sz w:val="22"/>
                <w:szCs w:val="22"/>
              </w:rPr>
              <w:t>391</w:t>
            </w:r>
          </w:p>
        </w:tc>
        <w:tc>
          <w:tcPr>
            <w:tcW w:w="1199"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w:t>
            </w:r>
            <w:r w:rsidR="00BB2ABC" w:rsidRPr="00543476">
              <w:rPr>
                <w:rFonts w:asciiTheme="minorHAnsi" w:hAnsiTheme="minorHAnsi"/>
                <w:sz w:val="22"/>
                <w:szCs w:val="22"/>
              </w:rPr>
              <w:t>.927</w:t>
            </w:r>
          </w:p>
        </w:tc>
        <w:tc>
          <w:tcPr>
            <w:tcW w:w="1387"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Hz</w:t>
            </w:r>
          </w:p>
        </w:tc>
      </w:tr>
      <w:tr w:rsidR="000E6C33" w:rsidRPr="00543476" w:rsidTr="004C7660">
        <w:trPr>
          <w:cantSplit/>
          <w:jc w:val="center"/>
        </w:trPr>
        <w:tc>
          <w:tcPr>
            <w:tcW w:w="2610" w:type="dxa"/>
            <w:vAlign w:val="center"/>
          </w:tcPr>
          <w:p w:rsidR="000E6C33" w:rsidRPr="00543476" w:rsidRDefault="000E6C33" w:rsidP="004C7660">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 xml:space="preserve">Resource Contingency Protection Criteria </w:t>
            </w:r>
          </w:p>
        </w:tc>
        <w:tc>
          <w:tcPr>
            <w:tcW w:w="1083"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4,500</w:t>
            </w:r>
          </w:p>
        </w:tc>
        <w:tc>
          <w:tcPr>
            <w:tcW w:w="1224"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2,626</w:t>
            </w:r>
          </w:p>
        </w:tc>
        <w:tc>
          <w:tcPr>
            <w:tcW w:w="1147"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2,750</w:t>
            </w:r>
          </w:p>
        </w:tc>
        <w:tc>
          <w:tcPr>
            <w:tcW w:w="1199"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1,700</w:t>
            </w:r>
          </w:p>
        </w:tc>
        <w:tc>
          <w:tcPr>
            <w:tcW w:w="1387" w:type="dxa"/>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w:t>
            </w:r>
          </w:p>
        </w:tc>
      </w:tr>
      <w:tr w:rsidR="000E6C33" w:rsidRPr="00543476" w:rsidTr="004C7660">
        <w:trPr>
          <w:cantSplit/>
          <w:jc w:val="center"/>
        </w:trPr>
        <w:tc>
          <w:tcPr>
            <w:tcW w:w="2610" w:type="dxa"/>
            <w:shd w:val="clear" w:color="auto" w:fill="D5D5D5"/>
            <w:vAlign w:val="center"/>
          </w:tcPr>
          <w:p w:rsidR="000E6C33" w:rsidRPr="00543476" w:rsidRDefault="000E6C33" w:rsidP="004C7660">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Credit for LR</w:t>
            </w:r>
          </w:p>
        </w:tc>
        <w:tc>
          <w:tcPr>
            <w:tcW w:w="1083"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w:t>
            </w:r>
          </w:p>
        </w:tc>
        <w:tc>
          <w:tcPr>
            <w:tcW w:w="1224"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150</w:t>
            </w:r>
          </w:p>
        </w:tc>
        <w:tc>
          <w:tcPr>
            <w:tcW w:w="1147" w:type="dxa"/>
            <w:shd w:val="clear" w:color="auto" w:fill="D5D5D5"/>
            <w:vAlign w:val="center"/>
          </w:tcPr>
          <w:p w:rsidR="000E6C33" w:rsidRPr="00543476" w:rsidRDefault="00543476" w:rsidP="004C7660">
            <w:pPr>
              <w:pStyle w:val="TableBody"/>
              <w:spacing w:beforeLines="20" w:before="48" w:afterLines="20" w:after="48"/>
              <w:rPr>
                <w:rFonts w:asciiTheme="minorHAnsi" w:hAnsiTheme="minorHAnsi"/>
                <w:sz w:val="22"/>
                <w:szCs w:val="22"/>
              </w:rPr>
            </w:pPr>
            <w:r>
              <w:rPr>
                <w:rFonts w:asciiTheme="minorHAnsi" w:hAnsiTheme="minorHAnsi"/>
                <w:sz w:val="22"/>
                <w:szCs w:val="22"/>
              </w:rPr>
              <w:t>909</w:t>
            </w:r>
          </w:p>
        </w:tc>
        <w:tc>
          <w:tcPr>
            <w:tcW w:w="1199"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w:t>
            </w:r>
          </w:p>
        </w:tc>
        <w:tc>
          <w:tcPr>
            <w:tcW w:w="1387"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w:t>
            </w:r>
          </w:p>
        </w:tc>
      </w:tr>
      <w:tr w:rsidR="000E6C33" w:rsidRPr="00543476" w:rsidTr="004C7660">
        <w:trPr>
          <w:cantSplit/>
          <w:jc w:val="center"/>
        </w:trPr>
        <w:tc>
          <w:tcPr>
            <w:tcW w:w="2610" w:type="dxa"/>
            <w:vAlign w:val="center"/>
          </w:tcPr>
          <w:p w:rsidR="000E6C33" w:rsidRPr="00543476" w:rsidRDefault="000E6C33" w:rsidP="004C7660">
            <w:pPr>
              <w:pStyle w:val="TableBody"/>
              <w:spacing w:beforeLines="20" w:before="48" w:afterLines="20" w:after="48"/>
              <w:jc w:val="left"/>
              <w:rPr>
                <w:rFonts w:asciiTheme="minorHAnsi" w:hAnsiTheme="minorHAnsi"/>
                <w:b/>
                <w:sz w:val="22"/>
                <w:szCs w:val="22"/>
              </w:rPr>
            </w:pPr>
            <w:r w:rsidRPr="00543476">
              <w:rPr>
                <w:rFonts w:asciiTheme="minorHAnsi" w:hAnsiTheme="minorHAnsi"/>
                <w:b/>
                <w:sz w:val="22"/>
                <w:szCs w:val="22"/>
              </w:rPr>
              <w:t>IFRO</w:t>
            </w:r>
            <w:r w:rsidRPr="00543476">
              <w:rPr>
                <w:rStyle w:val="FootnoteReference"/>
                <w:rFonts w:asciiTheme="minorHAnsi" w:hAnsiTheme="minorHAnsi"/>
                <w:b/>
                <w:sz w:val="22"/>
                <w:szCs w:val="22"/>
              </w:rPr>
              <w:footnoteReference w:id="27"/>
            </w:r>
          </w:p>
        </w:tc>
        <w:tc>
          <w:tcPr>
            <w:tcW w:w="1083" w:type="dxa"/>
            <w:vAlign w:val="center"/>
          </w:tcPr>
          <w:p w:rsidR="000E6C33" w:rsidRPr="00543476" w:rsidRDefault="000E6C33" w:rsidP="004C7660">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-1,014</w:t>
            </w:r>
          </w:p>
        </w:tc>
        <w:tc>
          <w:tcPr>
            <w:tcW w:w="1224" w:type="dxa"/>
            <w:vAlign w:val="center"/>
          </w:tcPr>
          <w:p w:rsidR="000E6C33" w:rsidRPr="00543476" w:rsidRDefault="000E6C33" w:rsidP="009D42E1">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w:t>
            </w:r>
            <w:r w:rsidR="00BB2ABC" w:rsidRPr="00543476">
              <w:rPr>
                <w:rFonts w:asciiTheme="minorHAnsi" w:hAnsiTheme="minorHAnsi"/>
                <w:b/>
                <w:sz w:val="22"/>
                <w:szCs w:val="22"/>
              </w:rPr>
              <w:t>90</w:t>
            </w:r>
            <w:r w:rsidR="009D42E1">
              <w:rPr>
                <w:rFonts w:asciiTheme="minorHAnsi" w:hAnsiTheme="minorHAnsi"/>
                <w:b/>
                <w:sz w:val="22"/>
                <w:szCs w:val="22"/>
              </w:rPr>
              <w:t>7</w:t>
            </w:r>
          </w:p>
        </w:tc>
        <w:tc>
          <w:tcPr>
            <w:tcW w:w="1147" w:type="dxa"/>
            <w:vAlign w:val="center"/>
          </w:tcPr>
          <w:p w:rsidR="000E6C33" w:rsidRPr="00543476" w:rsidRDefault="00543476" w:rsidP="00543476">
            <w:pPr>
              <w:pStyle w:val="TableBody"/>
              <w:spacing w:beforeLines="20" w:before="48" w:afterLines="20" w:after="48"/>
              <w:rPr>
                <w:rFonts w:asciiTheme="minorHAnsi" w:hAnsiTheme="minorHAnsi"/>
                <w:b/>
                <w:sz w:val="22"/>
                <w:szCs w:val="22"/>
              </w:rPr>
            </w:pPr>
            <w:r>
              <w:rPr>
                <w:rFonts w:asciiTheme="minorHAnsi" w:hAnsiTheme="minorHAnsi"/>
                <w:b/>
                <w:sz w:val="22"/>
                <w:szCs w:val="22"/>
              </w:rPr>
              <w:t>-471</w:t>
            </w:r>
          </w:p>
        </w:tc>
        <w:tc>
          <w:tcPr>
            <w:tcW w:w="1199" w:type="dxa"/>
            <w:vAlign w:val="center"/>
          </w:tcPr>
          <w:p w:rsidR="000E6C33" w:rsidRPr="00543476" w:rsidRDefault="000E6C33" w:rsidP="00BB2ABC">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-18</w:t>
            </w:r>
            <w:r w:rsidR="00BB2ABC" w:rsidRPr="00543476">
              <w:rPr>
                <w:rFonts w:asciiTheme="minorHAnsi" w:hAnsiTheme="minorHAnsi"/>
                <w:b/>
                <w:sz w:val="22"/>
                <w:szCs w:val="22"/>
              </w:rPr>
              <w:t>3</w:t>
            </w:r>
          </w:p>
        </w:tc>
        <w:tc>
          <w:tcPr>
            <w:tcW w:w="1387" w:type="dxa"/>
            <w:vAlign w:val="center"/>
          </w:tcPr>
          <w:p w:rsidR="000E6C33" w:rsidRPr="00543476" w:rsidRDefault="000E6C33" w:rsidP="004C7660">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MW/0.1Hz</w:t>
            </w:r>
          </w:p>
        </w:tc>
      </w:tr>
      <w:tr w:rsidR="000E6C33" w:rsidRPr="00543476" w:rsidTr="004C7660">
        <w:trPr>
          <w:cantSplit/>
          <w:jc w:val="center"/>
        </w:trPr>
        <w:tc>
          <w:tcPr>
            <w:tcW w:w="2610" w:type="dxa"/>
            <w:shd w:val="clear" w:color="auto" w:fill="D5D5D5"/>
            <w:vAlign w:val="center"/>
          </w:tcPr>
          <w:p w:rsidR="000E6C33" w:rsidRPr="00543476" w:rsidRDefault="000E6C33" w:rsidP="004C7660">
            <w:pPr>
              <w:pStyle w:val="TableBody"/>
              <w:spacing w:beforeLines="20" w:before="48" w:afterLines="20" w:after="48"/>
              <w:jc w:val="left"/>
              <w:rPr>
                <w:rFonts w:asciiTheme="minorHAnsi" w:hAnsiTheme="minorHAnsi"/>
                <w:b/>
                <w:sz w:val="22"/>
                <w:szCs w:val="22"/>
              </w:rPr>
            </w:pPr>
            <w:r w:rsidRPr="00543476">
              <w:rPr>
                <w:rFonts w:asciiTheme="minorHAnsi" w:hAnsiTheme="minorHAnsi"/>
                <w:b/>
                <w:sz w:val="22"/>
                <w:szCs w:val="22"/>
              </w:rPr>
              <w:t>Absolute Value of IFRO</w:t>
            </w:r>
          </w:p>
        </w:tc>
        <w:tc>
          <w:tcPr>
            <w:tcW w:w="1083"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1,014</w:t>
            </w:r>
          </w:p>
        </w:tc>
        <w:tc>
          <w:tcPr>
            <w:tcW w:w="1224" w:type="dxa"/>
            <w:shd w:val="clear" w:color="auto" w:fill="D5D5D5"/>
            <w:vAlign w:val="center"/>
          </w:tcPr>
          <w:p w:rsidR="000E6C33" w:rsidRPr="00543476" w:rsidRDefault="000E6C33" w:rsidP="009D42E1">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9</w:t>
            </w:r>
            <w:r w:rsidR="00BB2ABC" w:rsidRPr="00543476">
              <w:rPr>
                <w:rFonts w:asciiTheme="minorHAnsi" w:hAnsiTheme="minorHAnsi"/>
                <w:b/>
                <w:sz w:val="22"/>
                <w:szCs w:val="22"/>
              </w:rPr>
              <w:t>0</w:t>
            </w:r>
            <w:r w:rsidR="009D42E1">
              <w:rPr>
                <w:rFonts w:asciiTheme="minorHAnsi" w:hAnsiTheme="minorHAnsi"/>
                <w:b/>
                <w:sz w:val="22"/>
                <w:szCs w:val="22"/>
              </w:rPr>
              <w:t>7</w:t>
            </w:r>
          </w:p>
        </w:tc>
        <w:tc>
          <w:tcPr>
            <w:tcW w:w="1147" w:type="dxa"/>
            <w:shd w:val="clear" w:color="auto" w:fill="D5D5D5"/>
            <w:vAlign w:val="center"/>
          </w:tcPr>
          <w:p w:rsidR="000E6C33" w:rsidRPr="00543476" w:rsidRDefault="00543476" w:rsidP="004C7660">
            <w:pPr>
              <w:pStyle w:val="TableBody"/>
              <w:spacing w:beforeLines="20" w:before="48" w:afterLines="20" w:after="48"/>
              <w:rPr>
                <w:rFonts w:asciiTheme="minorHAnsi" w:hAnsiTheme="minorHAnsi"/>
                <w:b/>
                <w:sz w:val="22"/>
                <w:szCs w:val="22"/>
              </w:rPr>
            </w:pPr>
            <w:r>
              <w:rPr>
                <w:rFonts w:asciiTheme="minorHAnsi" w:hAnsiTheme="minorHAnsi"/>
                <w:b/>
                <w:sz w:val="22"/>
                <w:szCs w:val="22"/>
              </w:rPr>
              <w:t>471</w:t>
            </w:r>
          </w:p>
        </w:tc>
        <w:tc>
          <w:tcPr>
            <w:tcW w:w="1199" w:type="dxa"/>
            <w:shd w:val="clear" w:color="auto" w:fill="D5D5D5"/>
            <w:vAlign w:val="center"/>
          </w:tcPr>
          <w:p w:rsidR="000E6C33" w:rsidRPr="00543476" w:rsidRDefault="000E6C33" w:rsidP="00BB2ABC">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18</w:t>
            </w:r>
            <w:r w:rsidR="00BB2ABC" w:rsidRPr="00543476">
              <w:rPr>
                <w:rFonts w:asciiTheme="minorHAnsi" w:hAnsiTheme="minorHAnsi"/>
                <w:b/>
                <w:sz w:val="22"/>
                <w:szCs w:val="22"/>
              </w:rPr>
              <w:t>3</w:t>
            </w:r>
          </w:p>
        </w:tc>
        <w:tc>
          <w:tcPr>
            <w:tcW w:w="1387" w:type="dxa"/>
            <w:shd w:val="clear" w:color="auto" w:fill="D5D5D5"/>
            <w:vAlign w:val="center"/>
          </w:tcPr>
          <w:p w:rsidR="000E6C33" w:rsidRPr="00543476" w:rsidRDefault="000E6C33" w:rsidP="004C7660">
            <w:pPr>
              <w:pStyle w:val="TableBody"/>
              <w:spacing w:beforeLines="20" w:before="48" w:afterLines="20" w:after="48"/>
              <w:rPr>
                <w:rFonts w:asciiTheme="minorHAnsi" w:hAnsiTheme="minorHAnsi"/>
                <w:b/>
                <w:sz w:val="22"/>
                <w:szCs w:val="22"/>
              </w:rPr>
            </w:pPr>
            <w:r w:rsidRPr="00543476">
              <w:rPr>
                <w:rFonts w:asciiTheme="minorHAnsi" w:hAnsiTheme="minorHAnsi"/>
                <w:b/>
                <w:sz w:val="22"/>
                <w:szCs w:val="22"/>
              </w:rPr>
              <w:t>MW/0.1Hz</w:t>
            </w:r>
          </w:p>
        </w:tc>
      </w:tr>
      <w:tr w:rsidR="000E6C33" w:rsidRPr="00543476" w:rsidTr="004C7660">
        <w:trPr>
          <w:cantSplit/>
          <w:jc w:val="center"/>
        </w:trPr>
        <w:tc>
          <w:tcPr>
            <w:tcW w:w="2610" w:type="dxa"/>
            <w:shd w:val="clear" w:color="auto" w:fill="auto"/>
            <w:vAlign w:val="center"/>
          </w:tcPr>
          <w:p w:rsidR="000E6C33" w:rsidRPr="00543476" w:rsidRDefault="000E6C33" w:rsidP="004C7660">
            <w:pPr>
              <w:pStyle w:val="TableBody"/>
              <w:spacing w:beforeLines="20" w:before="48" w:afterLines="20" w:after="48"/>
              <w:jc w:val="left"/>
              <w:rPr>
                <w:rFonts w:asciiTheme="minorHAnsi" w:hAnsiTheme="minorHAnsi"/>
                <w:sz w:val="22"/>
                <w:szCs w:val="22"/>
              </w:rPr>
            </w:pPr>
            <w:r w:rsidRPr="00543476">
              <w:rPr>
                <w:rFonts w:asciiTheme="minorHAnsi" w:hAnsiTheme="minorHAnsi"/>
                <w:sz w:val="22"/>
                <w:szCs w:val="22"/>
              </w:rPr>
              <w:t>Absolute Value of Current Interconnection Frequency Response Performance</w:t>
            </w:r>
            <w:r w:rsidRPr="00543476">
              <w:rPr>
                <w:rStyle w:val="FootnoteReference"/>
                <w:rFonts w:asciiTheme="minorHAnsi" w:hAnsiTheme="minorHAnsi"/>
                <w:sz w:val="22"/>
                <w:szCs w:val="22"/>
              </w:rPr>
              <w:footnoteReference w:id="28"/>
            </w:r>
          </w:p>
        </w:tc>
        <w:tc>
          <w:tcPr>
            <w:tcW w:w="1083" w:type="dxa"/>
            <w:shd w:val="clear" w:color="auto" w:fill="auto"/>
            <w:vAlign w:val="center"/>
          </w:tcPr>
          <w:p w:rsidR="000E6C33" w:rsidRPr="00543476" w:rsidRDefault="00576F90" w:rsidP="0058579A">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2,3</w:t>
            </w:r>
            <w:r w:rsidR="0058579A">
              <w:rPr>
                <w:rFonts w:asciiTheme="minorHAnsi" w:hAnsiTheme="minorHAnsi"/>
                <w:sz w:val="22"/>
                <w:szCs w:val="22"/>
              </w:rPr>
              <w:t>09</w:t>
            </w:r>
          </w:p>
        </w:tc>
        <w:tc>
          <w:tcPr>
            <w:tcW w:w="1224" w:type="dxa"/>
            <w:shd w:val="clear" w:color="auto" w:fill="auto"/>
            <w:vAlign w:val="center"/>
          </w:tcPr>
          <w:p w:rsidR="000E6C33" w:rsidRPr="00543476" w:rsidRDefault="0058579A" w:rsidP="004C7660">
            <w:pPr>
              <w:pStyle w:val="TableBody"/>
              <w:spacing w:beforeLines="20" w:before="48" w:afterLines="20" w:after="48"/>
              <w:rPr>
                <w:rFonts w:asciiTheme="minorHAnsi" w:hAnsiTheme="minorHAnsi"/>
                <w:sz w:val="22"/>
                <w:szCs w:val="22"/>
              </w:rPr>
            </w:pPr>
            <w:r>
              <w:rPr>
                <w:rFonts w:asciiTheme="minorHAnsi" w:hAnsiTheme="minorHAnsi"/>
                <w:sz w:val="22"/>
                <w:szCs w:val="22"/>
              </w:rPr>
              <w:t>1</w:t>
            </w:r>
            <w:r w:rsidR="00850602">
              <w:rPr>
                <w:rFonts w:asciiTheme="minorHAnsi" w:hAnsiTheme="minorHAnsi"/>
                <w:sz w:val="22"/>
                <w:szCs w:val="22"/>
              </w:rPr>
              <w:t>,</w:t>
            </w:r>
            <w:r>
              <w:rPr>
                <w:rFonts w:asciiTheme="minorHAnsi" w:hAnsiTheme="minorHAnsi"/>
                <w:sz w:val="22"/>
                <w:szCs w:val="22"/>
              </w:rPr>
              <w:t>491</w:t>
            </w:r>
          </w:p>
        </w:tc>
        <w:tc>
          <w:tcPr>
            <w:tcW w:w="1147" w:type="dxa"/>
            <w:shd w:val="clear" w:color="auto" w:fill="auto"/>
            <w:vAlign w:val="center"/>
          </w:tcPr>
          <w:p w:rsidR="000E6C33" w:rsidRPr="00543476" w:rsidRDefault="0058579A" w:rsidP="00267E3B">
            <w:pPr>
              <w:pStyle w:val="TableBody"/>
              <w:spacing w:beforeLines="20" w:before="48" w:afterLines="20" w:after="48"/>
              <w:rPr>
                <w:rFonts w:asciiTheme="minorHAnsi" w:hAnsiTheme="minorHAnsi"/>
                <w:sz w:val="22"/>
                <w:szCs w:val="22"/>
              </w:rPr>
            </w:pPr>
            <w:r>
              <w:rPr>
                <w:rFonts w:asciiTheme="minorHAnsi" w:hAnsiTheme="minorHAnsi"/>
                <w:sz w:val="22"/>
                <w:szCs w:val="22"/>
              </w:rPr>
              <w:t>8</w:t>
            </w:r>
            <w:r w:rsidR="00267E3B">
              <w:rPr>
                <w:rFonts w:asciiTheme="minorHAnsi" w:hAnsiTheme="minorHAnsi"/>
                <w:sz w:val="22"/>
                <w:szCs w:val="22"/>
              </w:rPr>
              <w:t>10</w:t>
            </w:r>
          </w:p>
        </w:tc>
        <w:tc>
          <w:tcPr>
            <w:tcW w:w="1199" w:type="dxa"/>
            <w:shd w:val="clear" w:color="auto" w:fill="auto"/>
            <w:vAlign w:val="center"/>
          </w:tcPr>
          <w:p w:rsidR="000E6C33" w:rsidRPr="00543476" w:rsidRDefault="0058579A" w:rsidP="004C7660">
            <w:pPr>
              <w:pStyle w:val="TableBody"/>
              <w:spacing w:beforeLines="20" w:before="48" w:afterLines="20" w:after="48"/>
              <w:rPr>
                <w:rFonts w:asciiTheme="minorHAnsi" w:hAnsiTheme="minorHAnsi"/>
                <w:sz w:val="22"/>
                <w:szCs w:val="22"/>
              </w:rPr>
            </w:pPr>
            <w:r>
              <w:rPr>
                <w:rFonts w:asciiTheme="minorHAnsi" w:hAnsiTheme="minorHAnsi"/>
                <w:sz w:val="22"/>
                <w:szCs w:val="22"/>
              </w:rPr>
              <w:t>603</w:t>
            </w:r>
          </w:p>
        </w:tc>
        <w:tc>
          <w:tcPr>
            <w:tcW w:w="1387" w:type="dxa"/>
            <w:shd w:val="clear" w:color="auto" w:fill="auto"/>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MW/0.1Hz</w:t>
            </w:r>
          </w:p>
        </w:tc>
      </w:tr>
      <w:tr w:rsidR="000E6C33" w:rsidRPr="00543476" w:rsidTr="004C7660">
        <w:trPr>
          <w:cantSplit/>
          <w:jc w:val="center"/>
        </w:trPr>
        <w:tc>
          <w:tcPr>
            <w:tcW w:w="2610" w:type="dxa"/>
            <w:shd w:val="clear" w:color="auto" w:fill="D9D9D9" w:themeFill="background1" w:themeFillShade="D9"/>
            <w:vAlign w:val="center"/>
          </w:tcPr>
          <w:p w:rsidR="000E6C33" w:rsidRPr="00543476" w:rsidRDefault="00EE4A3A" w:rsidP="004C7660">
            <w:pPr>
              <w:pStyle w:val="TableBody"/>
              <w:spacing w:beforeLines="20" w:before="48" w:afterLines="20" w:after="48"/>
              <w:jc w:val="left"/>
              <w:rPr>
                <w:rFonts w:asciiTheme="minorHAnsi" w:hAnsiTheme="minorHAnsi"/>
                <w:sz w:val="22"/>
                <w:szCs w:val="22"/>
              </w:rPr>
            </w:pPr>
            <w:r>
              <w:rPr>
                <w:rFonts w:asciiTheme="minorHAnsi" w:hAnsiTheme="minorHAnsi"/>
                <w:sz w:val="22"/>
                <w:szCs w:val="22"/>
              </w:rPr>
              <w:t xml:space="preserve">2015 </w:t>
            </w:r>
            <w:r w:rsidR="000E6C33" w:rsidRPr="00543476">
              <w:rPr>
                <w:rFonts w:asciiTheme="minorHAnsi" w:hAnsiTheme="minorHAnsi"/>
                <w:sz w:val="22"/>
                <w:szCs w:val="22"/>
              </w:rPr>
              <w:t>IFRO as a % of Interconnection Load</w:t>
            </w:r>
            <w:r w:rsidR="000E6C33" w:rsidRPr="00543476">
              <w:rPr>
                <w:rStyle w:val="FootnoteReference"/>
                <w:rFonts w:asciiTheme="minorHAnsi" w:hAnsiTheme="minorHAnsi"/>
                <w:sz w:val="22"/>
                <w:szCs w:val="22"/>
              </w:rPr>
              <w:footnoteReference w:id="29"/>
            </w:r>
          </w:p>
        </w:tc>
        <w:tc>
          <w:tcPr>
            <w:tcW w:w="1083" w:type="dxa"/>
            <w:shd w:val="clear" w:color="auto" w:fill="D9D9D9" w:themeFill="background1" w:themeFillShade="D9"/>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0.16%</w:t>
            </w:r>
          </w:p>
        </w:tc>
        <w:tc>
          <w:tcPr>
            <w:tcW w:w="1224" w:type="dxa"/>
            <w:shd w:val="clear" w:color="auto" w:fill="D9D9D9" w:themeFill="background1" w:themeFillShade="D9"/>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0.58%</w:t>
            </w:r>
          </w:p>
        </w:tc>
        <w:tc>
          <w:tcPr>
            <w:tcW w:w="1147" w:type="dxa"/>
            <w:shd w:val="clear" w:color="auto" w:fill="D9D9D9" w:themeFill="background1" w:themeFillShade="D9"/>
            <w:vAlign w:val="center"/>
          </w:tcPr>
          <w:p w:rsidR="000E6C33" w:rsidRPr="00543476" w:rsidRDefault="000E6C33" w:rsidP="00576F9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0.6</w:t>
            </w:r>
            <w:r w:rsidR="00576F90" w:rsidRPr="00543476">
              <w:rPr>
                <w:rFonts w:asciiTheme="minorHAnsi" w:hAnsiTheme="minorHAnsi"/>
                <w:sz w:val="22"/>
                <w:szCs w:val="22"/>
              </w:rPr>
              <w:t>8</w:t>
            </w:r>
            <w:r w:rsidRPr="00543476">
              <w:rPr>
                <w:rFonts w:asciiTheme="minorHAnsi" w:hAnsiTheme="minorHAnsi"/>
                <w:sz w:val="22"/>
                <w:szCs w:val="22"/>
              </w:rPr>
              <w:t>%</w:t>
            </w:r>
          </w:p>
        </w:tc>
        <w:tc>
          <w:tcPr>
            <w:tcW w:w="1199" w:type="dxa"/>
            <w:shd w:val="clear" w:color="auto" w:fill="D9D9D9" w:themeFill="background1" w:themeFillShade="D9"/>
            <w:vAlign w:val="center"/>
          </w:tcPr>
          <w:p w:rsidR="000E6C33" w:rsidRPr="00543476" w:rsidRDefault="000E6C33" w:rsidP="004C7660">
            <w:pPr>
              <w:pStyle w:val="TableBody"/>
              <w:spacing w:beforeLines="20" w:before="48" w:afterLines="20" w:after="48"/>
              <w:rPr>
                <w:rFonts w:asciiTheme="minorHAnsi" w:hAnsiTheme="minorHAnsi"/>
                <w:sz w:val="22"/>
                <w:szCs w:val="22"/>
              </w:rPr>
            </w:pPr>
            <w:r w:rsidRPr="00543476">
              <w:rPr>
                <w:rFonts w:asciiTheme="minorHAnsi" w:hAnsiTheme="minorHAnsi"/>
                <w:sz w:val="22"/>
                <w:szCs w:val="22"/>
              </w:rPr>
              <w:t>0.48%</w:t>
            </w:r>
          </w:p>
        </w:tc>
        <w:tc>
          <w:tcPr>
            <w:tcW w:w="1387" w:type="dxa"/>
            <w:shd w:val="clear" w:color="auto" w:fill="D9D9D9" w:themeFill="background1" w:themeFillShade="D9"/>
            <w:vAlign w:val="center"/>
          </w:tcPr>
          <w:p w:rsidR="000E6C33" w:rsidRPr="00543476" w:rsidRDefault="000E6C33" w:rsidP="004C7660">
            <w:pPr>
              <w:pStyle w:val="TableBody"/>
              <w:spacing w:beforeLines="20" w:before="48" w:afterLines="20" w:after="48"/>
              <w:rPr>
                <w:rFonts w:asciiTheme="minorHAnsi" w:hAnsiTheme="minorHAnsi"/>
                <w:sz w:val="22"/>
                <w:szCs w:val="22"/>
              </w:rPr>
            </w:pPr>
          </w:p>
        </w:tc>
      </w:tr>
    </w:tbl>
    <w:p w:rsidR="000E6C33" w:rsidRDefault="000E6C33" w:rsidP="00E82BC7"/>
    <w:p w:rsidR="00850602" w:rsidRDefault="00850602" w:rsidP="000E6C33">
      <w:pPr>
        <w:pStyle w:val="Heading3"/>
      </w:pPr>
      <w:r>
        <w:br w:type="page"/>
      </w:r>
    </w:p>
    <w:p w:rsidR="000E6C33" w:rsidRDefault="000E6C33" w:rsidP="000E6C33">
      <w:pPr>
        <w:pStyle w:val="Heading3"/>
      </w:pPr>
      <w:bookmarkStart w:id="24" w:name="_Toc408812272"/>
      <w:r>
        <w:t>Comparison to Previous IFRO Values</w:t>
      </w:r>
      <w:bookmarkEnd w:id="24"/>
    </w:p>
    <w:p w:rsidR="000E6C33" w:rsidRDefault="000E6C33" w:rsidP="000E6C33">
      <w:r>
        <w:t xml:space="preserve">The IFROs were first calculated and presented in the 2012 </w:t>
      </w:r>
      <w:r w:rsidRPr="002804D0">
        <w:rPr>
          <w:i/>
        </w:rPr>
        <w:t>Frequency Response Initiative</w:t>
      </w:r>
      <w:r>
        <w:t xml:space="preserve"> </w:t>
      </w:r>
      <w:r w:rsidRPr="00607521">
        <w:rPr>
          <w:i/>
        </w:rPr>
        <w:t>Report</w:t>
      </w:r>
      <w:r>
        <w:t>. Recommendations from that report called for an annual analysis and recalculation of the IFROs. The following is a comparison of the</w:t>
      </w:r>
      <w:r w:rsidR="00850602">
        <w:t xml:space="preserve"> current</w:t>
      </w:r>
      <w:r>
        <w:t xml:space="preserve"> IFROs and their key component values to those</w:t>
      </w:r>
      <w:r w:rsidR="002804D0">
        <w:t xml:space="preserve"> presented in the 2013 </w:t>
      </w:r>
      <w:r w:rsidR="002804D0" w:rsidRPr="00C11493">
        <w:rPr>
          <w:i/>
        </w:rPr>
        <w:t>Frequency Response Annual Analysis</w:t>
      </w:r>
      <w:r w:rsidR="002804D0">
        <w:t xml:space="preserve"> </w:t>
      </w:r>
      <w:r w:rsidR="0058579A">
        <w:t>r</w:t>
      </w:r>
      <w:r w:rsidR="002804D0">
        <w:t>eport</w:t>
      </w:r>
      <w:r>
        <w:t>.</w:t>
      </w:r>
    </w:p>
    <w:p w:rsidR="000E6C33" w:rsidRDefault="000E6C33" w:rsidP="000E6C33"/>
    <w:tbl>
      <w:tblPr>
        <w:tblW w:w="7359"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441"/>
        <w:gridCol w:w="1083"/>
        <w:gridCol w:w="1224"/>
        <w:gridCol w:w="1224"/>
        <w:gridCol w:w="1387"/>
      </w:tblGrid>
      <w:tr w:rsidR="000E6C33" w:rsidRPr="002804D0" w:rsidTr="00367FEE">
        <w:trPr>
          <w:cantSplit/>
          <w:trHeight w:val="432"/>
          <w:jc w:val="center"/>
        </w:trPr>
        <w:tc>
          <w:tcPr>
            <w:tcW w:w="7359" w:type="dxa"/>
            <w:gridSpan w:val="5"/>
            <w:shd w:val="clear" w:color="auto" w:fill="214D74"/>
            <w:vAlign w:val="center"/>
          </w:tcPr>
          <w:p w:rsidR="000E6C33" w:rsidRPr="002804D0" w:rsidRDefault="000E6C33" w:rsidP="004C7660">
            <w:pPr>
              <w:spacing w:beforeLines="20" w:before="48" w:afterLines="20" w:after="48"/>
              <w:jc w:val="center"/>
              <w:rPr>
                <w:rFonts w:asciiTheme="minorHAnsi" w:hAnsiTheme="minorHAnsi" w:cs="Arial"/>
                <w:szCs w:val="22"/>
              </w:rPr>
            </w:pPr>
            <w:r w:rsidRPr="00850602">
              <w:rPr>
                <w:rFonts w:asciiTheme="minorHAnsi" w:hAnsiTheme="minorHAnsi" w:cs="Arial"/>
                <w:b/>
                <w:color w:val="FFFFFF"/>
                <w:szCs w:val="22"/>
              </w:rPr>
              <w:t>Table 15a: Interconnection IFRO Comparison</w:t>
            </w:r>
          </w:p>
        </w:tc>
      </w:tr>
      <w:tr w:rsidR="000E6C33" w:rsidRPr="002804D0" w:rsidTr="004C7660">
        <w:trPr>
          <w:cantSplit/>
          <w:jc w:val="center"/>
        </w:trPr>
        <w:tc>
          <w:tcPr>
            <w:tcW w:w="2441"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Eastern</w:t>
            </w:r>
          </w:p>
        </w:tc>
        <w:tc>
          <w:tcPr>
            <w:tcW w:w="1083" w:type="dxa"/>
            <w:shd w:val="clear" w:color="auto" w:fill="8DB5DA"/>
            <w:vAlign w:val="center"/>
          </w:tcPr>
          <w:p w:rsidR="000E6C33" w:rsidRPr="002804D0" w:rsidRDefault="000E6C33" w:rsidP="006E3088">
            <w:pPr>
              <w:spacing w:beforeLines="20" w:before="48" w:afterLines="20" w:after="48"/>
              <w:jc w:val="center"/>
              <w:rPr>
                <w:rFonts w:asciiTheme="minorHAnsi" w:hAnsiTheme="minorHAnsi" w:cs="Arial"/>
                <w:b/>
                <w:szCs w:val="22"/>
              </w:rPr>
            </w:pPr>
            <w:r w:rsidRPr="002804D0">
              <w:rPr>
                <w:rFonts w:asciiTheme="minorHAnsi" w:hAnsiTheme="minorHAnsi" w:cs="Arial"/>
                <w:b/>
                <w:szCs w:val="22"/>
              </w:rPr>
              <w:t>201</w:t>
            </w:r>
            <w:r w:rsidR="006E3088" w:rsidRPr="002804D0">
              <w:rPr>
                <w:rFonts w:asciiTheme="minorHAnsi" w:hAnsiTheme="minorHAnsi" w:cs="Arial"/>
                <w:b/>
                <w:szCs w:val="22"/>
              </w:rPr>
              <w:t>3</w:t>
            </w:r>
          </w:p>
        </w:tc>
        <w:tc>
          <w:tcPr>
            <w:tcW w:w="1224" w:type="dxa"/>
            <w:shd w:val="clear" w:color="auto" w:fill="8DB5DA"/>
            <w:vAlign w:val="center"/>
          </w:tcPr>
          <w:p w:rsidR="000E6C33" w:rsidRPr="002804D0" w:rsidRDefault="000E6C33" w:rsidP="006E3088">
            <w:pPr>
              <w:spacing w:beforeLines="20" w:before="48" w:afterLines="20" w:after="48"/>
              <w:jc w:val="center"/>
              <w:rPr>
                <w:rFonts w:asciiTheme="minorHAnsi" w:hAnsiTheme="minorHAnsi" w:cs="Arial"/>
                <w:b/>
                <w:szCs w:val="22"/>
              </w:rPr>
            </w:pPr>
            <w:r w:rsidRPr="002804D0">
              <w:rPr>
                <w:rFonts w:asciiTheme="minorHAnsi" w:hAnsiTheme="minorHAnsi" w:cs="Arial"/>
                <w:b/>
                <w:szCs w:val="22"/>
              </w:rPr>
              <w:t>201</w:t>
            </w:r>
            <w:r w:rsidR="006E3088" w:rsidRPr="002804D0">
              <w:rPr>
                <w:rFonts w:asciiTheme="minorHAnsi" w:hAnsiTheme="minorHAnsi" w:cs="Arial"/>
                <w:b/>
                <w:szCs w:val="22"/>
              </w:rPr>
              <w:t>4</w:t>
            </w:r>
          </w:p>
        </w:tc>
        <w:tc>
          <w:tcPr>
            <w:tcW w:w="1224"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Change</w:t>
            </w:r>
          </w:p>
        </w:tc>
        <w:tc>
          <w:tcPr>
            <w:tcW w:w="1387"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Units</w:t>
            </w:r>
          </w:p>
        </w:tc>
      </w:tr>
      <w:tr w:rsidR="006E3088" w:rsidRPr="002804D0" w:rsidTr="004C7660">
        <w:trPr>
          <w:cantSplit/>
          <w:jc w:val="center"/>
        </w:trPr>
        <w:tc>
          <w:tcPr>
            <w:tcW w:w="2441" w:type="dxa"/>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Starting Frequency</w:t>
            </w:r>
          </w:p>
        </w:tc>
        <w:tc>
          <w:tcPr>
            <w:tcW w:w="1083"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59.974</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59.974</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Hz</w:t>
            </w:r>
          </w:p>
        </w:tc>
      </w:tr>
      <w:tr w:rsidR="006E3088" w:rsidRPr="002804D0" w:rsidTr="004C7660">
        <w:trPr>
          <w:cantSplit/>
          <w:jc w:val="center"/>
        </w:trPr>
        <w:tc>
          <w:tcPr>
            <w:tcW w:w="2441" w:type="dxa"/>
            <w:shd w:val="clear" w:color="auto" w:fill="D5D5D5"/>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Max. Allowable Delta Frequency</w:t>
            </w:r>
          </w:p>
        </w:tc>
        <w:tc>
          <w:tcPr>
            <w:tcW w:w="1083"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0.444</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0.444</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Hz</w:t>
            </w:r>
          </w:p>
        </w:tc>
      </w:tr>
      <w:tr w:rsidR="006E3088" w:rsidRPr="002804D0" w:rsidTr="004C7660">
        <w:trPr>
          <w:cantSplit/>
          <w:jc w:val="center"/>
        </w:trPr>
        <w:tc>
          <w:tcPr>
            <w:tcW w:w="2441" w:type="dxa"/>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 xml:space="preserve">Resource Contingency Protection Criteria </w:t>
            </w:r>
          </w:p>
        </w:tc>
        <w:tc>
          <w:tcPr>
            <w:tcW w:w="1083"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4,500</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4,500</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w:t>
            </w:r>
          </w:p>
        </w:tc>
      </w:tr>
      <w:tr w:rsidR="000E6C33" w:rsidRPr="002804D0" w:rsidTr="004C7660">
        <w:trPr>
          <w:cantSplit/>
          <w:jc w:val="center"/>
        </w:trPr>
        <w:tc>
          <w:tcPr>
            <w:tcW w:w="2441" w:type="dxa"/>
            <w:shd w:val="clear" w:color="auto" w:fill="D5D5D5"/>
            <w:vAlign w:val="center"/>
          </w:tcPr>
          <w:p w:rsidR="000E6C33" w:rsidRPr="002804D0" w:rsidRDefault="000E6C33" w:rsidP="004C7660">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Credit for LR</w:t>
            </w:r>
          </w:p>
        </w:tc>
        <w:tc>
          <w:tcPr>
            <w:tcW w:w="1083" w:type="dxa"/>
            <w:shd w:val="clear" w:color="auto" w:fill="D5D5D5"/>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224" w:type="dxa"/>
            <w:shd w:val="clear" w:color="auto" w:fill="D5D5D5"/>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224" w:type="dxa"/>
            <w:shd w:val="clear" w:color="auto" w:fill="D5D5D5"/>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shd w:val="clear" w:color="auto" w:fill="D5D5D5"/>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w:t>
            </w:r>
          </w:p>
        </w:tc>
      </w:tr>
      <w:tr w:rsidR="000E6C33" w:rsidRPr="002804D0" w:rsidTr="004C7660">
        <w:trPr>
          <w:cantSplit/>
          <w:jc w:val="center"/>
        </w:trPr>
        <w:tc>
          <w:tcPr>
            <w:tcW w:w="2441" w:type="dxa"/>
            <w:shd w:val="clear" w:color="auto" w:fill="auto"/>
            <w:vAlign w:val="center"/>
          </w:tcPr>
          <w:p w:rsidR="000E6C33" w:rsidRPr="002804D0" w:rsidRDefault="000E6C33" w:rsidP="004C7660">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Absolute Value of IFRO</w:t>
            </w:r>
          </w:p>
        </w:tc>
        <w:tc>
          <w:tcPr>
            <w:tcW w:w="1083" w:type="dxa"/>
            <w:shd w:val="clear" w:color="auto" w:fill="auto"/>
            <w:vAlign w:val="center"/>
          </w:tcPr>
          <w:p w:rsidR="000E6C33" w:rsidRPr="002804D0" w:rsidRDefault="006E3088"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1,014</w:t>
            </w:r>
          </w:p>
        </w:tc>
        <w:tc>
          <w:tcPr>
            <w:tcW w:w="1224" w:type="dxa"/>
            <w:shd w:val="clear" w:color="auto" w:fill="auto"/>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1,014</w:t>
            </w:r>
          </w:p>
        </w:tc>
        <w:tc>
          <w:tcPr>
            <w:tcW w:w="1224" w:type="dxa"/>
            <w:shd w:val="clear" w:color="auto" w:fill="auto"/>
            <w:vAlign w:val="center"/>
          </w:tcPr>
          <w:p w:rsidR="000E6C33" w:rsidRPr="002804D0" w:rsidRDefault="006E3088"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shd w:val="clear" w:color="auto" w:fill="auto"/>
            <w:vAlign w:val="center"/>
          </w:tcPr>
          <w:p w:rsidR="000E6C33" w:rsidRPr="002804D0" w:rsidRDefault="000E6C33" w:rsidP="004C7660">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MW/0.1Hz</w:t>
            </w:r>
          </w:p>
        </w:tc>
      </w:tr>
      <w:tr w:rsidR="000E6C33" w:rsidRPr="002804D0" w:rsidTr="004C7660">
        <w:trPr>
          <w:cantSplit/>
          <w:jc w:val="center"/>
        </w:trPr>
        <w:tc>
          <w:tcPr>
            <w:tcW w:w="2441"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Western</w:t>
            </w:r>
          </w:p>
        </w:tc>
        <w:tc>
          <w:tcPr>
            <w:tcW w:w="1083" w:type="dxa"/>
            <w:shd w:val="clear" w:color="auto" w:fill="8DB5DA"/>
            <w:vAlign w:val="center"/>
          </w:tcPr>
          <w:p w:rsidR="000E6C33" w:rsidRPr="002804D0" w:rsidRDefault="000E6C33" w:rsidP="006E3088">
            <w:pPr>
              <w:spacing w:beforeLines="20" w:before="48" w:afterLines="20" w:after="48"/>
              <w:jc w:val="center"/>
              <w:rPr>
                <w:rFonts w:asciiTheme="minorHAnsi" w:hAnsiTheme="minorHAnsi" w:cs="Arial"/>
                <w:b/>
                <w:szCs w:val="22"/>
              </w:rPr>
            </w:pPr>
            <w:r w:rsidRPr="002804D0">
              <w:rPr>
                <w:rFonts w:asciiTheme="minorHAnsi" w:hAnsiTheme="minorHAnsi" w:cs="Arial"/>
                <w:b/>
                <w:szCs w:val="22"/>
              </w:rPr>
              <w:t>201</w:t>
            </w:r>
            <w:r w:rsidR="006E3088" w:rsidRPr="002804D0">
              <w:rPr>
                <w:rFonts w:asciiTheme="minorHAnsi" w:hAnsiTheme="minorHAnsi" w:cs="Arial"/>
                <w:b/>
                <w:szCs w:val="22"/>
              </w:rPr>
              <w:t>3</w:t>
            </w:r>
          </w:p>
        </w:tc>
        <w:tc>
          <w:tcPr>
            <w:tcW w:w="1224" w:type="dxa"/>
            <w:shd w:val="clear" w:color="auto" w:fill="8DB5DA"/>
            <w:vAlign w:val="center"/>
          </w:tcPr>
          <w:p w:rsidR="000E6C33" w:rsidRPr="002804D0" w:rsidRDefault="000E6C33" w:rsidP="006E3088">
            <w:pPr>
              <w:spacing w:beforeLines="20" w:before="48" w:afterLines="20" w:after="48"/>
              <w:jc w:val="center"/>
              <w:rPr>
                <w:rFonts w:asciiTheme="minorHAnsi" w:hAnsiTheme="minorHAnsi" w:cs="Arial"/>
                <w:b/>
                <w:szCs w:val="22"/>
              </w:rPr>
            </w:pPr>
            <w:r w:rsidRPr="002804D0">
              <w:rPr>
                <w:rFonts w:asciiTheme="minorHAnsi" w:hAnsiTheme="minorHAnsi" w:cs="Arial"/>
                <w:b/>
                <w:szCs w:val="22"/>
              </w:rPr>
              <w:t>201</w:t>
            </w:r>
            <w:r w:rsidR="006E3088" w:rsidRPr="002804D0">
              <w:rPr>
                <w:rFonts w:asciiTheme="minorHAnsi" w:hAnsiTheme="minorHAnsi" w:cs="Arial"/>
                <w:b/>
                <w:szCs w:val="22"/>
              </w:rPr>
              <w:t>4</w:t>
            </w:r>
          </w:p>
        </w:tc>
        <w:tc>
          <w:tcPr>
            <w:tcW w:w="1224"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Change</w:t>
            </w:r>
          </w:p>
        </w:tc>
        <w:tc>
          <w:tcPr>
            <w:tcW w:w="1387" w:type="dxa"/>
            <w:shd w:val="clear" w:color="auto" w:fill="8DB5DA"/>
            <w:vAlign w:val="center"/>
          </w:tcPr>
          <w:p w:rsidR="000E6C33" w:rsidRPr="002804D0" w:rsidRDefault="000E6C33" w:rsidP="004C7660">
            <w:pPr>
              <w:spacing w:beforeLines="20" w:before="48" w:afterLines="20" w:after="48"/>
              <w:jc w:val="center"/>
              <w:rPr>
                <w:rFonts w:asciiTheme="minorHAnsi" w:hAnsiTheme="minorHAnsi" w:cs="Arial"/>
                <w:b/>
                <w:szCs w:val="22"/>
              </w:rPr>
            </w:pPr>
            <w:r w:rsidRPr="002804D0">
              <w:rPr>
                <w:rFonts w:asciiTheme="minorHAnsi" w:hAnsiTheme="minorHAnsi" w:cs="Arial"/>
                <w:b/>
                <w:szCs w:val="22"/>
              </w:rPr>
              <w:t>Units</w:t>
            </w:r>
          </w:p>
        </w:tc>
      </w:tr>
      <w:tr w:rsidR="006E3088" w:rsidRPr="002804D0" w:rsidTr="004C7660">
        <w:trPr>
          <w:cantSplit/>
          <w:jc w:val="center"/>
        </w:trPr>
        <w:tc>
          <w:tcPr>
            <w:tcW w:w="2441" w:type="dxa"/>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Starting Frequency</w:t>
            </w:r>
          </w:p>
        </w:tc>
        <w:tc>
          <w:tcPr>
            <w:tcW w:w="1083"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59.971</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59.968</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-0.003</w:t>
            </w:r>
          </w:p>
        </w:tc>
        <w:tc>
          <w:tcPr>
            <w:tcW w:w="1387"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Hz</w:t>
            </w:r>
          </w:p>
        </w:tc>
      </w:tr>
      <w:tr w:rsidR="006E3088" w:rsidRPr="002804D0" w:rsidTr="004C7660">
        <w:trPr>
          <w:cantSplit/>
          <w:jc w:val="center"/>
        </w:trPr>
        <w:tc>
          <w:tcPr>
            <w:tcW w:w="2441" w:type="dxa"/>
            <w:shd w:val="clear" w:color="auto" w:fill="D5D5D5"/>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Max. Allowable Delta Frequency</w:t>
            </w:r>
          </w:p>
        </w:tc>
        <w:tc>
          <w:tcPr>
            <w:tcW w:w="1083"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0.261</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0.273</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0.012</w:t>
            </w:r>
          </w:p>
        </w:tc>
        <w:tc>
          <w:tcPr>
            <w:tcW w:w="1387"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Hz</w:t>
            </w:r>
          </w:p>
        </w:tc>
      </w:tr>
      <w:tr w:rsidR="006E3088" w:rsidRPr="002804D0" w:rsidTr="004C7660">
        <w:trPr>
          <w:cantSplit/>
          <w:jc w:val="center"/>
        </w:trPr>
        <w:tc>
          <w:tcPr>
            <w:tcW w:w="2441" w:type="dxa"/>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 xml:space="preserve">Resource Contingency Protection Criteria </w:t>
            </w:r>
          </w:p>
        </w:tc>
        <w:tc>
          <w:tcPr>
            <w:tcW w:w="1083"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2,626</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2,626</w:t>
            </w:r>
          </w:p>
        </w:tc>
        <w:tc>
          <w:tcPr>
            <w:tcW w:w="1224"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w:t>
            </w:r>
          </w:p>
        </w:tc>
      </w:tr>
      <w:tr w:rsidR="006E3088" w:rsidRPr="002804D0" w:rsidTr="004C7660">
        <w:trPr>
          <w:cantSplit/>
          <w:jc w:val="center"/>
        </w:trPr>
        <w:tc>
          <w:tcPr>
            <w:tcW w:w="2441" w:type="dxa"/>
            <w:shd w:val="clear" w:color="auto" w:fill="D5D5D5"/>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Credit for LR</w:t>
            </w:r>
          </w:p>
        </w:tc>
        <w:tc>
          <w:tcPr>
            <w:tcW w:w="1083"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150</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150</w:t>
            </w:r>
          </w:p>
        </w:tc>
        <w:tc>
          <w:tcPr>
            <w:tcW w:w="1224"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w:t>
            </w:r>
          </w:p>
        </w:tc>
        <w:tc>
          <w:tcPr>
            <w:tcW w:w="1387" w:type="dxa"/>
            <w:shd w:val="clear" w:color="auto" w:fill="D5D5D5"/>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w:t>
            </w:r>
          </w:p>
        </w:tc>
      </w:tr>
      <w:tr w:rsidR="006E3088" w:rsidRPr="002804D0" w:rsidTr="004C7660">
        <w:trPr>
          <w:cantSplit/>
          <w:jc w:val="center"/>
        </w:trPr>
        <w:tc>
          <w:tcPr>
            <w:tcW w:w="2441" w:type="dxa"/>
            <w:shd w:val="clear" w:color="auto" w:fill="auto"/>
            <w:vAlign w:val="center"/>
          </w:tcPr>
          <w:p w:rsidR="006E3088" w:rsidRPr="002804D0" w:rsidRDefault="006E3088" w:rsidP="006E3088">
            <w:pPr>
              <w:pStyle w:val="TableBody"/>
              <w:spacing w:beforeLines="20" w:before="48" w:afterLines="20" w:after="48"/>
              <w:jc w:val="left"/>
              <w:rPr>
                <w:rFonts w:asciiTheme="minorHAnsi" w:hAnsiTheme="minorHAnsi"/>
                <w:sz w:val="22"/>
                <w:szCs w:val="22"/>
              </w:rPr>
            </w:pPr>
            <w:r w:rsidRPr="002804D0">
              <w:rPr>
                <w:rFonts w:asciiTheme="minorHAnsi" w:hAnsiTheme="minorHAnsi"/>
                <w:sz w:val="22"/>
                <w:szCs w:val="22"/>
              </w:rPr>
              <w:t>Absolute Value of IFRO</w:t>
            </w:r>
          </w:p>
        </w:tc>
        <w:tc>
          <w:tcPr>
            <w:tcW w:w="1083" w:type="dxa"/>
            <w:shd w:val="clear" w:color="auto" w:fill="auto"/>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949</w:t>
            </w:r>
          </w:p>
        </w:tc>
        <w:tc>
          <w:tcPr>
            <w:tcW w:w="1224" w:type="dxa"/>
            <w:shd w:val="clear" w:color="auto" w:fill="auto"/>
            <w:vAlign w:val="center"/>
          </w:tcPr>
          <w:p w:rsidR="006E3088" w:rsidRPr="002804D0" w:rsidRDefault="006E3088" w:rsidP="009D42E1">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90</w:t>
            </w:r>
            <w:r w:rsidR="009D42E1">
              <w:rPr>
                <w:rFonts w:asciiTheme="minorHAnsi" w:hAnsiTheme="minorHAnsi"/>
                <w:sz w:val="22"/>
                <w:szCs w:val="22"/>
              </w:rPr>
              <w:t>7</w:t>
            </w:r>
          </w:p>
        </w:tc>
        <w:tc>
          <w:tcPr>
            <w:tcW w:w="1224" w:type="dxa"/>
            <w:shd w:val="clear" w:color="auto" w:fill="auto"/>
            <w:vAlign w:val="center"/>
          </w:tcPr>
          <w:p w:rsidR="006E3088" w:rsidRPr="002804D0" w:rsidRDefault="006E3088" w:rsidP="009D42E1">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-4</w:t>
            </w:r>
            <w:r w:rsidR="009D42E1">
              <w:rPr>
                <w:rFonts w:asciiTheme="minorHAnsi" w:hAnsiTheme="minorHAnsi"/>
                <w:sz w:val="22"/>
                <w:szCs w:val="22"/>
              </w:rPr>
              <w:t>2</w:t>
            </w:r>
          </w:p>
        </w:tc>
        <w:tc>
          <w:tcPr>
            <w:tcW w:w="1387" w:type="dxa"/>
            <w:shd w:val="clear" w:color="auto" w:fill="auto"/>
            <w:vAlign w:val="center"/>
          </w:tcPr>
          <w:p w:rsidR="006E3088" w:rsidRPr="002804D0" w:rsidRDefault="006E3088" w:rsidP="006E3088">
            <w:pPr>
              <w:pStyle w:val="TableBody"/>
              <w:spacing w:beforeLines="20" w:before="48" w:afterLines="20" w:after="48"/>
              <w:rPr>
                <w:rFonts w:asciiTheme="minorHAnsi" w:hAnsiTheme="minorHAnsi"/>
                <w:sz w:val="22"/>
                <w:szCs w:val="22"/>
              </w:rPr>
            </w:pPr>
            <w:r w:rsidRPr="002804D0">
              <w:rPr>
                <w:rFonts w:asciiTheme="minorHAnsi" w:hAnsiTheme="minorHAnsi"/>
                <w:sz w:val="22"/>
                <w:szCs w:val="22"/>
              </w:rPr>
              <w:t>MW/0.1Hz</w:t>
            </w:r>
          </w:p>
        </w:tc>
      </w:tr>
    </w:tbl>
    <w:p w:rsidR="000E6C33" w:rsidRDefault="000E6C33" w:rsidP="00E82BC7"/>
    <w:p w:rsidR="000E6C33" w:rsidRDefault="004102CB" w:rsidP="000E6C33">
      <w:r>
        <w:t>There is no change to the IFRO for the Eastern Interconnection.</w:t>
      </w:r>
    </w:p>
    <w:p w:rsidR="000E6C33" w:rsidRDefault="000E6C33" w:rsidP="000E6C33"/>
    <w:p w:rsidR="000E6C33" w:rsidRDefault="000E6C33" w:rsidP="000E6C33">
      <w:r w:rsidRPr="004102CB">
        <w:t xml:space="preserve">There is a </w:t>
      </w:r>
      <w:r w:rsidR="004102CB" w:rsidRPr="004102CB">
        <w:t>4</w:t>
      </w:r>
      <w:r w:rsidR="009D42E1">
        <w:t>2</w:t>
      </w:r>
      <w:r w:rsidRPr="004102CB">
        <w:t xml:space="preserve"> MW </w:t>
      </w:r>
      <w:r w:rsidR="004102CB" w:rsidRPr="004102CB">
        <w:t>decrease</w:t>
      </w:r>
      <w:r w:rsidRPr="004102CB">
        <w:t xml:space="preserve"> in the Western Interconnection IFRO caused by:</w:t>
      </w:r>
    </w:p>
    <w:p w:rsidR="000E6C33" w:rsidRDefault="000E6C33" w:rsidP="000E6C33"/>
    <w:p w:rsidR="000E6C33" w:rsidRPr="00850602" w:rsidRDefault="000E6C33" w:rsidP="00866C29">
      <w:pPr>
        <w:pStyle w:val="ListParagraph"/>
        <w:numPr>
          <w:ilvl w:val="0"/>
          <w:numId w:val="25"/>
        </w:numPr>
      </w:pPr>
      <w:r w:rsidRPr="00850602">
        <w:t xml:space="preserve">The </w:t>
      </w:r>
      <w:r w:rsidR="00850602">
        <w:t>3</w:t>
      </w:r>
      <w:r w:rsidRPr="00850602">
        <w:t xml:space="preserve"> mHz reduction in the Western Interconnection </w:t>
      </w:r>
      <w:r w:rsidR="00850602">
        <w:t>starting frequency</w:t>
      </w:r>
      <w:r w:rsidRPr="00850602">
        <w:t xml:space="preserve">; </w:t>
      </w:r>
      <w:r w:rsidR="00850602">
        <w:t>and</w:t>
      </w:r>
    </w:p>
    <w:p w:rsidR="000E6C33" w:rsidRPr="00850602" w:rsidRDefault="000E6C33" w:rsidP="00866C29">
      <w:pPr>
        <w:pStyle w:val="ListParagraph"/>
        <w:numPr>
          <w:ilvl w:val="0"/>
          <w:numId w:val="25"/>
        </w:numPr>
      </w:pPr>
      <w:r w:rsidRPr="00850602">
        <w:t xml:space="preserve">The </w:t>
      </w:r>
      <w:r w:rsidR="00850602">
        <w:t>12</w:t>
      </w:r>
      <w:r w:rsidRPr="00850602">
        <w:t xml:space="preserve"> </w:t>
      </w:r>
      <w:r w:rsidR="00850602">
        <w:t>mHz</w:t>
      </w:r>
      <w:r w:rsidRPr="00850602">
        <w:t xml:space="preserve"> </w:t>
      </w:r>
      <w:r w:rsidR="000B637A">
        <w:t>in</w:t>
      </w:r>
      <w:r w:rsidRPr="00850602">
        <w:t xml:space="preserve">crease in the </w:t>
      </w:r>
      <w:r w:rsidR="00850602">
        <w:t>Maximum Allowable Delta Frequency attributable to a decrease in the CB</w:t>
      </w:r>
      <w:r w:rsidR="00850602" w:rsidRPr="00850602">
        <w:rPr>
          <w:vertAlign w:val="subscript"/>
        </w:rPr>
        <w:t>R</w:t>
      </w:r>
      <w:r w:rsidR="00850602">
        <w:t xml:space="preserve"> ratio</w:t>
      </w:r>
      <w:r w:rsidR="00850602">
        <w:rPr>
          <w:rStyle w:val="FootnoteReference"/>
        </w:rPr>
        <w:footnoteReference w:id="30"/>
      </w:r>
      <w:r w:rsidRPr="00850602">
        <w:t>.</w:t>
      </w:r>
    </w:p>
    <w:p w:rsidR="00850602" w:rsidRDefault="00850602" w:rsidP="00E82BC7">
      <w:r>
        <w:br w:type="page"/>
      </w:r>
    </w:p>
    <w:p w:rsidR="000E6C33" w:rsidRDefault="000E6C33" w:rsidP="00E82BC7"/>
    <w:tbl>
      <w:tblPr>
        <w:tblW w:w="7359"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441"/>
        <w:gridCol w:w="1083"/>
        <w:gridCol w:w="1224"/>
        <w:gridCol w:w="1224"/>
        <w:gridCol w:w="1387"/>
      </w:tblGrid>
      <w:tr w:rsidR="000E6C33" w:rsidRPr="00C11493" w:rsidTr="00367FEE">
        <w:trPr>
          <w:cantSplit/>
          <w:trHeight w:val="432"/>
          <w:jc w:val="center"/>
        </w:trPr>
        <w:tc>
          <w:tcPr>
            <w:tcW w:w="7359" w:type="dxa"/>
            <w:gridSpan w:val="5"/>
            <w:shd w:val="clear" w:color="auto" w:fill="214D74"/>
            <w:vAlign w:val="center"/>
          </w:tcPr>
          <w:p w:rsidR="000E6C33" w:rsidRPr="00C11493" w:rsidRDefault="000E6C33" w:rsidP="004C7660">
            <w:pPr>
              <w:spacing w:beforeLines="20" w:before="48" w:afterLines="20" w:after="48"/>
              <w:jc w:val="center"/>
              <w:rPr>
                <w:rFonts w:asciiTheme="minorHAnsi" w:hAnsiTheme="minorHAnsi" w:cs="Arial"/>
                <w:szCs w:val="22"/>
              </w:rPr>
            </w:pPr>
            <w:r w:rsidRPr="00C11493">
              <w:rPr>
                <w:rFonts w:cs="Arial"/>
                <w:b/>
                <w:color w:val="FFFFFF"/>
                <w:szCs w:val="22"/>
              </w:rPr>
              <w:t>Table 15b: Interconnection IFRO Comparison</w:t>
            </w:r>
          </w:p>
        </w:tc>
      </w:tr>
      <w:tr w:rsidR="000E6C33" w:rsidRPr="00C11493" w:rsidTr="004C7660">
        <w:trPr>
          <w:cantSplit/>
          <w:jc w:val="center"/>
        </w:trPr>
        <w:tc>
          <w:tcPr>
            <w:tcW w:w="2441"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ERCOT</w:t>
            </w:r>
          </w:p>
        </w:tc>
        <w:tc>
          <w:tcPr>
            <w:tcW w:w="1083" w:type="dxa"/>
            <w:shd w:val="clear" w:color="auto" w:fill="8DB5DA"/>
            <w:vAlign w:val="center"/>
          </w:tcPr>
          <w:p w:rsidR="000E6C33" w:rsidRPr="00C11493" w:rsidRDefault="000E6C33" w:rsidP="002F64E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2F64E0" w:rsidRPr="00C11493">
              <w:rPr>
                <w:rFonts w:asciiTheme="minorHAnsi" w:hAnsiTheme="minorHAnsi" w:cs="Arial"/>
                <w:b/>
                <w:szCs w:val="22"/>
              </w:rPr>
              <w:t>3</w:t>
            </w:r>
          </w:p>
        </w:tc>
        <w:tc>
          <w:tcPr>
            <w:tcW w:w="1224" w:type="dxa"/>
            <w:shd w:val="clear" w:color="auto" w:fill="8DB5DA"/>
            <w:vAlign w:val="center"/>
          </w:tcPr>
          <w:p w:rsidR="000E6C33" w:rsidRPr="00C11493" w:rsidRDefault="000E6C33" w:rsidP="002F64E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2F64E0" w:rsidRPr="00C11493">
              <w:rPr>
                <w:rFonts w:asciiTheme="minorHAnsi" w:hAnsiTheme="minorHAnsi" w:cs="Arial"/>
                <w:b/>
                <w:szCs w:val="22"/>
              </w:rPr>
              <w:t>4</w:t>
            </w:r>
          </w:p>
        </w:tc>
        <w:tc>
          <w:tcPr>
            <w:tcW w:w="1224"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2F64E0" w:rsidRPr="00C11493" w:rsidTr="004C7660">
        <w:trPr>
          <w:cantSplit/>
          <w:jc w:val="center"/>
        </w:trPr>
        <w:tc>
          <w:tcPr>
            <w:tcW w:w="2441" w:type="dxa"/>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Starting Frequency</w:t>
            </w:r>
          </w:p>
        </w:tc>
        <w:tc>
          <w:tcPr>
            <w:tcW w:w="1083"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59.964</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59.965</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0.001</w:t>
            </w:r>
          </w:p>
        </w:tc>
        <w:tc>
          <w:tcPr>
            <w:tcW w:w="1387"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Hz</w:t>
            </w:r>
          </w:p>
        </w:tc>
      </w:tr>
      <w:tr w:rsidR="002F64E0" w:rsidRPr="00C11493" w:rsidTr="004C7660">
        <w:trPr>
          <w:cantSplit/>
          <w:jc w:val="center"/>
        </w:trPr>
        <w:tc>
          <w:tcPr>
            <w:tcW w:w="2441" w:type="dxa"/>
            <w:shd w:val="clear" w:color="auto" w:fill="D5D5D5"/>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Max. Allowable Delta Frequency</w:t>
            </w:r>
          </w:p>
        </w:tc>
        <w:tc>
          <w:tcPr>
            <w:tcW w:w="1083"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0.449</w:t>
            </w:r>
          </w:p>
        </w:tc>
        <w:tc>
          <w:tcPr>
            <w:tcW w:w="1224"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0.391</w:t>
            </w:r>
          </w:p>
        </w:tc>
        <w:tc>
          <w:tcPr>
            <w:tcW w:w="1224"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-0.059</w:t>
            </w:r>
          </w:p>
        </w:tc>
        <w:tc>
          <w:tcPr>
            <w:tcW w:w="1387"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Hz</w:t>
            </w:r>
          </w:p>
        </w:tc>
      </w:tr>
      <w:tr w:rsidR="002F64E0" w:rsidRPr="00C11493" w:rsidTr="004C7660">
        <w:trPr>
          <w:cantSplit/>
          <w:jc w:val="center"/>
        </w:trPr>
        <w:tc>
          <w:tcPr>
            <w:tcW w:w="2441" w:type="dxa"/>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 xml:space="preserve">Resource Contingency Protection Criteria </w:t>
            </w:r>
          </w:p>
        </w:tc>
        <w:tc>
          <w:tcPr>
            <w:tcW w:w="1083"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2,750</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2,750</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387"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MW</w:t>
            </w:r>
          </w:p>
        </w:tc>
      </w:tr>
      <w:tr w:rsidR="002F64E0" w:rsidRPr="00C11493" w:rsidTr="004C7660">
        <w:trPr>
          <w:cantSplit/>
          <w:jc w:val="center"/>
        </w:trPr>
        <w:tc>
          <w:tcPr>
            <w:tcW w:w="2441" w:type="dxa"/>
            <w:shd w:val="clear" w:color="auto" w:fill="D5D5D5"/>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Credit for LR</w:t>
            </w:r>
          </w:p>
        </w:tc>
        <w:tc>
          <w:tcPr>
            <w:tcW w:w="1083"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895</w:t>
            </w:r>
          </w:p>
        </w:tc>
        <w:tc>
          <w:tcPr>
            <w:tcW w:w="1224" w:type="dxa"/>
            <w:shd w:val="clear" w:color="auto" w:fill="D5D5D5"/>
            <w:vAlign w:val="center"/>
          </w:tcPr>
          <w:p w:rsidR="002F64E0" w:rsidRPr="00C11493" w:rsidRDefault="00850602" w:rsidP="002F64E0">
            <w:pPr>
              <w:pStyle w:val="TableBody"/>
              <w:spacing w:beforeLines="20" w:before="48" w:afterLines="20" w:after="48"/>
              <w:rPr>
                <w:sz w:val="22"/>
                <w:szCs w:val="22"/>
              </w:rPr>
            </w:pPr>
            <w:r>
              <w:rPr>
                <w:sz w:val="22"/>
                <w:szCs w:val="22"/>
              </w:rPr>
              <w:t>909</w:t>
            </w:r>
          </w:p>
        </w:tc>
        <w:tc>
          <w:tcPr>
            <w:tcW w:w="1224" w:type="dxa"/>
            <w:shd w:val="clear" w:color="auto" w:fill="D5D5D5"/>
            <w:vAlign w:val="center"/>
          </w:tcPr>
          <w:p w:rsidR="002F64E0" w:rsidRPr="00C11493" w:rsidRDefault="00136F0C" w:rsidP="002F64E0">
            <w:pPr>
              <w:pStyle w:val="TableBody"/>
              <w:spacing w:beforeLines="20" w:before="48" w:afterLines="20" w:after="48"/>
              <w:rPr>
                <w:sz w:val="22"/>
                <w:szCs w:val="22"/>
              </w:rPr>
            </w:pPr>
            <w:r>
              <w:rPr>
                <w:sz w:val="22"/>
                <w:szCs w:val="22"/>
              </w:rPr>
              <w:t>14</w:t>
            </w:r>
          </w:p>
        </w:tc>
        <w:tc>
          <w:tcPr>
            <w:tcW w:w="1387"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MW</w:t>
            </w:r>
          </w:p>
        </w:tc>
      </w:tr>
      <w:tr w:rsidR="002F64E0" w:rsidRPr="00C11493" w:rsidTr="004C7660">
        <w:trPr>
          <w:cantSplit/>
          <w:jc w:val="center"/>
        </w:trPr>
        <w:tc>
          <w:tcPr>
            <w:tcW w:w="2441" w:type="dxa"/>
            <w:shd w:val="clear" w:color="auto" w:fill="auto"/>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Absolute Value of IFRO</w:t>
            </w:r>
          </w:p>
        </w:tc>
        <w:tc>
          <w:tcPr>
            <w:tcW w:w="1083"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413</w:t>
            </w:r>
          </w:p>
        </w:tc>
        <w:tc>
          <w:tcPr>
            <w:tcW w:w="1224" w:type="dxa"/>
            <w:shd w:val="clear" w:color="auto" w:fill="auto"/>
            <w:vAlign w:val="center"/>
          </w:tcPr>
          <w:p w:rsidR="002F64E0" w:rsidRPr="00C11493" w:rsidRDefault="00850602" w:rsidP="00850602">
            <w:pPr>
              <w:pStyle w:val="TableBody"/>
              <w:spacing w:beforeLines="20" w:before="48" w:afterLines="20" w:after="48"/>
              <w:rPr>
                <w:sz w:val="22"/>
                <w:szCs w:val="22"/>
              </w:rPr>
            </w:pPr>
            <w:r>
              <w:rPr>
                <w:sz w:val="22"/>
                <w:szCs w:val="22"/>
              </w:rPr>
              <w:t>471</w:t>
            </w:r>
          </w:p>
        </w:tc>
        <w:tc>
          <w:tcPr>
            <w:tcW w:w="1224" w:type="dxa"/>
            <w:shd w:val="clear" w:color="auto" w:fill="auto"/>
            <w:vAlign w:val="center"/>
          </w:tcPr>
          <w:p w:rsidR="002F64E0" w:rsidRPr="00C11493" w:rsidRDefault="00850602" w:rsidP="00136F0C">
            <w:pPr>
              <w:pStyle w:val="TableBody"/>
              <w:spacing w:beforeLines="20" w:before="48" w:afterLines="20" w:after="48"/>
              <w:rPr>
                <w:sz w:val="22"/>
                <w:szCs w:val="22"/>
              </w:rPr>
            </w:pPr>
            <w:r>
              <w:rPr>
                <w:sz w:val="22"/>
                <w:szCs w:val="22"/>
              </w:rPr>
              <w:t>5</w:t>
            </w:r>
            <w:r w:rsidR="00136F0C">
              <w:rPr>
                <w:sz w:val="22"/>
                <w:szCs w:val="22"/>
              </w:rPr>
              <w:t>8</w:t>
            </w:r>
          </w:p>
        </w:tc>
        <w:tc>
          <w:tcPr>
            <w:tcW w:w="1387"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MW/0.1Hz</w:t>
            </w:r>
          </w:p>
        </w:tc>
      </w:tr>
      <w:tr w:rsidR="000E6C33" w:rsidRPr="00C11493" w:rsidTr="004C7660">
        <w:trPr>
          <w:cantSplit/>
          <w:jc w:val="center"/>
        </w:trPr>
        <w:tc>
          <w:tcPr>
            <w:tcW w:w="2441"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Québec</w:t>
            </w:r>
          </w:p>
        </w:tc>
        <w:tc>
          <w:tcPr>
            <w:tcW w:w="1083" w:type="dxa"/>
            <w:shd w:val="clear" w:color="auto" w:fill="8DB5DA"/>
            <w:vAlign w:val="center"/>
          </w:tcPr>
          <w:p w:rsidR="000E6C33" w:rsidRPr="00C11493" w:rsidRDefault="000E6C33" w:rsidP="002F64E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2F64E0" w:rsidRPr="00C11493">
              <w:rPr>
                <w:rFonts w:asciiTheme="minorHAnsi" w:hAnsiTheme="minorHAnsi" w:cs="Arial"/>
                <w:b/>
                <w:szCs w:val="22"/>
              </w:rPr>
              <w:t>3</w:t>
            </w:r>
          </w:p>
        </w:tc>
        <w:tc>
          <w:tcPr>
            <w:tcW w:w="1224" w:type="dxa"/>
            <w:shd w:val="clear" w:color="auto" w:fill="8DB5DA"/>
            <w:vAlign w:val="center"/>
          </w:tcPr>
          <w:p w:rsidR="000E6C33" w:rsidRPr="00C11493" w:rsidRDefault="000E6C33" w:rsidP="002F64E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201</w:t>
            </w:r>
            <w:r w:rsidR="002F64E0" w:rsidRPr="00C11493">
              <w:rPr>
                <w:rFonts w:asciiTheme="minorHAnsi" w:hAnsiTheme="minorHAnsi" w:cs="Arial"/>
                <w:b/>
                <w:szCs w:val="22"/>
              </w:rPr>
              <w:t>4</w:t>
            </w:r>
          </w:p>
        </w:tc>
        <w:tc>
          <w:tcPr>
            <w:tcW w:w="1224"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Change</w:t>
            </w:r>
          </w:p>
        </w:tc>
        <w:tc>
          <w:tcPr>
            <w:tcW w:w="1387" w:type="dxa"/>
            <w:shd w:val="clear" w:color="auto" w:fill="8DB5DA"/>
            <w:vAlign w:val="center"/>
          </w:tcPr>
          <w:p w:rsidR="000E6C33" w:rsidRPr="00C11493" w:rsidRDefault="000E6C33" w:rsidP="004C7660">
            <w:pPr>
              <w:spacing w:beforeLines="20" w:before="48" w:afterLines="20" w:after="48"/>
              <w:jc w:val="center"/>
              <w:rPr>
                <w:rFonts w:asciiTheme="minorHAnsi" w:hAnsiTheme="minorHAnsi" w:cs="Arial"/>
                <w:b/>
                <w:szCs w:val="22"/>
              </w:rPr>
            </w:pPr>
            <w:r w:rsidRPr="00C11493">
              <w:rPr>
                <w:rFonts w:asciiTheme="minorHAnsi" w:hAnsiTheme="minorHAnsi" w:cs="Arial"/>
                <w:b/>
                <w:szCs w:val="22"/>
              </w:rPr>
              <w:t>Units</w:t>
            </w:r>
          </w:p>
        </w:tc>
      </w:tr>
      <w:tr w:rsidR="002F64E0" w:rsidRPr="00C11493" w:rsidTr="004C7660">
        <w:trPr>
          <w:cantSplit/>
          <w:jc w:val="center"/>
        </w:trPr>
        <w:tc>
          <w:tcPr>
            <w:tcW w:w="2441" w:type="dxa"/>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Starting Frequency</w:t>
            </w:r>
          </w:p>
        </w:tc>
        <w:tc>
          <w:tcPr>
            <w:tcW w:w="1083"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59.968</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59.968</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387"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Hz</w:t>
            </w:r>
          </w:p>
        </w:tc>
      </w:tr>
      <w:tr w:rsidR="002F64E0" w:rsidRPr="00C11493" w:rsidTr="004C7660">
        <w:trPr>
          <w:cantSplit/>
          <w:jc w:val="center"/>
        </w:trPr>
        <w:tc>
          <w:tcPr>
            <w:tcW w:w="2441" w:type="dxa"/>
            <w:shd w:val="clear" w:color="auto" w:fill="D5D5D5"/>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Max. Allowable Delta Frequency</w:t>
            </w:r>
          </w:p>
        </w:tc>
        <w:tc>
          <w:tcPr>
            <w:tcW w:w="1083"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0.947</w:t>
            </w:r>
          </w:p>
        </w:tc>
        <w:tc>
          <w:tcPr>
            <w:tcW w:w="1224"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0.927</w:t>
            </w:r>
          </w:p>
        </w:tc>
        <w:tc>
          <w:tcPr>
            <w:tcW w:w="1224" w:type="dxa"/>
            <w:shd w:val="clear" w:color="auto" w:fill="D5D5D5"/>
            <w:vAlign w:val="center"/>
          </w:tcPr>
          <w:p w:rsidR="002F64E0" w:rsidRPr="00C11493" w:rsidRDefault="002F64E0" w:rsidP="009D42E1">
            <w:pPr>
              <w:pStyle w:val="TableBody"/>
              <w:spacing w:beforeLines="20" w:before="48" w:afterLines="20" w:after="48"/>
              <w:rPr>
                <w:sz w:val="22"/>
                <w:szCs w:val="22"/>
              </w:rPr>
            </w:pPr>
            <w:r w:rsidRPr="00C11493">
              <w:rPr>
                <w:sz w:val="22"/>
                <w:szCs w:val="22"/>
              </w:rPr>
              <w:t>-0.0</w:t>
            </w:r>
            <w:r w:rsidR="009D42E1">
              <w:rPr>
                <w:sz w:val="22"/>
                <w:szCs w:val="22"/>
              </w:rPr>
              <w:t>20</w:t>
            </w:r>
          </w:p>
        </w:tc>
        <w:tc>
          <w:tcPr>
            <w:tcW w:w="1387"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Hz</w:t>
            </w:r>
          </w:p>
        </w:tc>
      </w:tr>
      <w:tr w:rsidR="002F64E0" w:rsidRPr="00C11493" w:rsidTr="004C7660">
        <w:trPr>
          <w:cantSplit/>
          <w:jc w:val="center"/>
        </w:trPr>
        <w:tc>
          <w:tcPr>
            <w:tcW w:w="2441" w:type="dxa"/>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 xml:space="preserve">Resource Contingency Protection Criteria </w:t>
            </w:r>
          </w:p>
        </w:tc>
        <w:tc>
          <w:tcPr>
            <w:tcW w:w="1083"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1,700</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1,700</w:t>
            </w:r>
          </w:p>
        </w:tc>
        <w:tc>
          <w:tcPr>
            <w:tcW w:w="1224" w:type="dxa"/>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387" w:type="dxa"/>
            <w:vAlign w:val="center"/>
          </w:tcPr>
          <w:p w:rsidR="002F64E0" w:rsidRPr="00C11493" w:rsidRDefault="002F64E0" w:rsidP="002F64E0">
            <w:pPr>
              <w:pStyle w:val="TableBody"/>
              <w:spacing w:beforeLines="20" w:before="48" w:afterLines="20" w:after="48"/>
              <w:rPr>
                <w:sz w:val="22"/>
                <w:szCs w:val="22"/>
              </w:rPr>
            </w:pPr>
            <w:r w:rsidRPr="00C11493">
              <w:rPr>
                <w:sz w:val="22"/>
                <w:szCs w:val="22"/>
              </w:rPr>
              <w:t>MW</w:t>
            </w:r>
          </w:p>
        </w:tc>
      </w:tr>
      <w:tr w:rsidR="002F64E0" w:rsidRPr="00C11493" w:rsidTr="004C7660">
        <w:trPr>
          <w:cantSplit/>
          <w:jc w:val="center"/>
        </w:trPr>
        <w:tc>
          <w:tcPr>
            <w:tcW w:w="2441" w:type="dxa"/>
            <w:shd w:val="clear" w:color="auto" w:fill="D5D5D5"/>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Credit for LR</w:t>
            </w:r>
          </w:p>
        </w:tc>
        <w:tc>
          <w:tcPr>
            <w:tcW w:w="1083"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224"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224"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rFonts w:ascii="Times New Roman" w:hAnsi="Times New Roman"/>
                <w:sz w:val="22"/>
                <w:szCs w:val="22"/>
              </w:rPr>
              <w:t>–</w:t>
            </w:r>
          </w:p>
        </w:tc>
        <w:tc>
          <w:tcPr>
            <w:tcW w:w="1387" w:type="dxa"/>
            <w:shd w:val="clear" w:color="auto" w:fill="D5D5D5"/>
            <w:vAlign w:val="center"/>
          </w:tcPr>
          <w:p w:rsidR="002F64E0" w:rsidRPr="00C11493" w:rsidRDefault="002F64E0" w:rsidP="002F64E0">
            <w:pPr>
              <w:pStyle w:val="TableBody"/>
              <w:spacing w:beforeLines="20" w:before="48" w:afterLines="20" w:after="48"/>
              <w:rPr>
                <w:sz w:val="22"/>
                <w:szCs w:val="22"/>
              </w:rPr>
            </w:pPr>
            <w:r w:rsidRPr="00C11493">
              <w:rPr>
                <w:sz w:val="22"/>
                <w:szCs w:val="22"/>
              </w:rPr>
              <w:t>MW</w:t>
            </w:r>
          </w:p>
        </w:tc>
      </w:tr>
      <w:tr w:rsidR="002F64E0" w:rsidRPr="00C11493" w:rsidTr="004C7660">
        <w:trPr>
          <w:cantSplit/>
          <w:jc w:val="center"/>
        </w:trPr>
        <w:tc>
          <w:tcPr>
            <w:tcW w:w="2441" w:type="dxa"/>
            <w:shd w:val="clear" w:color="auto" w:fill="auto"/>
            <w:vAlign w:val="center"/>
          </w:tcPr>
          <w:p w:rsidR="002F64E0" w:rsidRPr="00C11493" w:rsidRDefault="002F64E0" w:rsidP="002F64E0">
            <w:pPr>
              <w:pStyle w:val="TableBody"/>
              <w:spacing w:beforeLines="20" w:before="48" w:afterLines="20" w:after="48"/>
              <w:jc w:val="left"/>
              <w:rPr>
                <w:sz w:val="22"/>
                <w:szCs w:val="22"/>
              </w:rPr>
            </w:pPr>
            <w:r w:rsidRPr="00C11493">
              <w:rPr>
                <w:sz w:val="22"/>
                <w:szCs w:val="22"/>
              </w:rPr>
              <w:t>Absolute Value of IFRO</w:t>
            </w:r>
          </w:p>
        </w:tc>
        <w:tc>
          <w:tcPr>
            <w:tcW w:w="1083"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180</w:t>
            </w:r>
          </w:p>
        </w:tc>
        <w:tc>
          <w:tcPr>
            <w:tcW w:w="1224"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183</w:t>
            </w:r>
          </w:p>
        </w:tc>
        <w:tc>
          <w:tcPr>
            <w:tcW w:w="1224"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3</w:t>
            </w:r>
          </w:p>
        </w:tc>
        <w:tc>
          <w:tcPr>
            <w:tcW w:w="1387" w:type="dxa"/>
            <w:shd w:val="clear" w:color="auto" w:fill="auto"/>
            <w:vAlign w:val="center"/>
          </w:tcPr>
          <w:p w:rsidR="002F64E0" w:rsidRPr="00C11493" w:rsidRDefault="002F64E0" w:rsidP="002F64E0">
            <w:pPr>
              <w:pStyle w:val="TableBody"/>
              <w:spacing w:beforeLines="20" w:before="48" w:afterLines="20" w:after="48"/>
              <w:rPr>
                <w:sz w:val="22"/>
                <w:szCs w:val="22"/>
              </w:rPr>
            </w:pPr>
            <w:r w:rsidRPr="00C11493">
              <w:rPr>
                <w:sz w:val="22"/>
                <w:szCs w:val="22"/>
              </w:rPr>
              <w:t>MW/0.1Hz</w:t>
            </w:r>
          </w:p>
        </w:tc>
      </w:tr>
    </w:tbl>
    <w:p w:rsidR="000E6C33" w:rsidRDefault="000E6C33" w:rsidP="00E82BC7"/>
    <w:p w:rsidR="000E6C33" w:rsidRDefault="000E6C33" w:rsidP="000E6C33">
      <w:r>
        <w:t xml:space="preserve">There is a </w:t>
      </w:r>
      <w:r w:rsidR="00850602">
        <w:t>58 MW in</w:t>
      </w:r>
      <w:r>
        <w:t>crease in the ERCOT Interconnection IFRO caused by:</w:t>
      </w:r>
    </w:p>
    <w:p w:rsidR="000E6C33" w:rsidRDefault="000E6C33" w:rsidP="000E6C33"/>
    <w:p w:rsidR="000E6C33" w:rsidRDefault="000E6C33" w:rsidP="00866C29">
      <w:pPr>
        <w:pStyle w:val="ListParagraph"/>
        <w:numPr>
          <w:ilvl w:val="0"/>
          <w:numId w:val="27"/>
        </w:numPr>
      </w:pPr>
      <w:r>
        <w:t xml:space="preserve">The </w:t>
      </w:r>
      <w:r w:rsidR="002F64E0">
        <w:t>59</w:t>
      </w:r>
      <w:r>
        <w:t xml:space="preserve"> mHz reduction in the ERCOT Interconnection maximum allowable delta frequency; </w:t>
      </w:r>
      <w:r w:rsidR="002F64E0">
        <w:t xml:space="preserve">offset </w:t>
      </w:r>
      <w:r w:rsidR="00136F0C">
        <w:t>only slightly</w:t>
      </w:r>
    </w:p>
    <w:p w:rsidR="000E6C33" w:rsidRDefault="000E6C33" w:rsidP="00607521">
      <w:pPr>
        <w:pStyle w:val="ListParagraph"/>
        <w:numPr>
          <w:ilvl w:val="0"/>
          <w:numId w:val="29"/>
        </w:numPr>
      </w:pPr>
      <w:r>
        <w:t xml:space="preserve">The </w:t>
      </w:r>
      <w:r w:rsidR="00136F0C">
        <w:t>14</w:t>
      </w:r>
      <w:r w:rsidR="002F64E0">
        <w:t xml:space="preserve"> MW in</w:t>
      </w:r>
      <w:r>
        <w:t>crease in the load resources credit, as discussed in the Credit for Load Resources (CLR) section of this report.</w:t>
      </w:r>
    </w:p>
    <w:p w:rsidR="000E6C33" w:rsidRDefault="000E6C33" w:rsidP="000E6C33"/>
    <w:p w:rsidR="000E6C33" w:rsidRDefault="000E6C33" w:rsidP="000E6C33">
      <w:r>
        <w:t>There is only a minor change to the Québec Interconnection IFRO caused by the 0.0</w:t>
      </w:r>
      <w:r w:rsidR="009D42E1">
        <w:t>20</w:t>
      </w:r>
      <w:r>
        <w:t xml:space="preserve"> Hz decrease in </w:t>
      </w:r>
      <w:r w:rsidR="009D42E1">
        <w:t>the maximum allowable delta frequency due to the first-time application of a CC</w:t>
      </w:r>
      <w:r w:rsidR="009D42E1" w:rsidRPr="00E131D5">
        <w:rPr>
          <w:vertAlign w:val="subscript"/>
        </w:rPr>
        <w:t>ADJ</w:t>
      </w:r>
      <w:r w:rsidR="009D42E1">
        <w:t xml:space="preserve"> adjustment (no data was available in previous years)</w:t>
      </w:r>
      <w:r>
        <w:t>.</w:t>
      </w:r>
    </w:p>
    <w:p w:rsidR="000E6C33" w:rsidRDefault="000E6C33" w:rsidP="00E82BC7"/>
    <w:p w:rsidR="00D354FC" w:rsidRDefault="00D354FC" w:rsidP="00D354FC">
      <w:pPr>
        <w:pStyle w:val="ListBullet"/>
        <w:numPr>
          <w:ilvl w:val="0"/>
          <w:numId w:val="0"/>
        </w:numPr>
      </w:pPr>
    </w:p>
    <w:p w:rsidR="00CD2259" w:rsidRPr="00521EB9" w:rsidRDefault="00CD2259" w:rsidP="00D354FC">
      <w:pPr>
        <w:pStyle w:val="ListBullet"/>
        <w:numPr>
          <w:ilvl w:val="0"/>
          <w:numId w:val="0"/>
        </w:numPr>
        <w:sectPr w:rsidR="00CD2259" w:rsidRPr="00521EB9" w:rsidSect="00607521">
          <w:footerReference w:type="default" r:id="rId30"/>
          <w:pgSz w:w="12240" w:h="15840" w:code="1"/>
          <w:pgMar w:top="1008" w:right="1080" w:bottom="1080" w:left="1080" w:header="720" w:footer="432" w:gutter="0"/>
          <w:cols w:space="720"/>
          <w:titlePg/>
          <w:docGrid w:linePitch="360"/>
        </w:sectPr>
      </w:pPr>
    </w:p>
    <w:p w:rsidR="00EE5E51" w:rsidRDefault="0057751A" w:rsidP="006B0920">
      <w:pPr>
        <w:pStyle w:val="Heading1"/>
      </w:pPr>
      <w:bookmarkStart w:id="25" w:name="_Toc375919803"/>
      <w:bookmarkStart w:id="26" w:name="_Toc408812273"/>
      <w:r>
        <w:t>Dynamics Analysis of Recommended IFROs</w:t>
      </w:r>
      <w:bookmarkEnd w:id="25"/>
      <w:bookmarkEnd w:id="26"/>
    </w:p>
    <w:p w:rsidR="0057751A" w:rsidRDefault="0057751A" w:rsidP="00BE1A9C">
      <w:r>
        <w:t>Off-peak dynamics analysis was performed for the recommended IFROs for the Eastern, Western, and ERCOT Interconnections to determine if those levels of primary frequency response are adequate to avoid tripping of the first stage of regionally approved UFLS systems in the interconnection. Light-load cases prepared by each of the interconnections were used for the analyses. In each case, the dynamic governor responses were de-tuned until the primary frequency response of the interconnection matched the recommended IFRO value for the prescribed resource loss.</w:t>
      </w:r>
      <w:r w:rsidRPr="009A37D0">
        <w:t xml:space="preserve"> </w:t>
      </w:r>
      <w:r>
        <w:t xml:space="preserve">In all three simulations, the effects of automatic generation control (AGC), which typically starts to influence Frequency Response in the 30-45 second time frame, were not modeled. This causes the modeled withdrawal of primary frequency response to be exaggerated (see </w:t>
      </w:r>
      <w:r w:rsidR="001D694D">
        <w:t>F</w:t>
      </w:r>
      <w:r>
        <w:t>igure 9).</w:t>
      </w:r>
    </w:p>
    <w:p w:rsidR="00BE1A9C" w:rsidRDefault="00BE1A9C" w:rsidP="00BE1A9C"/>
    <w:p w:rsidR="0057751A" w:rsidRDefault="0057751A" w:rsidP="00BE1A9C">
      <w:r>
        <w:t>For the Eastern Interconnection, a</w:t>
      </w:r>
      <w:r w:rsidR="00B46AD9">
        <w:t xml:space="preserve"> 2014 light-load case </w:t>
      </w:r>
      <w:r w:rsidR="00593437">
        <w:t xml:space="preserve">was </w:t>
      </w:r>
      <w:r w:rsidR="00B46AD9">
        <w:t>for the analysis that reflects models of the actual governors and a best estimate of units participating in response.</w:t>
      </w:r>
      <w:r w:rsidR="00593437" w:rsidRPr="00593437">
        <w:t xml:space="preserve"> </w:t>
      </w:r>
      <w:r w:rsidR="00593437">
        <w:t>That case was created by the Eastern Interconnection Reliability</w:t>
      </w:r>
      <w:r w:rsidR="00593437" w:rsidRPr="00913B82">
        <w:t xml:space="preserve"> Assessment Group</w:t>
      </w:r>
      <w:r w:rsidR="00593437">
        <w:t xml:space="preserve"> (ERAG) </w:t>
      </w:r>
      <w:r w:rsidR="00593437" w:rsidRPr="00913B82">
        <w:t>Multiregional Modeling Working Group</w:t>
      </w:r>
      <w:r w:rsidR="00593437">
        <w:t xml:space="preserve"> (MMWG). In the 2013 analysis, a </w:t>
      </w:r>
      <w:r>
        <w:t>2013 light-load “generic” dynamics case was used</w:t>
      </w:r>
      <w:r w:rsidR="00593437">
        <w:t xml:space="preserve">, created </w:t>
      </w:r>
      <w:r>
        <w:t>by replacing the turbine governor models in the case with a generic governor model</w:t>
      </w:r>
      <w:r w:rsidR="00593437">
        <w:t xml:space="preserve">. A comparison is shown in this Figure </w:t>
      </w:r>
      <w:r w:rsidR="001D694D">
        <w:t>9</w:t>
      </w:r>
      <w:r w:rsidR="00593437">
        <w:t>.</w:t>
      </w:r>
    </w:p>
    <w:p w:rsidR="00BE1A9C" w:rsidRDefault="00BE1A9C" w:rsidP="00BE1A9C"/>
    <w:p w:rsidR="0057751A" w:rsidRDefault="0057751A" w:rsidP="0057751A">
      <w:pPr>
        <w:pStyle w:val="BodyText"/>
      </w:pPr>
      <w:r>
        <w:t>In all three interconnections analyzed, the recommended Frequency Response maintained frequency above the highest UFLS set point. Figures 9–11 show the results of the dynamics analyses.</w:t>
      </w:r>
    </w:p>
    <w:p w:rsidR="00A36E9A" w:rsidRDefault="00593437" w:rsidP="00A36E9A">
      <w:pPr>
        <w:pStyle w:val="BodyText"/>
        <w:keepNext/>
        <w:jc w:val="center"/>
      </w:pPr>
      <w:r w:rsidRPr="00593437">
        <w:rPr>
          <w:noProof/>
        </w:rPr>
        <w:drawing>
          <wp:inline distT="0" distB="0" distL="0" distR="0" wp14:anchorId="3EB1FE53" wp14:editId="7C179B19">
            <wp:extent cx="3867912" cy="3657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67912" cy="3657600"/>
                    </a:xfrm>
                    <a:prstGeom prst="rect">
                      <a:avLst/>
                    </a:prstGeom>
                    <a:noFill/>
                    <a:ln>
                      <a:noFill/>
                    </a:ln>
                  </pic:spPr>
                </pic:pic>
              </a:graphicData>
            </a:graphic>
          </wp:inline>
        </w:drawing>
      </w:r>
    </w:p>
    <w:p w:rsidR="00A36E9A" w:rsidRPr="00A36E9A" w:rsidRDefault="00A36E9A" w:rsidP="00A36E9A">
      <w:pPr>
        <w:pStyle w:val="CaptionNERC"/>
      </w:pPr>
      <w:r w:rsidRPr="00A36E9A">
        <w:t xml:space="preserve">Figure </w:t>
      </w:r>
      <w:fldSimple w:instr=" SEQ Figure \* ARABIC ">
        <w:r w:rsidR="00897B0A">
          <w:rPr>
            <w:noProof/>
          </w:rPr>
          <w:t>9</w:t>
        </w:r>
      </w:fldSimple>
      <w:r w:rsidRPr="00A36E9A">
        <w:t>:</w:t>
      </w:r>
      <w:r>
        <w:t xml:space="preserve"> </w:t>
      </w:r>
      <w:r w:rsidRPr="00A36E9A">
        <w:t>Eastern Interconnection Frequency Response Simulation</w:t>
      </w:r>
    </w:p>
    <w:p w:rsidR="0046102B" w:rsidRDefault="0046102B" w:rsidP="0057751A">
      <w:pPr>
        <w:pStyle w:val="BodyText"/>
      </w:pPr>
      <w:r>
        <w:br w:type="page"/>
      </w:r>
    </w:p>
    <w:p w:rsidR="0046102B" w:rsidRDefault="0046102B" w:rsidP="00E613A9">
      <w:pPr>
        <w:jc w:val="center"/>
      </w:pPr>
      <w:r w:rsidRPr="0046102B">
        <w:rPr>
          <w:noProof/>
        </w:rPr>
        <w:drawing>
          <wp:inline distT="0" distB="0" distL="0" distR="0" wp14:anchorId="643AB108" wp14:editId="2FCDE904">
            <wp:extent cx="3529584" cy="3657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9584" cy="3657600"/>
                    </a:xfrm>
                    <a:prstGeom prst="rect">
                      <a:avLst/>
                    </a:prstGeom>
                    <a:noFill/>
                    <a:ln>
                      <a:noFill/>
                    </a:ln>
                  </pic:spPr>
                </pic:pic>
              </a:graphicData>
            </a:graphic>
          </wp:inline>
        </w:drawing>
      </w:r>
    </w:p>
    <w:p w:rsidR="0057751A" w:rsidRDefault="0046102B" w:rsidP="0046102B">
      <w:pPr>
        <w:pStyle w:val="CaptionNERC"/>
      </w:pPr>
      <w:r>
        <w:t xml:space="preserve">Figure </w:t>
      </w:r>
      <w:fldSimple w:instr=" SEQ Figure \* ARABIC ">
        <w:r w:rsidR="00897B0A">
          <w:rPr>
            <w:noProof/>
          </w:rPr>
          <w:t>10</w:t>
        </w:r>
      </w:fldSimple>
      <w:r>
        <w:t xml:space="preserve">: </w:t>
      </w:r>
      <w:r w:rsidRPr="002666A0">
        <w:t>Western Interconnection Frequency Response Simulation</w:t>
      </w:r>
    </w:p>
    <w:p w:rsidR="0046102B" w:rsidRDefault="0046102B" w:rsidP="0046102B"/>
    <w:p w:rsidR="00E613A9" w:rsidRDefault="0046102B" w:rsidP="0046102B">
      <w:r>
        <w:t xml:space="preserve">Dynamic simulation of the Western Interconnection 906 MW/0.1 </w:t>
      </w:r>
      <w:r w:rsidR="00E613A9">
        <w:t>Hz IFRO shows a resulting 59.63 Hz Point C. Similarly, simulation of the ERCOT Interconnection 471 MW/0.1 Hz IFRO shows a resulting 59.39 Hz Point C.</w:t>
      </w:r>
    </w:p>
    <w:p w:rsidR="0046102B" w:rsidRDefault="0046102B" w:rsidP="0046102B"/>
    <w:p w:rsidR="00E613A9" w:rsidRDefault="00E613A9" w:rsidP="00E613A9">
      <w:pPr>
        <w:keepNext/>
        <w:jc w:val="center"/>
      </w:pPr>
      <w:r w:rsidRPr="00E613A9">
        <w:rPr>
          <w:noProof/>
        </w:rPr>
        <w:drawing>
          <wp:inline distT="0" distB="0" distL="0" distR="0" wp14:anchorId="128F97C2" wp14:editId="3B93C244">
            <wp:extent cx="3749040" cy="347472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49040" cy="3474720"/>
                    </a:xfrm>
                    <a:prstGeom prst="rect">
                      <a:avLst/>
                    </a:prstGeom>
                    <a:noFill/>
                    <a:ln>
                      <a:noFill/>
                    </a:ln>
                  </pic:spPr>
                </pic:pic>
              </a:graphicData>
            </a:graphic>
          </wp:inline>
        </w:drawing>
      </w:r>
    </w:p>
    <w:p w:rsidR="00E613A9" w:rsidRDefault="00E613A9" w:rsidP="00E613A9">
      <w:pPr>
        <w:pStyle w:val="CaptionNERC"/>
      </w:pPr>
      <w:r>
        <w:t xml:space="preserve">Figure </w:t>
      </w:r>
      <w:fldSimple w:instr=" SEQ Figure \* ARABIC ">
        <w:r w:rsidR="00897B0A">
          <w:rPr>
            <w:noProof/>
          </w:rPr>
          <w:t>11</w:t>
        </w:r>
      </w:fldSimple>
      <w:r>
        <w:t xml:space="preserve">: </w:t>
      </w:r>
      <w:r w:rsidRPr="005C4D78">
        <w:t>ERCOT Interconnection Frequency Response Simulation</w:t>
      </w:r>
    </w:p>
    <w:p w:rsidR="00381B6F" w:rsidRDefault="00381B6F" w:rsidP="00381B6F"/>
    <w:p w:rsidR="006F7889" w:rsidRDefault="006F7889" w:rsidP="00381B6F">
      <w:pPr>
        <w:sectPr w:rsidR="006F7889" w:rsidSect="00607521">
          <w:headerReference w:type="default" r:id="rId34"/>
          <w:headerReference w:type="first" r:id="rId35"/>
          <w:footerReference w:type="first" r:id="rId36"/>
          <w:pgSz w:w="12240" w:h="15840" w:code="1"/>
          <w:pgMar w:top="1008" w:right="1080" w:bottom="1080" w:left="1080" w:header="864" w:footer="432" w:gutter="0"/>
          <w:cols w:space="720"/>
          <w:titlePg/>
          <w:docGrid w:linePitch="360"/>
        </w:sectPr>
      </w:pPr>
    </w:p>
    <w:p w:rsidR="006F7889" w:rsidRDefault="006F7889" w:rsidP="006F7889">
      <w:pPr>
        <w:pStyle w:val="Heading1"/>
      </w:pPr>
      <w:bookmarkStart w:id="27" w:name="_Toc408812274"/>
      <w:r>
        <w:t>Data Problems and Corrective Action Taken</w:t>
      </w:r>
      <w:bookmarkEnd w:id="27"/>
    </w:p>
    <w:p w:rsidR="00085BDE" w:rsidRDefault="00BB6C49" w:rsidP="00BE1A9C">
      <w:r>
        <w:t xml:space="preserve">Several data problems were discovered and corrected during the 2014 analysis of frequency characteristics and frequency </w:t>
      </w:r>
      <w:r w:rsidR="00BE1A9C">
        <w:t>response performance.</w:t>
      </w:r>
    </w:p>
    <w:p w:rsidR="00BE1A9C" w:rsidRDefault="00BE1A9C" w:rsidP="00BE1A9C"/>
    <w:p w:rsidR="00BE1A9C" w:rsidRDefault="00BB6C49" w:rsidP="00866C29">
      <w:pPr>
        <w:pStyle w:val="BodyText"/>
        <w:numPr>
          <w:ilvl w:val="0"/>
          <w:numId w:val="28"/>
        </w:numPr>
      </w:pPr>
      <w:r>
        <w:t xml:space="preserve">Frequency event selection errors during 2013 were found in the ALR 1-12 Frequency Response metric presented in the </w:t>
      </w:r>
      <w:r w:rsidR="000020F0" w:rsidRPr="00A40C2F">
        <w:rPr>
          <w:i/>
        </w:rPr>
        <w:t>State of Reliability 2014</w:t>
      </w:r>
      <w:r w:rsidR="000020F0">
        <w:t xml:space="preserve"> </w:t>
      </w:r>
      <w:r>
        <w:t xml:space="preserve">report. This resulted in 19 </w:t>
      </w:r>
      <w:r w:rsidR="00EE4A3A">
        <w:t xml:space="preserve">Eastern Interconnection events </w:t>
      </w:r>
      <w:r>
        <w:t>being eliminated from the ALR 1-12 events. The analysis for the Eastern Interconnection is corrected in this report and that correction has been made to the NERC Reliability Indicators dashboard.</w:t>
      </w:r>
      <w:r>
        <w:rPr>
          <w:rStyle w:val="FootnoteReference"/>
        </w:rPr>
        <w:footnoteReference w:id="31"/>
      </w:r>
      <w:r>
        <w:t xml:space="preserve"> </w:t>
      </w:r>
    </w:p>
    <w:p w:rsidR="00BE1A9C" w:rsidRDefault="00BB6C49" w:rsidP="00866C29">
      <w:pPr>
        <w:pStyle w:val="BodyText"/>
        <w:numPr>
          <w:ilvl w:val="0"/>
          <w:numId w:val="28"/>
        </w:numPr>
      </w:pPr>
      <w:r>
        <w:t>Frequency step-change</w:t>
      </w:r>
      <w:r>
        <w:rPr>
          <w:rStyle w:val="FootnoteReference"/>
        </w:rPr>
        <w:footnoteReference w:id="32"/>
      </w:r>
      <w:r>
        <w:t xml:space="preserve"> anomalies were found in the 2013 1-second Eastern Interconnection frequency data used to determine the starting frequency for the IFRO calculations. The problem was traced back to toggling back and forth between two data sources in the calculation of the 1-second averaged data. The entire 2013 1-second database was recalculated to correct the problem.</w:t>
      </w:r>
    </w:p>
    <w:p w:rsidR="00BB6C49" w:rsidRDefault="00BB6C49" w:rsidP="00866C29">
      <w:pPr>
        <w:pStyle w:val="BodyText"/>
        <w:numPr>
          <w:ilvl w:val="0"/>
          <w:numId w:val="28"/>
        </w:numPr>
      </w:pPr>
      <w:r>
        <w:t>An error was discovered in several start times for frequency events in the Eastern</w:t>
      </w:r>
      <w:r w:rsidR="004337AE">
        <w:t xml:space="preserve">, </w:t>
      </w:r>
      <w:r w:rsidR="004337AE" w:rsidRPr="004337AE">
        <w:t xml:space="preserve">Western, ERCOT, and </w:t>
      </w:r>
      <w:r w:rsidR="004337AE">
        <w:t>Qu</w:t>
      </w:r>
      <w:r w:rsidR="004337AE" w:rsidRPr="004337AE">
        <w:t>ébec</w:t>
      </w:r>
      <w:r>
        <w:t xml:space="preserve"> Interconnection</w:t>
      </w:r>
      <w:r w:rsidR="004337AE">
        <w:t>s</w:t>
      </w:r>
      <w:r>
        <w:t xml:space="preserve"> starting in July 2013.</w:t>
      </w:r>
      <w:r>
        <w:rPr>
          <w:rStyle w:val="FootnoteReference"/>
        </w:rPr>
        <w:footnoteReference w:id="33"/>
      </w:r>
      <w:r>
        <w:t xml:space="preserve"> The problem arose from a sign error in an adjustment factor used to remove a time skew inherent in the high-speed metrology; instead of removing the time skew, the adjustment factor was doubling it. This impacted several of the adjustment factors used in the IFRO calculation related to Point C. The error was corrected and all timing of frequency events have been recalculated for this and future analyses.</w:t>
      </w:r>
    </w:p>
    <w:p w:rsidR="004337AE" w:rsidRDefault="004337AE" w:rsidP="004337AE">
      <w:pPr>
        <w:pStyle w:val="BodyText"/>
        <w:numPr>
          <w:ilvl w:val="0"/>
          <w:numId w:val="28"/>
        </w:numPr>
      </w:pPr>
      <w:r w:rsidRPr="004337AE">
        <w:t>Several sources of sub-second data were determined to be in maintenance/offline mode, which resulted in the provision of inaccurate sub-second frequency data. The sub-second data was corrected by replacing the erroneous sources with data from operational data sources available during frequency events.</w:t>
      </w:r>
    </w:p>
    <w:p w:rsidR="00BB6C49" w:rsidRDefault="00BE1A9C" w:rsidP="00BE1A9C">
      <w:pPr>
        <w:tabs>
          <w:tab w:val="left" w:pos="180"/>
        </w:tabs>
      </w:pPr>
      <w:r w:rsidRPr="00BE1A9C">
        <w:rPr>
          <w:b/>
        </w:rPr>
        <w:t>Recommendation</w:t>
      </w:r>
      <w:r>
        <w:t>: Monthly processing of 1-second data and weekly review of frequency event candidates for both ALR 1-12 and BAL-003-1 are recommended to discover problems sooner and ensure consistency in event selection.</w:t>
      </w:r>
    </w:p>
    <w:p w:rsidR="00BE1A9C" w:rsidRDefault="00BE1A9C" w:rsidP="00BE1A9C"/>
    <w:p w:rsidR="00085BDE" w:rsidRPr="00085BDE" w:rsidRDefault="00085BDE" w:rsidP="00085BDE"/>
    <w:p w:rsidR="008A3DFA" w:rsidRPr="00085BDE" w:rsidRDefault="008A3DFA" w:rsidP="006F7889">
      <w:pPr>
        <w:tabs>
          <w:tab w:val="left" w:pos="3735"/>
        </w:tabs>
        <w:sectPr w:rsidR="008A3DFA" w:rsidRPr="00085BDE" w:rsidSect="00607521">
          <w:pgSz w:w="12240" w:h="15840" w:code="1"/>
          <w:pgMar w:top="1008" w:right="1080" w:bottom="1080" w:left="1080" w:header="864" w:footer="432" w:gutter="0"/>
          <w:cols w:space="720"/>
          <w:titlePg/>
          <w:docGrid w:linePitch="360"/>
        </w:sectPr>
      </w:pPr>
    </w:p>
    <w:p w:rsidR="00E44C85" w:rsidRDefault="00E44C85" w:rsidP="00E44C85">
      <w:pPr>
        <w:pStyle w:val="Heading1"/>
      </w:pPr>
      <w:bookmarkStart w:id="28" w:name="_Toc408812275"/>
      <w:r>
        <w:t xml:space="preserve">Recommendations for </w:t>
      </w:r>
      <w:r w:rsidR="00CB4003">
        <w:t xml:space="preserve">ALR 1-12 Frequency Event Detection and Selection </w:t>
      </w:r>
      <w:r>
        <w:t>Process Changes</w:t>
      </w:r>
      <w:bookmarkEnd w:id="28"/>
    </w:p>
    <w:p w:rsidR="00E44C85" w:rsidRDefault="00BE1A9C" w:rsidP="00BE1A9C">
      <w:r>
        <w:t xml:space="preserve">In examining the frequency event selection process for ALR 1-12, the NERC Resources Subcommittee and NERC staff found that process to be too restrictive in event selection, potentially skewing the statistical analysis results of frequency response performed for the annual </w:t>
      </w:r>
      <w:r w:rsidRPr="000020F0">
        <w:rPr>
          <w:i/>
        </w:rPr>
        <w:t>State of Reliability</w:t>
      </w:r>
      <w:r>
        <w:t xml:space="preserve"> report. The selection process discounted events that started above 60 Hz and did not </w:t>
      </w:r>
      <w:r w:rsidR="0032263E">
        <w:t>fall below certain thresholds. Doing so tends to corrupt any analysis of the statistical relationship between frequency response performance and starting frequency or ending frequency, and potentially eliminates events of high frequency response performance for large events or low frequency response for large MW changes in an interconnection.</w:t>
      </w:r>
    </w:p>
    <w:p w:rsidR="0032263E" w:rsidRDefault="0032263E" w:rsidP="00BE1A9C"/>
    <w:p w:rsidR="0032263E" w:rsidRDefault="0032263E" w:rsidP="00BE1A9C">
      <w:r>
        <w:t xml:space="preserve">Table 16 details the event </w:t>
      </w:r>
      <w:r w:rsidR="008A4EF2">
        <w:t xml:space="preserve">detection and </w:t>
      </w:r>
      <w:r>
        <w:t xml:space="preserve">selection </w:t>
      </w:r>
      <w:r w:rsidR="008A4EF2">
        <w:t>triggers.</w:t>
      </w:r>
    </w:p>
    <w:p w:rsidR="0032263E" w:rsidRDefault="0032263E" w:rsidP="00BE1A9C"/>
    <w:tbl>
      <w:tblPr>
        <w:tblW w:w="7517" w:type="dxa"/>
        <w:jc w:val="center"/>
        <w:tblBorders>
          <w:top w:val="single" w:sz="6" w:space="0" w:color="1A3B62"/>
          <w:left w:val="single" w:sz="6" w:space="0" w:color="1A3B62"/>
          <w:bottom w:val="single" w:sz="6" w:space="0" w:color="1A3B62"/>
          <w:right w:val="single" w:sz="6" w:space="0" w:color="1A3B62"/>
          <w:insideH w:val="single" w:sz="6" w:space="0" w:color="1A3B62"/>
          <w:insideV w:val="single" w:sz="6" w:space="0" w:color="1A3B62"/>
        </w:tblBorders>
        <w:tblLayout w:type="fixed"/>
        <w:tblLook w:val="01E0" w:firstRow="1" w:lastRow="1" w:firstColumn="1" w:lastColumn="1" w:noHBand="0" w:noVBand="0"/>
      </w:tblPr>
      <w:tblGrid>
        <w:gridCol w:w="2512"/>
        <w:gridCol w:w="1251"/>
        <w:gridCol w:w="1251"/>
        <w:gridCol w:w="1251"/>
        <w:gridCol w:w="1252"/>
      </w:tblGrid>
      <w:tr w:rsidR="00B26502" w:rsidRPr="00C11493" w:rsidTr="00367FEE">
        <w:trPr>
          <w:cantSplit/>
          <w:trHeight w:val="432"/>
          <w:jc w:val="center"/>
        </w:trPr>
        <w:tc>
          <w:tcPr>
            <w:tcW w:w="7517" w:type="dxa"/>
            <w:gridSpan w:val="5"/>
            <w:shd w:val="clear" w:color="auto" w:fill="214D74"/>
            <w:vAlign w:val="center"/>
          </w:tcPr>
          <w:p w:rsidR="00B26502" w:rsidRPr="00C11493" w:rsidRDefault="00B26502" w:rsidP="0032263E">
            <w:pPr>
              <w:spacing w:beforeLines="20" w:before="48" w:afterLines="20" w:after="48"/>
              <w:jc w:val="center"/>
              <w:rPr>
                <w:rFonts w:asciiTheme="minorHAnsi" w:hAnsiTheme="minorHAnsi" w:cs="Arial"/>
                <w:szCs w:val="22"/>
              </w:rPr>
            </w:pPr>
            <w:r w:rsidRPr="00C11493">
              <w:rPr>
                <w:rFonts w:cs="Arial"/>
                <w:b/>
                <w:color w:val="FFFFFF"/>
                <w:szCs w:val="22"/>
              </w:rPr>
              <w:t xml:space="preserve">Table </w:t>
            </w:r>
            <w:r>
              <w:rPr>
                <w:rFonts w:cs="Arial"/>
                <w:b/>
                <w:color w:val="FFFFFF"/>
                <w:szCs w:val="22"/>
              </w:rPr>
              <w:t>16</w:t>
            </w:r>
            <w:r w:rsidRPr="00C11493">
              <w:rPr>
                <w:rFonts w:cs="Arial"/>
                <w:b/>
                <w:color w:val="FFFFFF"/>
                <w:szCs w:val="22"/>
              </w:rPr>
              <w:t xml:space="preserve">: </w:t>
            </w:r>
            <w:r>
              <w:rPr>
                <w:rFonts w:cs="Arial"/>
                <w:b/>
                <w:color w:val="FFFFFF"/>
                <w:szCs w:val="22"/>
              </w:rPr>
              <w:t>ALR 1-12 Frequency Event Candidate Triggers</w:t>
            </w:r>
          </w:p>
        </w:tc>
      </w:tr>
      <w:tr w:rsidR="00B26502" w:rsidRPr="00C11493" w:rsidTr="00CB4003">
        <w:trPr>
          <w:cantSplit/>
          <w:jc w:val="center"/>
        </w:trPr>
        <w:tc>
          <w:tcPr>
            <w:tcW w:w="2512" w:type="dxa"/>
            <w:vMerge w:val="restart"/>
            <w:shd w:val="clear" w:color="auto" w:fill="8DB5DA"/>
            <w:vAlign w:val="center"/>
          </w:tcPr>
          <w:p w:rsidR="00B26502" w:rsidRDefault="00B26502" w:rsidP="00A875BF">
            <w:pPr>
              <w:spacing w:beforeLines="20" w:before="48" w:afterLines="20" w:after="48"/>
              <w:jc w:val="center"/>
              <w:rPr>
                <w:rFonts w:asciiTheme="minorHAnsi" w:hAnsiTheme="minorHAnsi" w:cs="Arial"/>
                <w:b/>
                <w:szCs w:val="22"/>
              </w:rPr>
            </w:pPr>
            <w:r>
              <w:rPr>
                <w:rFonts w:asciiTheme="minorHAnsi" w:hAnsiTheme="minorHAnsi" w:cs="Arial"/>
                <w:b/>
                <w:szCs w:val="22"/>
              </w:rPr>
              <w:t>Interconnection</w:t>
            </w:r>
          </w:p>
        </w:tc>
        <w:tc>
          <w:tcPr>
            <w:tcW w:w="2502" w:type="dxa"/>
            <w:gridSpan w:val="2"/>
            <w:shd w:val="clear" w:color="auto" w:fill="8DB5DA"/>
            <w:vAlign w:val="center"/>
          </w:tcPr>
          <w:p w:rsidR="00B26502" w:rsidRPr="00C11493" w:rsidRDefault="00B26502" w:rsidP="00A875BF">
            <w:pPr>
              <w:spacing w:beforeLines="20" w:before="48" w:afterLines="20" w:after="48"/>
              <w:jc w:val="center"/>
              <w:rPr>
                <w:rFonts w:asciiTheme="minorHAnsi" w:hAnsiTheme="minorHAnsi" w:cs="Arial"/>
                <w:b/>
                <w:szCs w:val="22"/>
              </w:rPr>
            </w:pPr>
            <w:r>
              <w:rPr>
                <w:rFonts w:asciiTheme="minorHAnsi" w:hAnsiTheme="minorHAnsi" w:cs="Arial"/>
                <w:b/>
                <w:szCs w:val="22"/>
              </w:rPr>
              <w:t>Detection</w:t>
            </w:r>
          </w:p>
        </w:tc>
        <w:tc>
          <w:tcPr>
            <w:tcW w:w="2503" w:type="dxa"/>
            <w:gridSpan w:val="2"/>
            <w:shd w:val="clear" w:color="auto" w:fill="8DB5DA"/>
            <w:vAlign w:val="center"/>
          </w:tcPr>
          <w:p w:rsidR="00B26502" w:rsidRPr="00C11493" w:rsidRDefault="00B26502" w:rsidP="00A875BF">
            <w:pPr>
              <w:spacing w:beforeLines="20" w:before="48" w:afterLines="20" w:after="48"/>
              <w:jc w:val="center"/>
              <w:rPr>
                <w:rFonts w:asciiTheme="minorHAnsi" w:hAnsiTheme="minorHAnsi" w:cs="Arial"/>
                <w:b/>
                <w:szCs w:val="22"/>
              </w:rPr>
            </w:pPr>
            <w:r>
              <w:rPr>
                <w:rFonts w:asciiTheme="minorHAnsi" w:hAnsiTheme="minorHAnsi" w:cs="Arial"/>
                <w:b/>
                <w:szCs w:val="22"/>
              </w:rPr>
              <w:t>Selection</w:t>
            </w:r>
          </w:p>
        </w:tc>
      </w:tr>
      <w:tr w:rsidR="00B26502" w:rsidRPr="00C11493" w:rsidTr="00A875BF">
        <w:trPr>
          <w:cantSplit/>
          <w:jc w:val="center"/>
        </w:trPr>
        <w:tc>
          <w:tcPr>
            <w:tcW w:w="2512" w:type="dxa"/>
            <w:vMerge/>
            <w:shd w:val="clear" w:color="auto" w:fill="8DB5DA"/>
            <w:vAlign w:val="center"/>
          </w:tcPr>
          <w:p w:rsidR="00B26502" w:rsidRPr="00C11493" w:rsidRDefault="00B26502" w:rsidP="00A875BF">
            <w:pPr>
              <w:spacing w:beforeLines="20" w:before="48" w:afterLines="20" w:after="48"/>
              <w:jc w:val="center"/>
              <w:rPr>
                <w:rFonts w:asciiTheme="minorHAnsi" w:hAnsiTheme="minorHAnsi" w:cs="Arial"/>
                <w:b/>
                <w:szCs w:val="22"/>
              </w:rPr>
            </w:pPr>
          </w:p>
        </w:tc>
        <w:tc>
          <w:tcPr>
            <w:tcW w:w="1251" w:type="dxa"/>
            <w:shd w:val="clear" w:color="auto" w:fill="8DB5DA"/>
            <w:vAlign w:val="center"/>
          </w:tcPr>
          <w:p w:rsidR="00B26502" w:rsidRPr="00C11493" w:rsidRDefault="00B26502" w:rsidP="00866C29">
            <w:pPr>
              <w:spacing w:beforeLines="20" w:before="48" w:afterLines="20" w:after="48"/>
              <w:jc w:val="center"/>
              <w:rPr>
                <w:rFonts w:asciiTheme="minorHAnsi" w:hAnsiTheme="minorHAnsi" w:cs="Arial"/>
                <w:b/>
                <w:szCs w:val="22"/>
              </w:rPr>
            </w:pPr>
            <w:r>
              <w:rPr>
                <w:rFonts w:asciiTheme="minorHAnsi" w:hAnsiTheme="minorHAnsi" w:cs="Arial"/>
                <w:b/>
                <w:szCs w:val="22"/>
              </w:rPr>
              <w:t xml:space="preserve">MW </w:t>
            </w:r>
            <w:r w:rsidRPr="008541DA">
              <w:rPr>
                <w:rFonts w:asciiTheme="minorHAnsi" w:hAnsiTheme="minorHAnsi" w:cs="Arial"/>
                <w:b/>
                <w:szCs w:val="22"/>
              </w:rPr>
              <w:t>Load Loss</w:t>
            </w:r>
            <w:r w:rsidR="00866C29">
              <w:rPr>
                <w:rStyle w:val="FootnoteReference"/>
                <w:rFonts w:asciiTheme="minorHAnsi" w:hAnsiTheme="minorHAnsi" w:cs="Arial"/>
                <w:b/>
                <w:szCs w:val="22"/>
              </w:rPr>
              <w:footnoteReference w:id="34"/>
            </w:r>
          </w:p>
        </w:tc>
        <w:tc>
          <w:tcPr>
            <w:tcW w:w="1251" w:type="dxa"/>
            <w:shd w:val="clear" w:color="auto" w:fill="8DB5DA"/>
            <w:vAlign w:val="center"/>
          </w:tcPr>
          <w:p w:rsidR="00B26502" w:rsidRPr="00C11493" w:rsidRDefault="00B26502" w:rsidP="00A875BF">
            <w:pPr>
              <w:spacing w:beforeLines="20" w:before="48" w:afterLines="20" w:after="48"/>
              <w:jc w:val="center"/>
              <w:rPr>
                <w:rFonts w:asciiTheme="minorHAnsi" w:hAnsiTheme="minorHAnsi" w:cs="Arial"/>
                <w:b/>
                <w:szCs w:val="22"/>
              </w:rPr>
            </w:pPr>
            <w:r>
              <w:rPr>
                <w:rFonts w:asciiTheme="minorHAnsi" w:hAnsiTheme="minorHAnsi" w:cs="Arial"/>
                <w:b/>
                <w:szCs w:val="22"/>
              </w:rPr>
              <w:t>MW Resource Loss</w:t>
            </w:r>
          </w:p>
        </w:tc>
        <w:tc>
          <w:tcPr>
            <w:tcW w:w="1251" w:type="dxa"/>
            <w:shd w:val="clear" w:color="auto" w:fill="8DB5DA"/>
            <w:vAlign w:val="center"/>
          </w:tcPr>
          <w:p w:rsidR="00B26502" w:rsidRPr="00C11493" w:rsidRDefault="00B26502" w:rsidP="00503B9C">
            <w:pPr>
              <w:spacing w:beforeLines="20" w:before="48" w:afterLines="20" w:after="48"/>
              <w:jc w:val="center"/>
              <w:rPr>
                <w:rFonts w:asciiTheme="minorHAnsi" w:hAnsiTheme="minorHAnsi" w:cs="Arial"/>
                <w:b/>
                <w:szCs w:val="22"/>
              </w:rPr>
            </w:pPr>
            <w:r>
              <w:rPr>
                <w:rFonts w:asciiTheme="minorHAnsi" w:hAnsiTheme="minorHAnsi" w:cs="Arial"/>
                <w:b/>
                <w:szCs w:val="22"/>
              </w:rPr>
              <w:t xml:space="preserve">MW </w:t>
            </w:r>
            <w:r w:rsidRPr="008541DA">
              <w:rPr>
                <w:rFonts w:asciiTheme="minorHAnsi" w:hAnsiTheme="minorHAnsi" w:cs="Arial"/>
                <w:b/>
                <w:szCs w:val="22"/>
              </w:rPr>
              <w:t>Load Loss</w:t>
            </w:r>
            <w:r>
              <w:rPr>
                <w:rFonts w:asciiTheme="minorHAnsi" w:hAnsiTheme="minorHAnsi" w:cs="Arial"/>
                <w:b/>
                <w:szCs w:val="22"/>
                <w:vertAlign w:val="superscript"/>
              </w:rPr>
              <w:t>3</w:t>
            </w:r>
            <w:r w:rsidR="00503B9C">
              <w:rPr>
                <w:rFonts w:asciiTheme="minorHAnsi" w:hAnsiTheme="minorHAnsi" w:cs="Arial"/>
                <w:b/>
                <w:szCs w:val="22"/>
                <w:vertAlign w:val="superscript"/>
              </w:rPr>
              <w:t>4</w:t>
            </w:r>
          </w:p>
        </w:tc>
        <w:tc>
          <w:tcPr>
            <w:tcW w:w="1252" w:type="dxa"/>
            <w:shd w:val="clear" w:color="auto" w:fill="8DB5DA"/>
            <w:vAlign w:val="center"/>
          </w:tcPr>
          <w:p w:rsidR="00B26502" w:rsidRPr="00A875BF" w:rsidRDefault="00B26502" w:rsidP="00A875BF">
            <w:pPr>
              <w:spacing w:beforeLines="20" w:before="48" w:afterLines="20" w:after="48"/>
              <w:jc w:val="center"/>
              <w:rPr>
                <w:rFonts w:asciiTheme="minorHAnsi" w:hAnsiTheme="minorHAnsi" w:cs="Arial"/>
                <w:b/>
                <w:szCs w:val="22"/>
                <w:vertAlign w:val="superscript"/>
              </w:rPr>
            </w:pPr>
            <w:r>
              <w:rPr>
                <w:rFonts w:asciiTheme="minorHAnsi" w:hAnsiTheme="minorHAnsi" w:cs="Arial"/>
                <w:b/>
                <w:szCs w:val="22"/>
              </w:rPr>
              <w:t>MW Resource Loss</w:t>
            </w:r>
          </w:p>
        </w:tc>
      </w:tr>
      <w:tr w:rsidR="00A875BF" w:rsidRPr="00C11493" w:rsidTr="00A875BF">
        <w:trPr>
          <w:cantSplit/>
          <w:jc w:val="center"/>
        </w:trPr>
        <w:tc>
          <w:tcPr>
            <w:tcW w:w="2512" w:type="dxa"/>
            <w:vAlign w:val="center"/>
          </w:tcPr>
          <w:p w:rsidR="00A875BF" w:rsidRPr="00C11493" w:rsidRDefault="00A875BF" w:rsidP="00A875BF">
            <w:pPr>
              <w:pStyle w:val="TableBody"/>
              <w:spacing w:beforeLines="20" w:before="48" w:afterLines="20" w:after="48"/>
              <w:jc w:val="left"/>
              <w:rPr>
                <w:sz w:val="22"/>
                <w:szCs w:val="22"/>
              </w:rPr>
            </w:pPr>
            <w:r>
              <w:rPr>
                <w:sz w:val="22"/>
                <w:szCs w:val="22"/>
              </w:rPr>
              <w:t>Eastern</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800</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750</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800</w:t>
            </w:r>
          </w:p>
        </w:tc>
        <w:tc>
          <w:tcPr>
            <w:tcW w:w="1252" w:type="dxa"/>
            <w:vAlign w:val="center"/>
          </w:tcPr>
          <w:p w:rsidR="00A875BF" w:rsidRPr="00C11493" w:rsidRDefault="00A875BF" w:rsidP="00A875BF">
            <w:pPr>
              <w:pStyle w:val="TableBody"/>
              <w:spacing w:beforeLines="20" w:before="48" w:afterLines="20" w:after="48"/>
              <w:rPr>
                <w:sz w:val="22"/>
                <w:szCs w:val="22"/>
              </w:rPr>
            </w:pPr>
            <w:r>
              <w:rPr>
                <w:sz w:val="22"/>
                <w:szCs w:val="22"/>
              </w:rPr>
              <w:t>800</w:t>
            </w:r>
          </w:p>
        </w:tc>
      </w:tr>
      <w:tr w:rsidR="00A875BF" w:rsidRPr="00C11493" w:rsidTr="00A875BF">
        <w:trPr>
          <w:cantSplit/>
          <w:jc w:val="center"/>
        </w:trPr>
        <w:tc>
          <w:tcPr>
            <w:tcW w:w="2512" w:type="dxa"/>
            <w:shd w:val="clear" w:color="auto" w:fill="D5D5D5"/>
            <w:vAlign w:val="center"/>
          </w:tcPr>
          <w:p w:rsidR="00A875BF" w:rsidRPr="00C11493" w:rsidRDefault="00A875BF" w:rsidP="00A875BF">
            <w:pPr>
              <w:pStyle w:val="TableBody"/>
              <w:spacing w:beforeLines="20" w:before="48" w:afterLines="20" w:after="48"/>
              <w:jc w:val="left"/>
              <w:rPr>
                <w:sz w:val="22"/>
                <w:szCs w:val="22"/>
              </w:rPr>
            </w:pPr>
            <w:r>
              <w:rPr>
                <w:sz w:val="22"/>
                <w:szCs w:val="22"/>
              </w:rPr>
              <w:t>Western</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700</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650</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700</w:t>
            </w:r>
          </w:p>
        </w:tc>
        <w:tc>
          <w:tcPr>
            <w:tcW w:w="1252"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700</w:t>
            </w:r>
          </w:p>
        </w:tc>
      </w:tr>
      <w:tr w:rsidR="00A875BF" w:rsidRPr="00C11493" w:rsidTr="00A875BF">
        <w:trPr>
          <w:cantSplit/>
          <w:jc w:val="center"/>
        </w:trPr>
        <w:tc>
          <w:tcPr>
            <w:tcW w:w="2512" w:type="dxa"/>
            <w:vAlign w:val="center"/>
          </w:tcPr>
          <w:p w:rsidR="00A875BF" w:rsidRPr="00C11493" w:rsidRDefault="00A875BF" w:rsidP="00A875BF">
            <w:pPr>
              <w:pStyle w:val="TableBody"/>
              <w:spacing w:beforeLines="20" w:before="48" w:afterLines="20" w:after="48"/>
              <w:jc w:val="left"/>
              <w:rPr>
                <w:sz w:val="22"/>
                <w:szCs w:val="22"/>
              </w:rPr>
            </w:pPr>
            <w:r>
              <w:rPr>
                <w:sz w:val="22"/>
                <w:szCs w:val="22"/>
              </w:rPr>
              <w:t>ERCOT</w:t>
            </w:r>
            <w:r w:rsidRPr="00C11493">
              <w:rPr>
                <w:sz w:val="22"/>
                <w:szCs w:val="22"/>
              </w:rPr>
              <w:t xml:space="preserve"> </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450</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400</w:t>
            </w:r>
          </w:p>
        </w:tc>
        <w:tc>
          <w:tcPr>
            <w:tcW w:w="1251" w:type="dxa"/>
            <w:vAlign w:val="center"/>
          </w:tcPr>
          <w:p w:rsidR="00A875BF" w:rsidRPr="00C11493" w:rsidRDefault="00A875BF" w:rsidP="00A875BF">
            <w:pPr>
              <w:pStyle w:val="TableBody"/>
              <w:spacing w:beforeLines="20" w:before="48" w:afterLines="20" w:after="48"/>
              <w:rPr>
                <w:sz w:val="22"/>
                <w:szCs w:val="22"/>
              </w:rPr>
            </w:pPr>
            <w:r>
              <w:rPr>
                <w:sz w:val="22"/>
                <w:szCs w:val="22"/>
              </w:rPr>
              <w:t>450</w:t>
            </w:r>
          </w:p>
        </w:tc>
        <w:tc>
          <w:tcPr>
            <w:tcW w:w="1252" w:type="dxa"/>
            <w:vAlign w:val="center"/>
          </w:tcPr>
          <w:p w:rsidR="00A875BF" w:rsidRPr="00C11493" w:rsidRDefault="00A875BF" w:rsidP="00A875BF">
            <w:pPr>
              <w:pStyle w:val="TableBody"/>
              <w:spacing w:beforeLines="20" w:before="48" w:afterLines="20" w:after="48"/>
              <w:rPr>
                <w:sz w:val="22"/>
                <w:szCs w:val="22"/>
              </w:rPr>
            </w:pPr>
            <w:r>
              <w:rPr>
                <w:sz w:val="22"/>
                <w:szCs w:val="22"/>
              </w:rPr>
              <w:t>450</w:t>
            </w:r>
          </w:p>
        </w:tc>
      </w:tr>
      <w:tr w:rsidR="00A875BF" w:rsidRPr="00C11493" w:rsidTr="00A875BF">
        <w:trPr>
          <w:cantSplit/>
          <w:jc w:val="center"/>
        </w:trPr>
        <w:tc>
          <w:tcPr>
            <w:tcW w:w="2512" w:type="dxa"/>
            <w:shd w:val="clear" w:color="auto" w:fill="D5D5D5"/>
            <w:vAlign w:val="center"/>
          </w:tcPr>
          <w:p w:rsidR="00A875BF" w:rsidRPr="00C11493" w:rsidRDefault="00A875BF" w:rsidP="00A875BF">
            <w:pPr>
              <w:pStyle w:val="TableBody"/>
              <w:spacing w:beforeLines="20" w:before="48" w:afterLines="20" w:after="48"/>
              <w:jc w:val="left"/>
              <w:rPr>
                <w:sz w:val="22"/>
                <w:szCs w:val="22"/>
              </w:rPr>
            </w:pPr>
            <w:r>
              <w:rPr>
                <w:sz w:val="22"/>
                <w:szCs w:val="22"/>
              </w:rPr>
              <w:t>Québec</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450</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400</w:t>
            </w:r>
          </w:p>
        </w:tc>
        <w:tc>
          <w:tcPr>
            <w:tcW w:w="1251"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450</w:t>
            </w:r>
          </w:p>
        </w:tc>
        <w:tc>
          <w:tcPr>
            <w:tcW w:w="1252" w:type="dxa"/>
            <w:shd w:val="clear" w:color="auto" w:fill="D5D5D5"/>
            <w:vAlign w:val="center"/>
          </w:tcPr>
          <w:p w:rsidR="00A875BF" w:rsidRPr="00C11493" w:rsidRDefault="00A875BF" w:rsidP="00A875BF">
            <w:pPr>
              <w:pStyle w:val="TableBody"/>
              <w:spacing w:beforeLines="20" w:before="48" w:afterLines="20" w:after="48"/>
              <w:rPr>
                <w:sz w:val="22"/>
                <w:szCs w:val="22"/>
              </w:rPr>
            </w:pPr>
            <w:r>
              <w:rPr>
                <w:sz w:val="22"/>
                <w:szCs w:val="22"/>
              </w:rPr>
              <w:t>450</w:t>
            </w:r>
          </w:p>
        </w:tc>
      </w:tr>
    </w:tbl>
    <w:p w:rsidR="0032263E" w:rsidRDefault="0032263E" w:rsidP="00BE1A9C"/>
    <w:p w:rsidR="0032263E" w:rsidRDefault="0032263E" w:rsidP="00BE1A9C"/>
    <w:p w:rsidR="0032263E" w:rsidRDefault="0032263E" w:rsidP="00BE1A9C">
      <w:r>
        <w:t>The Resources Subcommittee and NERC staff are recommending the following:</w:t>
      </w:r>
    </w:p>
    <w:p w:rsidR="00607521" w:rsidRDefault="00607521" w:rsidP="00BE1A9C"/>
    <w:p w:rsidR="0032263E" w:rsidRDefault="0032263E" w:rsidP="00866C29">
      <w:pPr>
        <w:pStyle w:val="ListParagraph"/>
        <w:numPr>
          <w:ilvl w:val="0"/>
          <w:numId w:val="27"/>
        </w:numPr>
      </w:pPr>
      <w:r>
        <w:t>All BAL-003-1 frequency events should be a subset of the ALR 1-12 event set.</w:t>
      </w:r>
    </w:p>
    <w:p w:rsidR="008541DA" w:rsidRDefault="008541DA" w:rsidP="00866C29">
      <w:pPr>
        <w:pStyle w:val="ListParagraph"/>
        <w:numPr>
          <w:ilvl w:val="0"/>
          <w:numId w:val="27"/>
        </w:numPr>
      </w:pPr>
      <w:r>
        <w:t>All event detection win</w:t>
      </w:r>
      <w:r w:rsidR="00B26502">
        <w:t>dows are to remain at 15 second rolling windows</w:t>
      </w:r>
      <w:r>
        <w:t>.</w:t>
      </w:r>
    </w:p>
    <w:p w:rsidR="008541DA" w:rsidRDefault="008541DA" w:rsidP="00866C29">
      <w:pPr>
        <w:pStyle w:val="ListParagraph"/>
        <w:numPr>
          <w:ilvl w:val="0"/>
          <w:numId w:val="27"/>
        </w:numPr>
      </w:pPr>
      <w:r>
        <w:t>No change is recommended to the BAL-003-1 event selection process.</w:t>
      </w:r>
    </w:p>
    <w:p w:rsidR="00B26502" w:rsidRPr="001B2F19" w:rsidRDefault="00B26502" w:rsidP="00866C29">
      <w:pPr>
        <w:pStyle w:val="ListParagraph"/>
        <w:numPr>
          <w:ilvl w:val="0"/>
          <w:numId w:val="27"/>
        </w:numPr>
      </w:pPr>
      <w:r>
        <w:t xml:space="preserve">Actual net MW loss will be verified for each MW loss event. MW changes for load loss or pumped storage </w:t>
      </w:r>
      <w:r w:rsidRPr="001B2F19">
        <w:t>load rejection events will rely on FNet estimates</w:t>
      </w:r>
      <w:r w:rsidR="00EE4A3A" w:rsidRPr="001B2F19">
        <w:t xml:space="preserve"> until better data sources become available</w:t>
      </w:r>
      <w:r w:rsidRPr="001B2F19">
        <w:t>.</w:t>
      </w:r>
    </w:p>
    <w:p w:rsidR="00B26502" w:rsidRDefault="00B26502" w:rsidP="00866C29">
      <w:pPr>
        <w:pStyle w:val="ListParagraph"/>
        <w:numPr>
          <w:ilvl w:val="0"/>
          <w:numId w:val="27"/>
        </w:numPr>
      </w:pPr>
      <w:r>
        <w:t>Data for all candidate events will be collected from the FNet system (Values A and B, Point C, Point C’, and 300 seconds of high-speed frequency data surrounding the event). These data will be stored in a database for use in the annual analysis.</w:t>
      </w:r>
    </w:p>
    <w:p w:rsidR="00A875BF" w:rsidRDefault="00A875BF" w:rsidP="00866C29">
      <w:pPr>
        <w:pStyle w:val="ListParagraph"/>
        <w:numPr>
          <w:ilvl w:val="0"/>
          <w:numId w:val="27"/>
        </w:numPr>
      </w:pPr>
      <w:r>
        <w:t>Events c</w:t>
      </w:r>
      <w:r w:rsidR="008541DA">
        <w:t xml:space="preserve">ould be triggered from </w:t>
      </w:r>
      <w:r>
        <w:t>several sources</w:t>
      </w:r>
      <w:r w:rsidR="00B26502">
        <w:t>:</w:t>
      </w:r>
    </w:p>
    <w:p w:rsidR="0032263E" w:rsidRDefault="00A875BF" w:rsidP="00866C29">
      <w:pPr>
        <w:pStyle w:val="ListParagraph"/>
        <w:numPr>
          <w:ilvl w:val="1"/>
          <w:numId w:val="27"/>
        </w:numPr>
      </w:pPr>
      <w:r>
        <w:t>T</w:t>
      </w:r>
      <w:r w:rsidR="008541DA">
        <w:t>he FN</w:t>
      </w:r>
      <w:r w:rsidR="00F103FA">
        <w:t>et</w:t>
      </w:r>
      <w:r w:rsidR="008541DA">
        <w:rPr>
          <w:rStyle w:val="FootnoteReference"/>
        </w:rPr>
        <w:footnoteReference w:id="35"/>
      </w:r>
      <w:r w:rsidR="008541DA">
        <w:t xml:space="preserve"> system</w:t>
      </w:r>
      <w:r>
        <w:t xml:space="preserve"> alarms</w:t>
      </w:r>
    </w:p>
    <w:p w:rsidR="00A875BF" w:rsidRDefault="00A875BF" w:rsidP="00866C29">
      <w:pPr>
        <w:pStyle w:val="ListParagraph"/>
        <w:numPr>
          <w:ilvl w:val="1"/>
          <w:numId w:val="27"/>
        </w:numPr>
      </w:pPr>
      <w:r>
        <w:t>Reliability Coordination Information System (RCIS) messages</w:t>
      </w:r>
    </w:p>
    <w:p w:rsidR="00A875BF" w:rsidRDefault="00B26502" w:rsidP="00866C29">
      <w:pPr>
        <w:pStyle w:val="ListParagraph"/>
        <w:numPr>
          <w:ilvl w:val="1"/>
          <w:numId w:val="27"/>
        </w:numPr>
      </w:pPr>
      <w:r>
        <w:t>E-mail</w:t>
      </w:r>
    </w:p>
    <w:p w:rsidR="00B26502" w:rsidRDefault="00B26502" w:rsidP="00866C29">
      <w:pPr>
        <w:pStyle w:val="ListParagraph"/>
        <w:numPr>
          <w:ilvl w:val="1"/>
          <w:numId w:val="27"/>
        </w:numPr>
      </w:pPr>
      <w:r>
        <w:t>Telephone calls</w:t>
      </w:r>
    </w:p>
    <w:p w:rsidR="00B26502" w:rsidRPr="00B26502" w:rsidRDefault="00B26502" w:rsidP="00866C29">
      <w:pPr>
        <w:pStyle w:val="ListParagraph"/>
        <w:numPr>
          <w:ilvl w:val="0"/>
          <w:numId w:val="27"/>
        </w:numPr>
      </w:pPr>
      <w:r w:rsidRPr="00B26502">
        <w:t xml:space="preserve">Screen only actual MW change against </w:t>
      </w:r>
      <w:r>
        <w:t xml:space="preserve">the </w:t>
      </w:r>
      <w:r w:rsidRPr="00B26502">
        <w:t>MW criteria</w:t>
      </w:r>
      <w:r>
        <w:t>.</w:t>
      </w:r>
    </w:p>
    <w:p w:rsidR="00B26502" w:rsidRDefault="00B26502" w:rsidP="00866C29">
      <w:pPr>
        <w:pStyle w:val="ListParagraph"/>
        <w:numPr>
          <w:ilvl w:val="0"/>
          <w:numId w:val="27"/>
        </w:numPr>
      </w:pPr>
      <w:r w:rsidRPr="00B26502">
        <w:t xml:space="preserve">No criteria </w:t>
      </w:r>
      <w:r>
        <w:t xml:space="preserve">will be applied </w:t>
      </w:r>
      <w:r w:rsidRPr="00B26502">
        <w:t>on frequency change parameters</w:t>
      </w:r>
      <w:r>
        <w:t xml:space="preserve"> allowing for purer</w:t>
      </w:r>
      <w:r w:rsidRPr="00B26502">
        <w:t xml:space="preserve"> statistical analysis of interconnection performance</w:t>
      </w:r>
      <w:r>
        <w:t>.</w:t>
      </w:r>
    </w:p>
    <w:p w:rsidR="0032263E" w:rsidRDefault="00B26502" w:rsidP="00866C29">
      <w:pPr>
        <w:pStyle w:val="ListParagraph"/>
        <w:numPr>
          <w:ilvl w:val="0"/>
          <w:numId w:val="27"/>
        </w:numPr>
      </w:pPr>
      <w:r>
        <w:t>Weekly reviews will be conducted by NERC staff to screen candidate events for AL</w:t>
      </w:r>
      <w:r w:rsidR="00EE4A3A">
        <w:t>R</w:t>
      </w:r>
      <w:r>
        <w:t xml:space="preserve"> 1-12 selection.</w:t>
      </w:r>
    </w:p>
    <w:p w:rsidR="00B26502" w:rsidRDefault="00B26502" w:rsidP="00866C29">
      <w:pPr>
        <w:pStyle w:val="ListParagraph"/>
        <w:numPr>
          <w:ilvl w:val="0"/>
          <w:numId w:val="27"/>
        </w:numPr>
      </w:pPr>
      <w:r>
        <w:t xml:space="preserve">Investigate the potential for applying a T=+0 to Point C slope (arresting slope) criteria to eliminate </w:t>
      </w:r>
      <w:r w:rsidR="00866C29">
        <w:t>shallow slopes that may not be reflective of primary frequency response.</w:t>
      </w:r>
    </w:p>
    <w:p w:rsidR="0032263E" w:rsidRDefault="0032263E" w:rsidP="00BE1A9C"/>
    <w:p w:rsidR="00866C29" w:rsidRDefault="00866C29" w:rsidP="00BE1A9C">
      <w:r>
        <w:t xml:space="preserve">Several statistical additional correlation analyses be conducted against the ALR 1-12 frequency events in beyond those currently performed for the </w:t>
      </w:r>
      <w:r w:rsidRPr="000020F0">
        <w:rPr>
          <w:i/>
        </w:rPr>
        <w:t>State of Reliability</w:t>
      </w:r>
      <w:r>
        <w:t xml:space="preserve"> analysis, including but not limited to:</w:t>
      </w:r>
    </w:p>
    <w:p w:rsidR="00607521" w:rsidRDefault="00607521" w:rsidP="00BE1A9C"/>
    <w:p w:rsidR="00BE1A9C" w:rsidRDefault="00866C29" w:rsidP="00866C29">
      <w:pPr>
        <w:pStyle w:val="ListParagraph"/>
        <w:numPr>
          <w:ilvl w:val="0"/>
          <w:numId w:val="27"/>
        </w:numPr>
      </w:pPr>
      <w:r>
        <w:t xml:space="preserve">Crossing of </w:t>
      </w:r>
      <w:r w:rsidR="00EE4A3A">
        <w:t xml:space="preserve">typical </w:t>
      </w:r>
      <w:r>
        <w:t>frequency dead</w:t>
      </w:r>
      <w:r w:rsidR="00EE4A3A">
        <w:t>-</w:t>
      </w:r>
      <w:r>
        <w:t>bands</w:t>
      </w:r>
    </w:p>
    <w:p w:rsidR="00866C29" w:rsidRDefault="00866C29" w:rsidP="00866C29">
      <w:pPr>
        <w:pStyle w:val="ListParagraph"/>
        <w:numPr>
          <w:ilvl w:val="0"/>
          <w:numId w:val="27"/>
        </w:numPr>
      </w:pPr>
      <w:r>
        <w:t>Time of day</w:t>
      </w:r>
    </w:p>
    <w:p w:rsidR="00866C29" w:rsidRDefault="00866C29" w:rsidP="00866C29">
      <w:pPr>
        <w:pStyle w:val="ListParagraph"/>
        <w:numPr>
          <w:ilvl w:val="0"/>
          <w:numId w:val="27"/>
        </w:numPr>
      </w:pPr>
      <w:r>
        <w:t>Day of week</w:t>
      </w:r>
    </w:p>
    <w:p w:rsidR="00866C29" w:rsidRDefault="00866C29" w:rsidP="00866C29">
      <w:pPr>
        <w:pStyle w:val="ListParagraph"/>
        <w:numPr>
          <w:ilvl w:val="0"/>
          <w:numId w:val="27"/>
        </w:numPr>
      </w:pPr>
      <w:r>
        <w:t>Seasonal</w:t>
      </w:r>
    </w:p>
    <w:p w:rsidR="00866C29" w:rsidRDefault="00866C29" w:rsidP="00866C29">
      <w:pPr>
        <w:pStyle w:val="ListParagraph"/>
        <w:numPr>
          <w:ilvl w:val="0"/>
          <w:numId w:val="27"/>
        </w:numPr>
      </w:pPr>
      <w:r>
        <w:t>On-peak / off-peak</w:t>
      </w:r>
    </w:p>
    <w:p w:rsidR="00866C29" w:rsidRDefault="00866C29" w:rsidP="00866C29"/>
    <w:p w:rsidR="00866C29" w:rsidRDefault="00866C29" w:rsidP="00866C29">
      <w:r>
        <w:t>Some of these analyses should be used to provide a feedback loop to the FNet MW change estimates to improve those estimates.</w:t>
      </w:r>
    </w:p>
    <w:p w:rsidR="00BE1A9C" w:rsidRDefault="00BE1A9C" w:rsidP="00BE1A9C"/>
    <w:sectPr w:rsidR="00BE1A9C" w:rsidSect="007C1228">
      <w:pgSz w:w="12240" w:h="15840" w:code="1"/>
      <w:pgMar w:top="1008"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16" w:rsidRDefault="007B6816" w:rsidP="0017774C">
      <w:r>
        <w:separator/>
      </w:r>
    </w:p>
  </w:endnote>
  <w:endnote w:type="continuationSeparator" w:id="0">
    <w:p w:rsidR="007B6816" w:rsidRDefault="007B6816" w:rsidP="0017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354F49" w:rsidRDefault="00FB52B0" w:rsidP="00085BDE">
    <w:pPr>
      <w:pStyle w:val="Footer"/>
      <w:pBdr>
        <w:top w:val="single" w:sz="12" w:space="1" w:color="204C81"/>
      </w:pBdr>
      <w:rPr>
        <w:b w:val="0"/>
        <w:szCs w:val="18"/>
      </w:rPr>
    </w:pPr>
    <w:r w:rsidRPr="00354F49">
      <w:rPr>
        <w:szCs w:val="18"/>
      </w:rPr>
      <w:t xml:space="preserve">NERC | </w:t>
    </w:r>
    <w:r w:rsidRPr="00495476">
      <w:rPr>
        <w:szCs w:val="18"/>
      </w:rPr>
      <w:t xml:space="preserve">2014 Frequency Response Annual Analysis </w:t>
    </w:r>
    <w:r w:rsidRPr="00354F49">
      <w:rPr>
        <w:szCs w:val="18"/>
      </w:rPr>
      <w:t xml:space="preserve">| </w:t>
    </w:r>
    <w:r>
      <w:rPr>
        <w:szCs w:val="18"/>
      </w:rPr>
      <w:t>December 2014</w:t>
    </w:r>
  </w:p>
  <w:p w:rsidR="00FB52B0" w:rsidRPr="00EB0E8D" w:rsidRDefault="00FB52B0" w:rsidP="00085BDE">
    <w:pPr>
      <w:pStyle w:val="Footer"/>
      <w:pBdr>
        <w:top w:val="none" w:sz="0" w:space="0" w:color="auto"/>
      </w:pBdr>
      <w:rPr>
        <w:szCs w:val="18"/>
      </w:rPr>
    </w:pPr>
    <w:r w:rsidRPr="00EB0E8D">
      <w:rPr>
        <w:szCs w:val="18"/>
      </w:rPr>
      <w:fldChar w:fldCharType="begin"/>
    </w:r>
    <w:r w:rsidRPr="00EB0E8D">
      <w:rPr>
        <w:szCs w:val="18"/>
      </w:rPr>
      <w:instrText xml:space="preserve"> PAGE   \* MERGEFORMAT </w:instrText>
    </w:r>
    <w:r w:rsidRPr="00EB0E8D">
      <w:rPr>
        <w:szCs w:val="18"/>
      </w:rPr>
      <w:fldChar w:fldCharType="separate"/>
    </w:r>
    <w:r w:rsidR="00A212B2">
      <w:rPr>
        <w:noProof/>
        <w:szCs w:val="18"/>
      </w:rPr>
      <w:t>3</w:t>
    </w:r>
    <w:r w:rsidRPr="00EB0E8D">
      <w:rP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4C7660">
    <w:pPr>
      <w:pStyle w:val="Footer"/>
      <w:rPr>
        <w:szCs w:val="18"/>
      </w:rPr>
    </w:pPr>
    <w:r w:rsidRPr="009A4ABA">
      <w:rPr>
        <w:szCs w:val="18"/>
      </w:rPr>
      <w:t xml:space="preserve">NERC | </w:t>
    </w:r>
    <w:r w:rsidRPr="000642E2">
      <w:rPr>
        <w:szCs w:val="18"/>
      </w:rPr>
      <w:t xml:space="preserve">2014 Frequency Response Annual Analysis </w:t>
    </w:r>
    <w:r w:rsidRPr="009A4ABA">
      <w:rPr>
        <w:szCs w:val="18"/>
      </w:rPr>
      <w:t xml:space="preserve">| </w:t>
    </w:r>
    <w:r>
      <w:rPr>
        <w:szCs w:val="18"/>
      </w:rPr>
      <w:t>December 2014</w:t>
    </w:r>
  </w:p>
  <w:p w:rsidR="00FB52B0" w:rsidRDefault="00FB52B0" w:rsidP="004C7660">
    <w:pPr>
      <w:pStyle w:val="Footer"/>
    </w:pPr>
    <w:r w:rsidRPr="009A4ABA">
      <w:rPr>
        <w:szCs w:val="18"/>
      </w:rPr>
      <w:fldChar w:fldCharType="begin"/>
    </w:r>
    <w:r w:rsidRPr="009A4ABA">
      <w:rPr>
        <w:szCs w:val="18"/>
      </w:rPr>
      <w:instrText xml:space="preserve"> PAGE   \* MERGEFORMAT </w:instrText>
    </w:r>
    <w:r w:rsidRPr="009A4ABA">
      <w:rPr>
        <w:szCs w:val="18"/>
      </w:rPr>
      <w:fldChar w:fldCharType="separate"/>
    </w:r>
    <w:r w:rsidR="00A212B2">
      <w:rPr>
        <w:noProof/>
        <w:szCs w:val="18"/>
      </w:rPr>
      <w:t>iii</w:t>
    </w:r>
    <w:r w:rsidRPr="009A4ABA">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4C7660">
    <w:pPr>
      <w:pStyle w:val="Footer"/>
      <w:rPr>
        <w:szCs w:val="18"/>
      </w:rPr>
    </w:pPr>
    <w:r w:rsidRPr="009A4ABA">
      <w:rPr>
        <w:szCs w:val="18"/>
      </w:rPr>
      <w:t xml:space="preserve">NERC | </w:t>
    </w:r>
    <w:r w:rsidRPr="000642E2">
      <w:rPr>
        <w:szCs w:val="18"/>
      </w:rPr>
      <w:t xml:space="preserve">2014 Frequency Response Annual Analysis </w:t>
    </w:r>
    <w:r w:rsidRPr="009A4ABA">
      <w:rPr>
        <w:szCs w:val="18"/>
      </w:rPr>
      <w:t xml:space="preserve">| </w:t>
    </w:r>
    <w:r>
      <w:rPr>
        <w:szCs w:val="18"/>
      </w:rPr>
      <w:t>December 2014</w:t>
    </w:r>
  </w:p>
  <w:p w:rsidR="00FB52B0" w:rsidRDefault="00FB52B0" w:rsidP="004C7660">
    <w:pPr>
      <w:pStyle w:val="Footer"/>
    </w:pPr>
    <w:r w:rsidRPr="009A4ABA">
      <w:rPr>
        <w:szCs w:val="18"/>
      </w:rPr>
      <w:fldChar w:fldCharType="begin"/>
    </w:r>
    <w:r w:rsidRPr="009A4ABA">
      <w:rPr>
        <w:szCs w:val="18"/>
      </w:rPr>
      <w:instrText xml:space="preserve"> PAGE   \* MERGEFORMAT </w:instrText>
    </w:r>
    <w:r w:rsidRPr="009A4ABA">
      <w:rPr>
        <w:szCs w:val="18"/>
      </w:rPr>
      <w:fldChar w:fldCharType="separate"/>
    </w:r>
    <w:r w:rsidR="00A212B2">
      <w:rPr>
        <w:noProof/>
        <w:szCs w:val="18"/>
      </w:rPr>
      <w:t>1</w:t>
    </w:r>
    <w:r w:rsidRPr="009A4ABA">
      <w:rPr>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354F49" w:rsidRDefault="00FB52B0" w:rsidP="00085BDE">
    <w:pPr>
      <w:pStyle w:val="Footer"/>
      <w:pBdr>
        <w:top w:val="single" w:sz="12" w:space="1" w:color="204C81"/>
      </w:pBdr>
      <w:rPr>
        <w:b w:val="0"/>
        <w:szCs w:val="18"/>
      </w:rPr>
    </w:pPr>
    <w:r w:rsidRPr="00354F49">
      <w:rPr>
        <w:szCs w:val="18"/>
      </w:rPr>
      <w:t xml:space="preserve">NERC | </w:t>
    </w:r>
    <w:r w:rsidRPr="00495476">
      <w:rPr>
        <w:szCs w:val="18"/>
      </w:rPr>
      <w:t xml:space="preserve">2014 Frequency Response Annual Analysis </w:t>
    </w:r>
    <w:r w:rsidRPr="00354F49">
      <w:rPr>
        <w:szCs w:val="18"/>
      </w:rPr>
      <w:t xml:space="preserve">| </w:t>
    </w:r>
    <w:r>
      <w:rPr>
        <w:szCs w:val="18"/>
      </w:rPr>
      <w:t>December 2014</w:t>
    </w:r>
  </w:p>
  <w:p w:rsidR="00FB52B0" w:rsidRPr="00EB0E8D" w:rsidRDefault="00FB52B0" w:rsidP="00085BDE">
    <w:pPr>
      <w:pStyle w:val="Footer"/>
      <w:pBdr>
        <w:top w:val="none" w:sz="0" w:space="0" w:color="auto"/>
      </w:pBdr>
      <w:rPr>
        <w:szCs w:val="18"/>
      </w:rPr>
    </w:pPr>
    <w:r w:rsidRPr="00EB0E8D">
      <w:rPr>
        <w:szCs w:val="18"/>
      </w:rPr>
      <w:fldChar w:fldCharType="begin"/>
    </w:r>
    <w:r w:rsidRPr="00EB0E8D">
      <w:rPr>
        <w:szCs w:val="18"/>
      </w:rPr>
      <w:instrText xml:space="preserve"> PAGE   \* MERGEFORMAT </w:instrText>
    </w:r>
    <w:r w:rsidRPr="00EB0E8D">
      <w:rPr>
        <w:szCs w:val="18"/>
      </w:rPr>
      <w:fldChar w:fldCharType="separate"/>
    </w:r>
    <w:r w:rsidR="007B1794">
      <w:rPr>
        <w:noProof/>
        <w:szCs w:val="18"/>
      </w:rPr>
      <w:t>11</w:t>
    </w:r>
    <w:r w:rsidRPr="00EB0E8D">
      <w:rPr>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4C7660">
    <w:pPr>
      <w:pStyle w:val="Footer"/>
      <w:rPr>
        <w:szCs w:val="18"/>
      </w:rPr>
    </w:pPr>
    <w:r w:rsidRPr="009A4ABA">
      <w:rPr>
        <w:szCs w:val="18"/>
      </w:rPr>
      <w:t xml:space="preserve">NERC | </w:t>
    </w:r>
    <w:r w:rsidRPr="000642E2">
      <w:rPr>
        <w:szCs w:val="18"/>
      </w:rPr>
      <w:t xml:space="preserve">2014 Frequency Response Annual Analysis </w:t>
    </w:r>
    <w:r w:rsidRPr="009A4ABA">
      <w:rPr>
        <w:szCs w:val="18"/>
      </w:rPr>
      <w:t xml:space="preserve">| </w:t>
    </w:r>
    <w:r>
      <w:rPr>
        <w:szCs w:val="18"/>
      </w:rPr>
      <w:t>December 2014</w:t>
    </w:r>
  </w:p>
  <w:p w:rsidR="00FB52B0" w:rsidRDefault="00FB52B0" w:rsidP="004C7660">
    <w:pPr>
      <w:pStyle w:val="Footer"/>
    </w:pPr>
    <w:r w:rsidRPr="009A4ABA">
      <w:rPr>
        <w:szCs w:val="18"/>
      </w:rPr>
      <w:fldChar w:fldCharType="begin"/>
    </w:r>
    <w:r w:rsidRPr="009A4ABA">
      <w:rPr>
        <w:szCs w:val="18"/>
      </w:rPr>
      <w:instrText xml:space="preserve"> PAGE   \* MERGEFORMAT </w:instrText>
    </w:r>
    <w:r w:rsidRPr="009A4ABA">
      <w:rPr>
        <w:szCs w:val="18"/>
      </w:rPr>
      <w:fldChar w:fldCharType="separate"/>
    </w:r>
    <w:r w:rsidR="007B1794">
      <w:rPr>
        <w:noProof/>
        <w:szCs w:val="18"/>
      </w:rPr>
      <w:t>12</w:t>
    </w:r>
    <w:r w:rsidRPr="009A4ABA">
      <w:rPr>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354F49" w:rsidRDefault="00FB52B0" w:rsidP="00085BDE">
    <w:pPr>
      <w:pStyle w:val="Footer"/>
      <w:pBdr>
        <w:top w:val="single" w:sz="12" w:space="1" w:color="204C81"/>
      </w:pBdr>
      <w:rPr>
        <w:b w:val="0"/>
        <w:szCs w:val="18"/>
      </w:rPr>
    </w:pPr>
    <w:r w:rsidRPr="00354F49">
      <w:rPr>
        <w:szCs w:val="18"/>
      </w:rPr>
      <w:t xml:space="preserve">NERC | </w:t>
    </w:r>
    <w:r w:rsidRPr="00495476">
      <w:rPr>
        <w:szCs w:val="18"/>
      </w:rPr>
      <w:t xml:space="preserve">2014 Frequency Response Annual Analysis </w:t>
    </w:r>
    <w:r w:rsidRPr="00354F49">
      <w:rPr>
        <w:szCs w:val="18"/>
      </w:rPr>
      <w:t xml:space="preserve">| </w:t>
    </w:r>
    <w:r>
      <w:rPr>
        <w:szCs w:val="18"/>
      </w:rPr>
      <w:t>December 2014</w:t>
    </w:r>
  </w:p>
  <w:p w:rsidR="00FB52B0" w:rsidRPr="00EB0E8D" w:rsidRDefault="00FB52B0" w:rsidP="00085BDE">
    <w:pPr>
      <w:pStyle w:val="Footer"/>
      <w:pBdr>
        <w:top w:val="none" w:sz="0" w:space="0" w:color="auto"/>
      </w:pBdr>
      <w:rPr>
        <w:szCs w:val="18"/>
      </w:rPr>
    </w:pPr>
    <w:r w:rsidRPr="00EB0E8D">
      <w:rPr>
        <w:szCs w:val="18"/>
      </w:rPr>
      <w:fldChar w:fldCharType="begin"/>
    </w:r>
    <w:r w:rsidRPr="00EB0E8D">
      <w:rPr>
        <w:szCs w:val="18"/>
      </w:rPr>
      <w:instrText xml:space="preserve"> PAGE   \* MERGEFORMAT </w:instrText>
    </w:r>
    <w:r w:rsidRPr="00EB0E8D">
      <w:rPr>
        <w:szCs w:val="18"/>
      </w:rPr>
      <w:fldChar w:fldCharType="separate"/>
    </w:r>
    <w:r w:rsidR="007B1794">
      <w:rPr>
        <w:noProof/>
        <w:szCs w:val="18"/>
      </w:rPr>
      <w:t>27</w:t>
    </w:r>
    <w:r w:rsidRPr="00EB0E8D">
      <w:rPr>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085BDE">
    <w:pPr>
      <w:pStyle w:val="Footer"/>
      <w:rPr>
        <w:szCs w:val="18"/>
      </w:rPr>
    </w:pPr>
    <w:r w:rsidRPr="009A4ABA">
      <w:rPr>
        <w:szCs w:val="18"/>
      </w:rPr>
      <w:t xml:space="preserve">NERC | </w:t>
    </w:r>
    <w:r>
      <w:rPr>
        <w:szCs w:val="18"/>
      </w:rPr>
      <w:t>2014 Frequency response Annual Analysis</w:t>
    </w:r>
    <w:r w:rsidRPr="00354F49">
      <w:rPr>
        <w:szCs w:val="18"/>
      </w:rPr>
      <w:t xml:space="preserve"> | </w:t>
    </w:r>
    <w:r>
      <w:rPr>
        <w:szCs w:val="18"/>
      </w:rPr>
      <w:t>October 2014</w:t>
    </w:r>
  </w:p>
  <w:p w:rsidR="00FB52B0" w:rsidRPr="009A4ABA" w:rsidRDefault="00FB52B0" w:rsidP="00085BDE">
    <w:pPr>
      <w:pStyle w:val="Footer"/>
      <w:pBdr>
        <w:top w:val="none" w:sz="0" w:space="0" w:color="auto"/>
      </w:pBdr>
      <w:tabs>
        <w:tab w:val="center" w:pos="5040"/>
        <w:tab w:val="left" w:pos="6090"/>
      </w:tabs>
      <w:jc w:val="left"/>
      <w:rPr>
        <w:szCs w:val="18"/>
      </w:rPr>
    </w:pPr>
    <w:r>
      <w:rPr>
        <w:szCs w:val="18"/>
      </w:rPr>
      <w:tab/>
    </w:r>
    <w:r>
      <w:rPr>
        <w:szCs w:val="18"/>
      </w:rPr>
      <w:tab/>
    </w:r>
    <w:r w:rsidRPr="009A4ABA">
      <w:rPr>
        <w:szCs w:val="18"/>
      </w:rPr>
      <w:fldChar w:fldCharType="begin"/>
    </w:r>
    <w:r w:rsidRPr="009A4ABA">
      <w:rPr>
        <w:szCs w:val="18"/>
      </w:rPr>
      <w:instrText xml:space="preserve"> PAGE   \* MERGEFORMAT </w:instrText>
    </w:r>
    <w:r w:rsidRPr="009A4ABA">
      <w:rPr>
        <w:szCs w:val="18"/>
      </w:rPr>
      <w:fldChar w:fldCharType="separate"/>
    </w:r>
    <w:r w:rsidR="007B1794">
      <w:rPr>
        <w:noProof/>
        <w:szCs w:val="18"/>
      </w:rPr>
      <w:t>26</w:t>
    </w:r>
    <w:r w:rsidRPr="009A4ABA">
      <w:rPr>
        <w:szCs w:val="18"/>
      </w:rPr>
      <w:fldChar w:fldCharType="end"/>
    </w:r>
    <w:r>
      <w:rPr>
        <w:szCs w:val="18"/>
      </w:rPr>
      <w:tab/>
    </w:r>
  </w:p>
  <w:p w:rsidR="00FB52B0" w:rsidRDefault="00FB5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16" w:rsidRDefault="007B6816" w:rsidP="0017774C">
      <w:r>
        <w:separator/>
      </w:r>
    </w:p>
  </w:footnote>
  <w:footnote w:type="continuationSeparator" w:id="0">
    <w:p w:rsidR="007B6816" w:rsidRDefault="007B6816" w:rsidP="0017774C">
      <w:r>
        <w:continuationSeparator/>
      </w:r>
    </w:p>
  </w:footnote>
  <w:footnote w:id="1">
    <w:p w:rsidR="00FB52B0" w:rsidRDefault="00FB52B0">
      <w:pPr>
        <w:pStyle w:val="FootnoteText"/>
      </w:pPr>
      <w:r>
        <w:rPr>
          <w:rStyle w:val="FootnoteReference"/>
        </w:rPr>
        <w:footnoteRef/>
      </w:r>
      <w:r>
        <w:t xml:space="preserve"> Prepared by the </w:t>
      </w:r>
      <w:r w:rsidRPr="007E034A">
        <w:t xml:space="preserve">Reliability Initiatives and System Analysis </w:t>
      </w:r>
      <w:r>
        <w:t xml:space="preserve">(RISA) and Performance Analysis (PA) sections of the </w:t>
      </w:r>
      <w:r w:rsidRPr="007E034A">
        <w:t xml:space="preserve">Reliability Assessment and Performance Analysis </w:t>
      </w:r>
      <w:r>
        <w:t>group (RAPA).</w:t>
      </w:r>
    </w:p>
  </w:footnote>
  <w:footnote w:id="2">
    <w:p w:rsidR="00FB52B0" w:rsidRDefault="00FB52B0">
      <w:pPr>
        <w:pStyle w:val="FootnoteText"/>
      </w:pPr>
      <w:r>
        <w:rPr>
          <w:rStyle w:val="FootnoteReference"/>
        </w:rPr>
        <w:footnoteRef/>
      </w:r>
      <w:r>
        <w:t xml:space="preserve"> From the </w:t>
      </w:r>
      <w:r w:rsidRPr="00A40C2F">
        <w:rPr>
          <w:i/>
        </w:rPr>
        <w:t>State of Reliability 2014</w:t>
      </w:r>
      <w:r>
        <w:t xml:space="preserve"> report, available at: </w:t>
      </w:r>
      <w:r w:rsidRPr="00A565A2">
        <w:t>http://www.nerc.com/pa/RAPA/PA/Pages/default.aspx</w:t>
      </w:r>
      <w:r>
        <w:t>.</w:t>
      </w:r>
    </w:p>
  </w:footnote>
  <w:footnote w:id="3">
    <w:p w:rsidR="00FB52B0" w:rsidRPr="005C14A3" w:rsidRDefault="00FB52B0" w:rsidP="00221C6E">
      <w:pPr>
        <w:pStyle w:val="FootnoteText"/>
        <w:rPr>
          <w:rFonts w:asciiTheme="minorHAnsi" w:hAnsiTheme="minorHAnsi"/>
          <w:b/>
          <w:sz w:val="16"/>
          <w:szCs w:val="16"/>
        </w:rPr>
      </w:pPr>
      <w:r w:rsidRPr="005C14A3">
        <w:rPr>
          <w:rStyle w:val="FootnoteReference"/>
          <w:sz w:val="16"/>
          <w:szCs w:val="16"/>
        </w:rPr>
        <w:footnoteRef/>
      </w:r>
      <w:r w:rsidRPr="005C14A3">
        <w:rPr>
          <w:rFonts w:asciiTheme="minorHAnsi" w:hAnsiTheme="minorHAnsi"/>
          <w:sz w:val="16"/>
          <w:szCs w:val="16"/>
        </w:rPr>
        <w:t xml:space="preserve"> Refer to the IFRO Formulae section of this report for further details on the calculation</w:t>
      </w:r>
    </w:p>
  </w:footnote>
  <w:footnote w:id="4">
    <w:p w:rsidR="00FB52B0" w:rsidRPr="005C14A3" w:rsidRDefault="00FB52B0" w:rsidP="00221C6E">
      <w:pPr>
        <w:pStyle w:val="FootnoteText"/>
        <w:ind w:left="90" w:hanging="90"/>
        <w:jc w:val="left"/>
        <w:rPr>
          <w:sz w:val="16"/>
          <w:szCs w:val="16"/>
        </w:rPr>
      </w:pPr>
      <w:r w:rsidRPr="005C14A3">
        <w:rPr>
          <w:rStyle w:val="FootnoteReference"/>
          <w:sz w:val="16"/>
          <w:szCs w:val="16"/>
        </w:rPr>
        <w:footnoteRef/>
      </w:r>
      <w:r w:rsidRPr="005C14A3">
        <w:rPr>
          <w:sz w:val="16"/>
          <w:szCs w:val="16"/>
        </w:rPr>
        <w:t xml:space="preserve"> </w:t>
      </w:r>
      <w:r w:rsidRPr="005C14A3">
        <w:rPr>
          <w:rStyle w:val="FootnoteChar"/>
          <w:rFonts w:eastAsiaTheme="minorHAnsi"/>
          <w:szCs w:val="16"/>
        </w:rPr>
        <w:t xml:space="preserve">Based on 2014 Interconnection Frequency Response Performance from Appendix B of the </w:t>
      </w:r>
      <w:r w:rsidRPr="00A40C2F">
        <w:rPr>
          <w:rStyle w:val="FootnoteChar"/>
          <w:rFonts w:eastAsiaTheme="minorHAnsi"/>
          <w:i/>
          <w:szCs w:val="16"/>
        </w:rPr>
        <w:t xml:space="preserve">State of Reliability 2014 </w:t>
      </w:r>
      <w:r w:rsidRPr="005C14A3">
        <w:rPr>
          <w:rStyle w:val="FootnoteChar"/>
          <w:rFonts w:eastAsiaTheme="minorHAnsi"/>
          <w:szCs w:val="16"/>
        </w:rPr>
        <w:t>report, reflecting corrections to the ALR 1-12 metric events in the Easter</w:t>
      </w:r>
      <w:r>
        <w:rPr>
          <w:rStyle w:val="FootnoteChar"/>
          <w:rFonts w:eastAsiaTheme="minorHAnsi"/>
          <w:szCs w:val="16"/>
        </w:rPr>
        <w:t>n</w:t>
      </w:r>
      <w:r w:rsidRPr="005C14A3">
        <w:rPr>
          <w:rStyle w:val="FootnoteChar"/>
          <w:rFonts w:eastAsiaTheme="minorHAnsi"/>
          <w:szCs w:val="16"/>
        </w:rPr>
        <w:t xml:space="preserve"> Interconnection. By interconnection: </w:t>
      </w:r>
      <w:r w:rsidRPr="005C14A3">
        <w:rPr>
          <w:rStyle w:val="FootnoteChar"/>
          <w:rFonts w:eastAsiaTheme="minorHAnsi"/>
          <w:szCs w:val="16"/>
        </w:rPr>
        <w:br/>
        <w:t>EI = -2,349 MW / 0.1Hz, WI = -1,514 MW / 0.1Hz, TI = -612 MW / 0.1Hz, and QI = -575 MW/0.1 Hz.</w:t>
      </w:r>
    </w:p>
  </w:footnote>
  <w:footnote w:id="5">
    <w:p w:rsidR="00FB52B0" w:rsidRPr="005C14A3" w:rsidRDefault="00FB52B0" w:rsidP="00221C6E">
      <w:pPr>
        <w:pStyle w:val="FootnoteText"/>
        <w:ind w:left="90" w:hanging="90"/>
        <w:jc w:val="left"/>
        <w:rPr>
          <w:sz w:val="16"/>
          <w:szCs w:val="16"/>
        </w:rPr>
      </w:pPr>
      <w:r w:rsidRPr="005C14A3">
        <w:rPr>
          <w:rStyle w:val="FootnoteReference"/>
          <w:sz w:val="16"/>
          <w:szCs w:val="16"/>
        </w:rPr>
        <w:footnoteRef/>
      </w:r>
      <w:r w:rsidRPr="005C14A3">
        <w:rPr>
          <w:sz w:val="16"/>
          <w:szCs w:val="16"/>
        </w:rPr>
        <w:t xml:space="preserve"> Interconnection projected Total Internal Demands from the </w:t>
      </w:r>
      <w:r w:rsidRPr="005C14A3">
        <w:rPr>
          <w:i/>
          <w:sz w:val="16"/>
          <w:szCs w:val="16"/>
        </w:rPr>
        <w:t>2014 NERC Long-Term Reliability Assessment</w:t>
      </w:r>
      <w:r w:rsidRPr="005C14A3">
        <w:rPr>
          <w:sz w:val="16"/>
          <w:szCs w:val="16"/>
        </w:rPr>
        <w:t xml:space="preserve"> (2015 summer demand): </w:t>
      </w:r>
      <w:r w:rsidRPr="005C14A3">
        <w:rPr>
          <w:sz w:val="16"/>
          <w:szCs w:val="16"/>
        </w:rPr>
        <w:br/>
      </w:r>
      <w:r w:rsidRPr="005C14A3">
        <w:rPr>
          <w:rStyle w:val="FootnoteChar"/>
          <w:rFonts w:eastAsiaTheme="minorHAnsi"/>
          <w:szCs w:val="16"/>
        </w:rPr>
        <w:t>EI = 617,372 MW, WI = 156,423 MW, TI = 69,057 MW, and QI (2014-2015 winter demand) = 38,316 MW.</w:t>
      </w:r>
    </w:p>
  </w:footnote>
  <w:footnote w:id="6">
    <w:p w:rsidR="00FB52B0" w:rsidRDefault="00FB52B0">
      <w:pPr>
        <w:pStyle w:val="FootnoteText"/>
      </w:pPr>
      <w:r>
        <w:rPr>
          <w:rStyle w:val="FootnoteReference"/>
        </w:rPr>
        <w:footnoteRef/>
      </w:r>
      <w:r>
        <w:t xml:space="preserve"> Details are included in the </w:t>
      </w:r>
      <w:r w:rsidRPr="00CB4003">
        <w:t xml:space="preserve">Recommendations for ALR 1-12 Frequency Event Detection and Selection Process Changes </w:t>
      </w:r>
      <w:r>
        <w:t xml:space="preserve">section of this report. </w:t>
      </w:r>
    </w:p>
  </w:footnote>
  <w:footnote w:id="7">
    <w:p w:rsidR="00FB52B0" w:rsidRDefault="00FB52B0" w:rsidP="00EF521B">
      <w:pPr>
        <w:pStyle w:val="FootnoteText"/>
      </w:pPr>
      <w:r>
        <w:rPr>
          <w:rStyle w:val="FootnoteReference"/>
        </w:rPr>
        <w:footnoteRef/>
      </w:r>
      <w:r>
        <w:t xml:space="preserve"> </w:t>
      </w:r>
      <w:r w:rsidRPr="005C47CA">
        <w:t>Located at: http://www.nerc.com/pa/RAPA/ri/Pages/InterconnectionFrequencyResponse.aspx</w:t>
      </w:r>
    </w:p>
  </w:footnote>
  <w:footnote w:id="8">
    <w:p w:rsidR="00FB52B0" w:rsidRDefault="00FB52B0">
      <w:pPr>
        <w:pStyle w:val="FootnoteText"/>
      </w:pPr>
      <w:r>
        <w:rPr>
          <w:rStyle w:val="FootnoteReference"/>
        </w:rPr>
        <w:footnoteRef/>
      </w:r>
      <w:r>
        <w:t xml:space="preserve"> Abrupt changes in frequency.</w:t>
      </w:r>
    </w:p>
  </w:footnote>
  <w:footnote w:id="9">
    <w:p w:rsidR="00FB52B0" w:rsidRDefault="00FB52B0">
      <w:pPr>
        <w:pStyle w:val="FootnoteText"/>
      </w:pPr>
      <w:r>
        <w:rPr>
          <w:rStyle w:val="FootnoteReference"/>
        </w:rPr>
        <w:footnoteRef/>
      </w:r>
      <w:r>
        <w:t xml:space="preserve"> This problem did not affect the 2013 IFRO calculations because it began after the time frame used in those calculations.</w:t>
      </w:r>
    </w:p>
  </w:footnote>
  <w:footnote w:id="10">
    <w:p w:rsidR="00FB52B0" w:rsidRDefault="00FB52B0">
      <w:pPr>
        <w:pStyle w:val="FootnoteText"/>
      </w:pPr>
      <w:r>
        <w:rPr>
          <w:rStyle w:val="FootnoteReference"/>
        </w:rPr>
        <w:footnoteRef/>
      </w:r>
      <w:r>
        <w:t xml:space="preserve"> </w:t>
      </w:r>
      <w:r w:rsidRPr="005C47CA">
        <w:t>Located at: http://www.nerc.com/pa/RAPA/ri/Pages/InterconnectionFrequencyResponse.aspx</w:t>
      </w:r>
    </w:p>
  </w:footnote>
  <w:footnote w:id="11">
    <w:p w:rsidR="00FB52B0" w:rsidRDefault="00FB52B0">
      <w:pPr>
        <w:pStyle w:val="FootnoteText"/>
      </w:pPr>
      <w:r>
        <w:rPr>
          <w:rStyle w:val="FootnoteReference"/>
        </w:rPr>
        <w:footnoteRef/>
      </w:r>
      <w:r>
        <w:t xml:space="preserve"> Based on the </w:t>
      </w:r>
      <w:r w:rsidRPr="00222795">
        <w:rPr>
          <w:i/>
        </w:rPr>
        <w:t>2013 Frequency Response Annual Analysi</w:t>
      </w:r>
      <w:r>
        <w:t>s.</w:t>
      </w:r>
    </w:p>
  </w:footnote>
  <w:footnote w:id="12">
    <w:p w:rsidR="00FB52B0" w:rsidRDefault="00FB52B0">
      <w:pPr>
        <w:pStyle w:val="FootnoteText"/>
      </w:pPr>
      <w:r>
        <w:rPr>
          <w:rStyle w:val="FootnoteReference"/>
        </w:rPr>
        <w:footnoteRef/>
      </w:r>
      <w:r>
        <w:t xml:space="preserve"> Based on the </w:t>
      </w:r>
      <w:r w:rsidRPr="00222795">
        <w:rPr>
          <w:i/>
        </w:rPr>
        <w:t>2013 Frequency Response Annual Analysi</w:t>
      </w:r>
      <w:r>
        <w:t>s.</w:t>
      </w:r>
    </w:p>
  </w:footnote>
  <w:footnote w:id="13">
    <w:p w:rsidR="00FB52B0" w:rsidRDefault="00FB52B0">
      <w:pPr>
        <w:pStyle w:val="FootnoteText"/>
      </w:pPr>
      <w:r>
        <w:rPr>
          <w:rStyle w:val="FootnoteReference"/>
        </w:rPr>
        <w:footnoteRef/>
      </w:r>
      <w:r>
        <w:t xml:space="preserve"> Based on the </w:t>
      </w:r>
      <w:r w:rsidRPr="00222795">
        <w:rPr>
          <w:i/>
        </w:rPr>
        <w:t>2013 Frequency Response Annual Analysi</w:t>
      </w:r>
      <w:r>
        <w:t>s.</w:t>
      </w:r>
    </w:p>
  </w:footnote>
  <w:footnote w:id="14">
    <w:p w:rsidR="00FB52B0" w:rsidRDefault="00FB52B0">
      <w:pPr>
        <w:pStyle w:val="FootnoteText"/>
      </w:pPr>
      <w:r>
        <w:rPr>
          <w:rStyle w:val="FootnoteReference"/>
        </w:rPr>
        <w:footnoteRef/>
      </w:r>
      <w:r>
        <w:t xml:space="preserve"> Based on the </w:t>
      </w:r>
      <w:r w:rsidRPr="00222795">
        <w:rPr>
          <w:i/>
        </w:rPr>
        <w:t>2013 Frequency Response Annual Analysi</w:t>
      </w:r>
      <w:r>
        <w:t>s.</w:t>
      </w:r>
    </w:p>
  </w:footnote>
  <w:footnote w:id="15">
    <w:p w:rsidR="00FB52B0" w:rsidRDefault="00FB52B0">
      <w:pPr>
        <w:pStyle w:val="FootnoteText"/>
      </w:pPr>
      <w:r>
        <w:rPr>
          <w:rStyle w:val="FootnoteReference"/>
        </w:rPr>
        <w:footnoteRef/>
      </w:r>
      <w:r>
        <w:t xml:space="preserve"> </w:t>
      </w:r>
      <w:r w:rsidRPr="00C7128B">
        <w:t xml:space="preserve">Refer to the 2012 </w:t>
      </w:r>
      <w:r w:rsidRPr="00C7128B">
        <w:rPr>
          <w:i/>
        </w:rPr>
        <w:t>Frequency Response Initiative</w:t>
      </w:r>
      <w:r w:rsidRPr="00C7128B">
        <w:t xml:space="preserve"> report for details on the statistical analyses used.</w:t>
      </w:r>
    </w:p>
  </w:footnote>
  <w:footnote w:id="16">
    <w:p w:rsidR="00FB52B0" w:rsidRPr="001D362E" w:rsidRDefault="00FB52B0" w:rsidP="004C7660">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Numbers of samples vary due to exclusion of data drop-outs and other obvious observation anomalies.</w:t>
      </w:r>
    </w:p>
  </w:footnote>
  <w:footnote w:id="17">
    <w:p w:rsidR="00FB52B0" w:rsidRPr="001D362E" w:rsidRDefault="00FB52B0" w:rsidP="0073556D">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CB</w:t>
      </w:r>
      <w:r w:rsidRPr="001D362E">
        <w:rPr>
          <w:rFonts w:asciiTheme="minorHAnsi" w:hAnsiTheme="minorHAnsi"/>
          <w:szCs w:val="18"/>
          <w:vertAlign w:val="subscript"/>
        </w:rPr>
        <w:t>R</w:t>
      </w:r>
      <w:r w:rsidRPr="001D362E">
        <w:rPr>
          <w:rFonts w:asciiTheme="minorHAnsi" w:hAnsiTheme="minorHAnsi"/>
          <w:szCs w:val="18"/>
        </w:rPr>
        <w:t xml:space="preserve"> value limited to 1.0</w:t>
      </w:r>
      <w:r>
        <w:rPr>
          <w:rFonts w:asciiTheme="minorHAnsi" w:hAnsiTheme="minorHAnsi"/>
          <w:szCs w:val="18"/>
        </w:rPr>
        <w:t>00</w:t>
      </w:r>
      <w:r w:rsidRPr="001D362E">
        <w:rPr>
          <w:rFonts w:asciiTheme="minorHAnsi" w:hAnsiTheme="minorHAnsi"/>
          <w:szCs w:val="18"/>
        </w:rPr>
        <w:t xml:space="preserve"> because values lower than that indicate the Value B is lower than Point C and does not need to be adjusted. </w:t>
      </w:r>
      <w:r w:rsidRPr="00903595">
        <w:rPr>
          <w:rFonts w:asciiTheme="minorHAnsi" w:hAnsiTheme="minorHAnsi"/>
          <w:szCs w:val="18"/>
        </w:rPr>
        <w:t xml:space="preserve">The calculated value </w:t>
      </w:r>
      <w:r>
        <w:rPr>
          <w:rFonts w:asciiTheme="minorHAnsi" w:hAnsiTheme="minorHAnsi"/>
          <w:szCs w:val="18"/>
        </w:rPr>
        <w:t>is 0.97</w:t>
      </w:r>
      <w:r w:rsidRPr="00903595">
        <w:rPr>
          <w:rFonts w:asciiTheme="minorHAnsi" w:hAnsiTheme="minorHAnsi"/>
          <w:szCs w:val="18"/>
        </w:rPr>
        <w:t>9.</w:t>
      </w:r>
    </w:p>
  </w:footnote>
  <w:footnote w:id="18">
    <w:p w:rsidR="00FB52B0" w:rsidRPr="001D362E" w:rsidRDefault="00FB52B0" w:rsidP="0073556D">
      <w:pPr>
        <w:pStyle w:val="FootnoteText"/>
        <w:tabs>
          <w:tab w:val="left" w:pos="90"/>
        </w:tabs>
        <w:ind w:left="90" w:hanging="90"/>
        <w:rPr>
          <w:rFonts w:asciiTheme="minorHAnsi" w:hAnsiTheme="minorHAnsi"/>
          <w:szCs w:val="18"/>
        </w:rPr>
      </w:pPr>
      <w:r w:rsidRPr="005C14A3">
        <w:rPr>
          <w:rStyle w:val="FootnoteReference"/>
          <w:szCs w:val="18"/>
        </w:rPr>
        <w:footnoteRef/>
      </w:r>
      <w:r w:rsidRPr="005C14A3">
        <w:rPr>
          <w:rFonts w:asciiTheme="minorHAnsi" w:hAnsiTheme="minorHAnsi"/>
          <w:szCs w:val="18"/>
        </w:rPr>
        <w:t xml:space="preserve"> Based on Québec UFLS design between their 58.5 Hz UFLS with 300 millisecond operating time (responsive to Point C) and 59.0 Hz UFLS step with a 20-second delay (responsive to Value B or beyond) with a 0.05 Hz confidence interval. See the adjustment for differences between Value B and Point C section of this report for further details.</w:t>
      </w:r>
    </w:p>
  </w:footnote>
  <w:footnote w:id="19">
    <w:p w:rsidR="00FB52B0" w:rsidRDefault="00FB52B0" w:rsidP="0073556D">
      <w:pPr>
        <w:pStyle w:val="FootnoteText"/>
      </w:pPr>
      <w:r>
        <w:rPr>
          <w:rStyle w:val="FootnoteReference"/>
        </w:rPr>
        <w:footnoteRef/>
      </w:r>
      <w:r>
        <w:t xml:space="preserve"> </w:t>
      </w:r>
      <w:r w:rsidRPr="00866C29">
        <w:t>Operated by the Power Information Technology Laboratory at the University of Tennessee, FNet is a low-cost, quickly deployable GPS-synchronized wide-area frequency measurement network. High dynamic accuracy Frequency Disturbance Recorders (FDRs) are used to measure the frequency, phase angle, and voltage of the power system at ordinary 120 V outlets. The measurement data are continuously transmitted via the Internet to the FN</w:t>
      </w:r>
      <w:r>
        <w:t>et</w:t>
      </w:r>
      <w:r w:rsidRPr="00866C29">
        <w:t xml:space="preserve"> servers hosted at the University of Tennessee and Virginia Tech.</w:t>
      </w:r>
    </w:p>
  </w:footnote>
  <w:footnote w:id="20">
    <w:p w:rsidR="00FB52B0" w:rsidRDefault="00FB52B0">
      <w:pPr>
        <w:pStyle w:val="FootnoteText"/>
      </w:pPr>
      <w:r>
        <w:rPr>
          <w:rStyle w:val="FootnoteReference"/>
        </w:rPr>
        <w:footnoteRef/>
      </w:r>
      <w:r>
        <w:t xml:space="preserve"> No </w:t>
      </w:r>
      <w:r w:rsidRPr="006F69C3">
        <w:t>BC’</w:t>
      </w:r>
      <w:r w:rsidRPr="006F69C3">
        <w:rPr>
          <w:vertAlign w:val="subscript"/>
        </w:rPr>
        <w:t>ADJ</w:t>
      </w:r>
      <w:r>
        <w:t xml:space="preserve"> used.</w:t>
      </w:r>
    </w:p>
  </w:footnote>
  <w:footnote w:id="21">
    <w:p w:rsidR="00FB52B0" w:rsidRPr="001D362E" w:rsidRDefault="00FB52B0" w:rsidP="00102473">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Adjustment for the differences between </w:t>
      </w:r>
      <w:r>
        <w:rPr>
          <w:rFonts w:asciiTheme="minorHAnsi" w:hAnsiTheme="minorHAnsi"/>
          <w:szCs w:val="18"/>
        </w:rPr>
        <w:t>one</w:t>
      </w:r>
      <w:r w:rsidRPr="001D362E">
        <w:rPr>
          <w:rFonts w:asciiTheme="minorHAnsi" w:hAnsiTheme="minorHAnsi"/>
          <w:szCs w:val="18"/>
        </w:rPr>
        <w:t>-second and sub-second Point C observations for frequency events.</w:t>
      </w:r>
    </w:p>
  </w:footnote>
  <w:footnote w:id="22">
    <w:p w:rsidR="00FB52B0" w:rsidRPr="001D362E" w:rsidRDefault="00FB52B0" w:rsidP="00102473">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Adjustment for the differences between Point C and Value B.</w:t>
      </w:r>
    </w:p>
  </w:footnote>
  <w:footnote w:id="23">
    <w:p w:rsidR="00FB52B0" w:rsidRPr="001D362E" w:rsidRDefault="00FB52B0" w:rsidP="00102473">
      <w:pPr>
        <w:pStyle w:val="FootnoteText"/>
        <w:tabs>
          <w:tab w:val="left" w:pos="90"/>
        </w:tabs>
        <w:ind w:left="90" w:hanging="90"/>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CB</w:t>
      </w:r>
      <w:r w:rsidRPr="001D362E">
        <w:rPr>
          <w:rFonts w:asciiTheme="minorHAnsi" w:hAnsiTheme="minorHAnsi"/>
          <w:szCs w:val="18"/>
          <w:vertAlign w:val="subscript"/>
        </w:rPr>
        <w:t>R</w:t>
      </w:r>
      <w:r w:rsidRPr="001D362E">
        <w:rPr>
          <w:rFonts w:asciiTheme="minorHAnsi" w:hAnsiTheme="minorHAnsi"/>
          <w:szCs w:val="18"/>
        </w:rPr>
        <w:t xml:space="preserve"> value for the Eastern Interconnection limited to 1.0</w:t>
      </w:r>
      <w:r>
        <w:rPr>
          <w:rFonts w:asciiTheme="minorHAnsi" w:hAnsiTheme="minorHAnsi"/>
          <w:szCs w:val="18"/>
        </w:rPr>
        <w:t>00</w:t>
      </w:r>
      <w:r w:rsidRPr="001D362E">
        <w:rPr>
          <w:rFonts w:asciiTheme="minorHAnsi" w:hAnsiTheme="minorHAnsi"/>
          <w:szCs w:val="18"/>
        </w:rPr>
        <w:t xml:space="preserve"> because values lower than that indicate the Value B is lower than Point C and </w:t>
      </w:r>
      <w:r w:rsidRPr="007B390E">
        <w:rPr>
          <w:rFonts w:asciiTheme="minorHAnsi" w:hAnsiTheme="minorHAnsi"/>
          <w:szCs w:val="18"/>
        </w:rPr>
        <w:t>does not need to be adjusted. The calculated value is 0.979.</w:t>
      </w:r>
    </w:p>
  </w:footnote>
  <w:footnote w:id="24">
    <w:p w:rsidR="00FB52B0" w:rsidRPr="001D362E" w:rsidRDefault="00FB52B0" w:rsidP="00102473">
      <w:pPr>
        <w:pStyle w:val="FootnoteText"/>
        <w:tabs>
          <w:tab w:val="left" w:pos="90"/>
        </w:tabs>
        <w:ind w:left="90" w:hanging="90"/>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Based on Québec UFLS design between their 58.5 Hz UFLS with 300 millisecond operating time (responsive to Point C) and 59.0 Hz UFLS step with a 20-second delay (responsive to Value B or beyond).</w:t>
      </w:r>
    </w:p>
  </w:footnote>
  <w:footnote w:id="25">
    <w:p w:rsidR="00FB52B0" w:rsidRPr="001D362E" w:rsidRDefault="00FB52B0" w:rsidP="00102473">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DF</w:t>
      </w:r>
      <w:r w:rsidRPr="001D362E">
        <w:rPr>
          <w:rFonts w:asciiTheme="minorHAnsi" w:hAnsiTheme="minorHAnsi"/>
          <w:szCs w:val="18"/>
          <w:vertAlign w:val="subscript"/>
        </w:rPr>
        <w:t>CC</w:t>
      </w:r>
      <w:r w:rsidRPr="001D362E">
        <w:rPr>
          <w:rFonts w:asciiTheme="minorHAnsi" w:hAnsiTheme="minorHAnsi"/>
          <w:szCs w:val="18"/>
        </w:rPr>
        <w:t>/CB</w:t>
      </w:r>
      <w:r w:rsidRPr="001D362E">
        <w:rPr>
          <w:rFonts w:asciiTheme="minorHAnsi" w:hAnsiTheme="minorHAnsi"/>
          <w:szCs w:val="18"/>
          <w:vertAlign w:val="subscript"/>
        </w:rPr>
        <w:t>R</w:t>
      </w:r>
    </w:p>
  </w:footnote>
  <w:footnote w:id="26">
    <w:p w:rsidR="00FB52B0" w:rsidRPr="001D362E" w:rsidRDefault="00FB52B0" w:rsidP="00102473">
      <w:pPr>
        <w:pStyle w:val="FootnoteText"/>
        <w:rPr>
          <w:rFonts w:asciiTheme="minorHAnsi" w:hAnsiTheme="minorHAnsi"/>
          <w:szCs w:val="18"/>
        </w:rPr>
      </w:pPr>
      <w:r w:rsidRPr="001D362E">
        <w:rPr>
          <w:rStyle w:val="FootnoteReference"/>
          <w:szCs w:val="18"/>
        </w:rPr>
        <w:footnoteRef/>
      </w:r>
      <w:r w:rsidRPr="001D362E">
        <w:rPr>
          <w:rFonts w:asciiTheme="minorHAnsi" w:hAnsiTheme="minorHAnsi"/>
          <w:szCs w:val="18"/>
        </w:rPr>
        <w:t xml:space="preserve"> Adjustment for the event nadir being below the Value B (Eastern Interconnection only) due to primary frequency response withdrawal.</w:t>
      </w:r>
    </w:p>
  </w:footnote>
  <w:footnote w:id="27">
    <w:p w:rsidR="00FB52B0" w:rsidRPr="005C14A3" w:rsidRDefault="00FB52B0" w:rsidP="000E6C33">
      <w:pPr>
        <w:pStyle w:val="FootnoteText"/>
        <w:rPr>
          <w:rFonts w:asciiTheme="minorHAnsi" w:hAnsiTheme="minorHAnsi"/>
          <w:b/>
          <w:sz w:val="16"/>
          <w:szCs w:val="16"/>
        </w:rPr>
      </w:pPr>
      <w:r w:rsidRPr="005C14A3">
        <w:rPr>
          <w:rStyle w:val="FootnoteReference"/>
          <w:sz w:val="16"/>
          <w:szCs w:val="16"/>
        </w:rPr>
        <w:footnoteRef/>
      </w:r>
      <w:r w:rsidRPr="005C14A3">
        <w:rPr>
          <w:rFonts w:asciiTheme="minorHAnsi" w:hAnsiTheme="minorHAnsi"/>
          <w:sz w:val="16"/>
          <w:szCs w:val="16"/>
        </w:rPr>
        <w:t xml:space="preserve"> Refer to the IFRO Formulae section of this report for further details on the calculation</w:t>
      </w:r>
    </w:p>
  </w:footnote>
  <w:footnote w:id="28">
    <w:p w:rsidR="00FB52B0" w:rsidRPr="005C14A3" w:rsidRDefault="00FB52B0" w:rsidP="005C14A3">
      <w:pPr>
        <w:pStyle w:val="FootnoteText"/>
        <w:ind w:left="90" w:hanging="90"/>
        <w:jc w:val="left"/>
        <w:rPr>
          <w:sz w:val="16"/>
          <w:szCs w:val="16"/>
        </w:rPr>
      </w:pPr>
      <w:r w:rsidRPr="005C14A3">
        <w:rPr>
          <w:rStyle w:val="FootnoteReference"/>
          <w:sz w:val="16"/>
          <w:szCs w:val="16"/>
        </w:rPr>
        <w:footnoteRef/>
      </w:r>
      <w:r w:rsidRPr="005C14A3">
        <w:rPr>
          <w:sz w:val="16"/>
          <w:szCs w:val="16"/>
        </w:rPr>
        <w:t xml:space="preserve"> </w:t>
      </w:r>
      <w:r w:rsidRPr="005C14A3">
        <w:rPr>
          <w:rStyle w:val="FootnoteChar"/>
          <w:rFonts w:eastAsiaTheme="minorHAnsi"/>
          <w:szCs w:val="16"/>
        </w:rPr>
        <w:t xml:space="preserve">Based on 2014 Interconnection Frequency Response Performance from Appendix B of the </w:t>
      </w:r>
      <w:r w:rsidRPr="00A40C2F">
        <w:rPr>
          <w:rStyle w:val="FootnoteChar"/>
          <w:rFonts w:eastAsiaTheme="minorHAnsi"/>
          <w:i/>
          <w:szCs w:val="16"/>
        </w:rPr>
        <w:t xml:space="preserve">State of Reliability 2014 </w:t>
      </w:r>
      <w:r w:rsidRPr="005C14A3">
        <w:rPr>
          <w:rStyle w:val="FootnoteChar"/>
          <w:rFonts w:eastAsiaTheme="minorHAnsi"/>
          <w:szCs w:val="16"/>
        </w:rPr>
        <w:t>report, reflecting corrections to the ALR 1-12 metric events in the Easter</w:t>
      </w:r>
      <w:r>
        <w:rPr>
          <w:rStyle w:val="FootnoteChar"/>
          <w:rFonts w:eastAsiaTheme="minorHAnsi"/>
          <w:szCs w:val="16"/>
        </w:rPr>
        <w:t>n</w:t>
      </w:r>
      <w:r w:rsidRPr="005C14A3">
        <w:rPr>
          <w:rStyle w:val="FootnoteChar"/>
          <w:rFonts w:eastAsiaTheme="minorHAnsi"/>
          <w:szCs w:val="16"/>
        </w:rPr>
        <w:t xml:space="preserve"> Interconnection. By interconnection: </w:t>
      </w:r>
      <w:r w:rsidRPr="005C14A3">
        <w:rPr>
          <w:rStyle w:val="FootnoteChar"/>
          <w:rFonts w:eastAsiaTheme="minorHAnsi"/>
          <w:szCs w:val="16"/>
        </w:rPr>
        <w:br/>
        <w:t>EI = -2,349 MW / 0.1Hz, WI = -1,514 MW / 0.1Hz, TI = -612 MW / 0.1Hz, and QI = -575 MW/0.1 Hz.</w:t>
      </w:r>
    </w:p>
  </w:footnote>
  <w:footnote w:id="29">
    <w:p w:rsidR="00FB52B0" w:rsidRPr="005C14A3" w:rsidRDefault="00FB52B0" w:rsidP="005C14A3">
      <w:pPr>
        <w:pStyle w:val="FootnoteText"/>
        <w:ind w:left="90" w:hanging="90"/>
        <w:jc w:val="left"/>
        <w:rPr>
          <w:sz w:val="16"/>
          <w:szCs w:val="16"/>
        </w:rPr>
      </w:pPr>
      <w:r w:rsidRPr="005C14A3">
        <w:rPr>
          <w:rStyle w:val="FootnoteReference"/>
          <w:sz w:val="16"/>
          <w:szCs w:val="16"/>
        </w:rPr>
        <w:footnoteRef/>
      </w:r>
      <w:r w:rsidRPr="005C14A3">
        <w:rPr>
          <w:sz w:val="16"/>
          <w:szCs w:val="16"/>
        </w:rPr>
        <w:t xml:space="preserve"> Interconnection projected Total Internal Demands from the </w:t>
      </w:r>
      <w:r w:rsidRPr="005C14A3">
        <w:rPr>
          <w:i/>
          <w:sz w:val="16"/>
          <w:szCs w:val="16"/>
        </w:rPr>
        <w:t>2014 NERC Long-Term Reliability Assessment</w:t>
      </w:r>
      <w:r w:rsidRPr="005C14A3">
        <w:rPr>
          <w:sz w:val="16"/>
          <w:szCs w:val="16"/>
        </w:rPr>
        <w:t xml:space="preserve"> (2015 summer demand): </w:t>
      </w:r>
      <w:r w:rsidRPr="005C14A3">
        <w:rPr>
          <w:sz w:val="16"/>
          <w:szCs w:val="16"/>
        </w:rPr>
        <w:br/>
      </w:r>
      <w:r w:rsidRPr="005C14A3">
        <w:rPr>
          <w:rStyle w:val="FootnoteChar"/>
          <w:rFonts w:eastAsiaTheme="minorHAnsi"/>
          <w:szCs w:val="16"/>
        </w:rPr>
        <w:t>EI = 617,372 MW, WI = 156,423 MW, TI = 69,057 MW, and QI (2014-2015 winter demand) = 38,316 MW.</w:t>
      </w:r>
    </w:p>
  </w:footnote>
  <w:footnote w:id="30">
    <w:p w:rsidR="00FB52B0" w:rsidRDefault="00FB52B0">
      <w:pPr>
        <w:pStyle w:val="FootnoteText"/>
      </w:pPr>
      <w:r>
        <w:rPr>
          <w:rStyle w:val="FootnoteReference"/>
        </w:rPr>
        <w:footnoteRef/>
      </w:r>
      <w:r>
        <w:t xml:space="preserve"> See Tables 12 and 13a for details</w:t>
      </w:r>
    </w:p>
  </w:footnote>
  <w:footnote w:id="31">
    <w:p w:rsidR="00FB52B0" w:rsidRDefault="00FB52B0" w:rsidP="00BB6C49">
      <w:pPr>
        <w:pStyle w:val="FootnoteText"/>
      </w:pPr>
      <w:r>
        <w:rPr>
          <w:rStyle w:val="FootnoteReference"/>
        </w:rPr>
        <w:footnoteRef/>
      </w:r>
      <w:r>
        <w:t xml:space="preserve"> </w:t>
      </w:r>
      <w:r w:rsidRPr="005C47CA">
        <w:t>Located at: http://www.nerc.com/pa/RAPA/ri/Pages/InterconnectionFrequencyResponse.aspx</w:t>
      </w:r>
    </w:p>
  </w:footnote>
  <w:footnote w:id="32">
    <w:p w:rsidR="00FB52B0" w:rsidRDefault="00FB52B0" w:rsidP="00BB6C49">
      <w:pPr>
        <w:pStyle w:val="FootnoteText"/>
      </w:pPr>
      <w:r>
        <w:rPr>
          <w:rStyle w:val="FootnoteReference"/>
        </w:rPr>
        <w:footnoteRef/>
      </w:r>
      <w:r>
        <w:t xml:space="preserve"> Abrupt changes in frequency.</w:t>
      </w:r>
    </w:p>
  </w:footnote>
  <w:footnote w:id="33">
    <w:p w:rsidR="00FB52B0" w:rsidRDefault="00FB52B0" w:rsidP="00BB6C49">
      <w:pPr>
        <w:pStyle w:val="FootnoteText"/>
      </w:pPr>
      <w:r>
        <w:rPr>
          <w:rStyle w:val="FootnoteReference"/>
        </w:rPr>
        <w:footnoteRef/>
      </w:r>
      <w:r>
        <w:t xml:space="preserve"> This problem did not affect the 2013 IFRO calculations because it began after the time frame used in those calculations.</w:t>
      </w:r>
    </w:p>
  </w:footnote>
  <w:footnote w:id="34">
    <w:p w:rsidR="00FB52B0" w:rsidRDefault="00FB52B0">
      <w:pPr>
        <w:pStyle w:val="FootnoteText"/>
      </w:pPr>
      <w:r>
        <w:rPr>
          <w:rStyle w:val="FootnoteReference"/>
        </w:rPr>
        <w:footnoteRef/>
      </w:r>
      <w:r>
        <w:t xml:space="preserve"> </w:t>
      </w:r>
      <w:r w:rsidRPr="00A875BF">
        <w:t>Or Pumped-Storage Load Rejection</w:t>
      </w:r>
      <w:r>
        <w:t>.</w:t>
      </w:r>
    </w:p>
  </w:footnote>
  <w:footnote w:id="35">
    <w:p w:rsidR="00FB52B0" w:rsidRDefault="00FB52B0">
      <w:pPr>
        <w:pStyle w:val="FootnoteText"/>
      </w:pPr>
      <w:r>
        <w:rPr>
          <w:rStyle w:val="FootnoteReference"/>
        </w:rPr>
        <w:footnoteRef/>
      </w:r>
      <w:r>
        <w:t xml:space="preserve"> </w:t>
      </w:r>
      <w:r w:rsidRPr="008541DA">
        <w:t>Operated by the Power Information Technology Laboratory at the University of Tennessee, FN</w:t>
      </w:r>
      <w:r>
        <w:t>et</w:t>
      </w:r>
      <w:r w:rsidRPr="008541DA">
        <w:t xml:space="preserve"> is a low-cost, quickly deployable GPS-synchronized wide-area frequency measurement network. High dynamic accuracy Frequency Disturbance Recorders (FDRs) are used to measure the frequency, phase angle, and voltage of the power system at ordinary 120 V outlets. The measurement data are continuously transmitted via the Internet to the FN</w:t>
      </w:r>
      <w:r>
        <w:t>et</w:t>
      </w:r>
      <w:r w:rsidRPr="008541DA">
        <w:t xml:space="preserve"> servers hosted at the University of Tennessee and Virginia Tech.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AA579D">
    <w:pPr>
      <w:pStyle w:val="Header"/>
      <w:pBdr>
        <w:bottom w:val="single" w:sz="18" w:space="0" w:color="204C81" w:themeColor="accent1"/>
      </w:pBdr>
    </w:pPr>
    <w:fldSimple w:instr=" STYLEREF  &quot;Heading 1,Chapter Title&quot;  \* MERGEFORMAT ">
      <w:r w:rsidR="007B1794">
        <w:rPr>
          <w:noProof/>
        </w:rPr>
        <w:t>Determination of Interconnection Frequency Response Obligations (IFROs)</w:t>
      </w:r>
    </w:fldSimple>
  </w:p>
  <w:p w:rsidR="00FB52B0" w:rsidRPr="009A4ABA" w:rsidRDefault="00FB52B0" w:rsidP="009A4ABA">
    <w:pPr>
      <w:pStyle w:val="Header"/>
      <w:pBdr>
        <w:bottom w:val="none" w:sz="0" w:space="0" w:color="auto"/>
      </w:pBdr>
      <w:rPr>
        <w:b w:val="0"/>
        <w:color w:val="204C81" w:themeColor="accent1"/>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9A4A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085BDE">
    <w:pPr>
      <w:pStyle w:val="Header"/>
      <w:pBdr>
        <w:bottom w:val="single" w:sz="12" w:space="0" w:color="204C81" w:themeColor="accent1"/>
      </w:pBdr>
    </w:pPr>
    <w:fldSimple w:instr=" STYLEREF  &quot;Heading 1,Chapter Title&quot;  \* MERGEFORMAT ">
      <w:r w:rsidR="007B1794">
        <w:rPr>
          <w:noProof/>
        </w:rPr>
        <w:t>Recommendations for ALR 1-12 Frequency Event Detection and Selection Process Changes</w:t>
      </w:r>
    </w:fldSimple>
  </w:p>
  <w:p w:rsidR="00FB52B0" w:rsidRPr="009A4ABA" w:rsidRDefault="00FB52B0" w:rsidP="009A4ABA">
    <w:pPr>
      <w:pStyle w:val="Header"/>
      <w:pBdr>
        <w:bottom w:val="none" w:sz="0" w:space="0" w:color="auto"/>
      </w:pBdr>
      <w:rPr>
        <w:b w:val="0"/>
        <w:color w:val="204C81" w:themeColor="accent1"/>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B0" w:rsidRPr="009A4ABA" w:rsidRDefault="00FB52B0" w:rsidP="009A4A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565F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A4B41C"/>
    <w:lvl w:ilvl="0">
      <w:start w:val="1"/>
      <w:numFmt w:val="decimal"/>
      <w:pStyle w:val="ListNumber4"/>
      <w:lvlText w:val="%1."/>
      <w:lvlJc w:val="right"/>
      <w:pPr>
        <w:ind w:left="1440" w:hanging="360"/>
      </w:pPr>
      <w:rPr>
        <w:rFonts w:hint="default"/>
      </w:rPr>
    </w:lvl>
  </w:abstractNum>
  <w:abstractNum w:abstractNumId="2">
    <w:nsid w:val="FFFFFF7E"/>
    <w:multiLevelType w:val="singleLevel"/>
    <w:tmpl w:val="F22039D6"/>
    <w:lvl w:ilvl="0">
      <w:start w:val="1"/>
      <w:numFmt w:val="decimal"/>
      <w:pStyle w:val="ListNumber3"/>
      <w:lvlText w:val="%1."/>
      <w:lvlJc w:val="right"/>
      <w:pPr>
        <w:ind w:left="1080" w:hanging="360"/>
      </w:pPr>
      <w:rPr>
        <w:rFonts w:hint="default"/>
      </w:rPr>
    </w:lvl>
  </w:abstractNum>
  <w:abstractNum w:abstractNumId="3">
    <w:nsid w:val="FFFFFF7F"/>
    <w:multiLevelType w:val="singleLevel"/>
    <w:tmpl w:val="5A18CBAA"/>
    <w:lvl w:ilvl="0">
      <w:start w:val="1"/>
      <w:numFmt w:val="decimal"/>
      <w:pStyle w:val="ListNumber2"/>
      <w:lvlText w:val="%1."/>
      <w:lvlJc w:val="right"/>
      <w:pPr>
        <w:ind w:left="1800" w:hanging="360"/>
      </w:pPr>
      <w:rPr>
        <w:rFonts w:hint="default"/>
      </w:rPr>
    </w:lvl>
  </w:abstractNum>
  <w:abstractNum w:abstractNumId="4">
    <w:nsid w:val="FFFFFF80"/>
    <w:multiLevelType w:val="singleLevel"/>
    <w:tmpl w:val="179E8A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8"/>
    <w:multiLevelType w:val="singleLevel"/>
    <w:tmpl w:val="F8847FE2"/>
    <w:lvl w:ilvl="0">
      <w:start w:val="1"/>
      <w:numFmt w:val="decimal"/>
      <w:pStyle w:val="ListNumber"/>
      <w:lvlText w:val="%1."/>
      <w:lvlJc w:val="left"/>
      <w:pPr>
        <w:tabs>
          <w:tab w:val="num" w:pos="360"/>
        </w:tabs>
        <w:ind w:left="360" w:hanging="360"/>
      </w:pPr>
    </w:lvl>
  </w:abstractNum>
  <w:abstractNum w:abstractNumId="6">
    <w:nsid w:val="02756F29"/>
    <w:multiLevelType w:val="hybridMultilevel"/>
    <w:tmpl w:val="852C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3782D"/>
    <w:multiLevelType w:val="hybridMultilevel"/>
    <w:tmpl w:val="B4B89A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8B0CE8"/>
    <w:multiLevelType w:val="hybridMultilevel"/>
    <w:tmpl w:val="B7A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759E1"/>
    <w:multiLevelType w:val="hybridMultilevel"/>
    <w:tmpl w:val="A31E1D50"/>
    <w:lvl w:ilvl="0" w:tplc="19DA0F80">
      <w:start w:val="1"/>
      <w:numFmt w:val="decimal"/>
      <w:pStyle w:val="ListNumbertwo"/>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2C35B6"/>
    <w:multiLevelType w:val="multilevel"/>
    <w:tmpl w:val="18664994"/>
    <w:numStyleLink w:val="NERCListBullets"/>
  </w:abstractNum>
  <w:abstractNum w:abstractNumId="11">
    <w:nsid w:val="1C105957"/>
    <w:multiLevelType w:val="hybridMultilevel"/>
    <w:tmpl w:val="5DE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D0DB6"/>
    <w:multiLevelType w:val="multilevel"/>
    <w:tmpl w:val="8028EB3E"/>
    <w:styleLink w:val="NERCNumberedList"/>
    <w:lvl w:ilvl="0">
      <w:start w:val="1"/>
      <w:numFmt w:val="decimal"/>
      <w:lvlText w:val="%1."/>
      <w:lvlJc w:val="left"/>
      <w:pPr>
        <w:ind w:left="360" w:hanging="360"/>
      </w:pPr>
      <w:rPr>
        <w:rFonts w:asciiTheme="minorHAnsi" w:hAnsiTheme="minorHAnsi" w:hint="default"/>
      </w:rPr>
    </w:lvl>
    <w:lvl w:ilvl="1">
      <w:start w:val="1"/>
      <w:numFmt w:val="none"/>
      <w:lvlText w:val="2."/>
      <w:lvlJc w:val="left"/>
      <w:pPr>
        <w:ind w:left="1080" w:hanging="360"/>
      </w:pPr>
      <w:rPr>
        <w:rFonts w:hint="default"/>
      </w:rPr>
    </w:lvl>
    <w:lvl w:ilvl="2">
      <w:start w:val="1"/>
      <w:numFmt w:val="none"/>
      <w:lvlText w:val="3."/>
      <w:lvlJc w:val="right"/>
      <w:pPr>
        <w:ind w:left="1548" w:hanging="108"/>
      </w:pPr>
      <w:rPr>
        <w:rFonts w:hint="default"/>
      </w:rPr>
    </w:lvl>
    <w:lvl w:ilvl="3">
      <w:start w:val="1"/>
      <w:numFmt w:val="none"/>
      <w:lvlText w:val="4."/>
      <w:lvlJc w:val="left"/>
      <w:pPr>
        <w:ind w:left="180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7396CAD"/>
    <w:multiLevelType w:val="hybridMultilevel"/>
    <w:tmpl w:val="D7C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4120F"/>
    <w:multiLevelType w:val="multilevel"/>
    <w:tmpl w:val="18664994"/>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nsid w:val="2B871EE8"/>
    <w:multiLevelType w:val="hybridMultilevel"/>
    <w:tmpl w:val="A19E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52109"/>
    <w:multiLevelType w:val="hybridMultilevel"/>
    <w:tmpl w:val="A102620C"/>
    <w:lvl w:ilvl="0" w:tplc="9DAA0D06">
      <w:start w:val="1"/>
      <w:numFmt w:val="decimal"/>
      <w:pStyle w:val="ListNumber1"/>
      <w:lvlText w:val="%1."/>
      <w:lvlJc w:val="left"/>
      <w:pPr>
        <w:ind w:left="720" w:hanging="360"/>
      </w:pPr>
      <w:rPr>
        <w:rFonts w:hint="default"/>
      </w:rPr>
    </w:lvl>
    <w:lvl w:ilvl="1" w:tplc="4058FF1E">
      <w:start w:val="1"/>
      <w:numFmt w:val="decimal"/>
      <w:lvlText w:val="%2."/>
      <w:lvlJc w:val="left"/>
      <w:pPr>
        <w:ind w:left="1440" w:hanging="360"/>
      </w:pPr>
      <w:rPr>
        <w:rFonts w:hint="default"/>
      </w:rPr>
    </w:lvl>
    <w:lvl w:ilvl="2" w:tplc="2C60EBEC">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617AFCE2">
      <w:start w:val="1"/>
      <w:numFmt w:val="decimal"/>
      <w:lvlText w:val="%5."/>
      <w:lvlJc w:val="left"/>
      <w:pPr>
        <w:ind w:left="3600" w:hanging="360"/>
      </w:pPr>
      <w:rPr>
        <w:rFonts w:hint="default"/>
      </w:rPr>
    </w:lvl>
    <w:lvl w:ilvl="5" w:tplc="AC3C1122">
      <w:start w:val="1"/>
      <w:numFmt w:val="decimal"/>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748071F"/>
    <w:multiLevelType w:val="hybridMultilevel"/>
    <w:tmpl w:val="80303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E44F4"/>
    <w:multiLevelType w:val="hybridMultilevel"/>
    <w:tmpl w:val="852C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D376E"/>
    <w:multiLevelType w:val="hybridMultilevel"/>
    <w:tmpl w:val="A3D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A1EC7"/>
    <w:multiLevelType w:val="hybridMultilevel"/>
    <w:tmpl w:val="810C1F46"/>
    <w:lvl w:ilvl="0" w:tplc="A5BE1418">
      <w:start w:val="1"/>
      <w:numFmt w:val="decimal"/>
      <w:pStyle w:val="ListNumberOne"/>
      <w:lvlText w:val="%1."/>
      <w:lvlJc w:val="left"/>
      <w:pPr>
        <w:ind w:left="720" w:hanging="360"/>
      </w:pPr>
      <w:rPr>
        <w:rFonts w:hint="default"/>
      </w:rPr>
    </w:lvl>
    <w:lvl w:ilvl="1" w:tplc="3FF4CA26">
      <w:start w:val="2"/>
      <w:numFmt w:val="lowerLetter"/>
      <w:lvlText w:val="%2."/>
      <w:lvlJc w:val="left"/>
      <w:pPr>
        <w:ind w:left="1440" w:hanging="360"/>
      </w:pPr>
      <w:rPr>
        <w:rFonts w:hint="default"/>
      </w:rPr>
    </w:lvl>
    <w:lvl w:ilvl="2" w:tplc="6032EB62">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B03F5"/>
    <w:multiLevelType w:val="hybridMultilevel"/>
    <w:tmpl w:val="852C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67057"/>
    <w:multiLevelType w:val="hybridMultilevel"/>
    <w:tmpl w:val="0CC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A41219"/>
    <w:multiLevelType w:val="hybridMultilevel"/>
    <w:tmpl w:val="1AA6B3DE"/>
    <w:lvl w:ilvl="0" w:tplc="1B562A02">
      <w:start w:val="1"/>
      <w:numFmt w:val="decimal"/>
      <w:pStyle w:val="ListNumberTwo0"/>
      <w:lvlText w:val="%1."/>
      <w:lvlJc w:val="right"/>
      <w:pPr>
        <w:ind w:left="18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6E94A61"/>
    <w:multiLevelType w:val="hybridMultilevel"/>
    <w:tmpl w:val="3E3C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427BC"/>
    <w:multiLevelType w:val="hybridMultilevel"/>
    <w:tmpl w:val="61DCAD5E"/>
    <w:lvl w:ilvl="0" w:tplc="6FFEF0C2">
      <w:start w:val="1"/>
      <w:numFmt w:val="decimal"/>
      <w:pStyle w:val="ListNumbering"/>
      <w:lvlText w:val="%1."/>
      <w:lvlJc w:val="left"/>
      <w:pPr>
        <w:ind w:left="720" w:hanging="360"/>
      </w:pPr>
      <w:rPr>
        <w:rFonts w:hint="default"/>
      </w:rPr>
    </w:lvl>
    <w:lvl w:ilvl="1" w:tplc="52003AB6">
      <w:start w:val="1"/>
      <w:numFmt w:val="lowerLetter"/>
      <w:pStyle w:val="ListNumbering2"/>
      <w:lvlText w:val="%2."/>
      <w:lvlJc w:val="left"/>
      <w:pPr>
        <w:ind w:left="1440" w:hanging="360"/>
      </w:pPr>
    </w:lvl>
    <w:lvl w:ilvl="2" w:tplc="84C27340">
      <w:start w:val="1"/>
      <w:numFmt w:val="lowerRoman"/>
      <w:pStyle w:val="ListNumbering3"/>
      <w:lvlText w:val="%3."/>
      <w:lvlJc w:val="right"/>
      <w:pPr>
        <w:ind w:left="2160" w:hanging="180"/>
      </w:pPr>
    </w:lvl>
    <w:lvl w:ilvl="3" w:tplc="94503AEC">
      <w:start w:val="1"/>
      <w:numFmt w:val="decimal"/>
      <w:pStyle w:val="ListNumbering4"/>
      <w:lvlText w:val="(%4)"/>
      <w:lvlJc w:val="left"/>
      <w:pPr>
        <w:ind w:left="2880" w:hanging="360"/>
      </w:pPr>
      <w:rPr>
        <w:rFonts w:hint="default"/>
      </w:rPr>
    </w:lvl>
    <w:lvl w:ilvl="4" w:tplc="7994C408">
      <w:start w:val="1"/>
      <w:numFmt w:val="lowerLetter"/>
      <w:pStyle w:val="ListNumbering5"/>
      <w:lvlText w:val="(%5)"/>
      <w:lvlJc w:val="left"/>
      <w:pPr>
        <w:ind w:left="3600" w:hanging="360"/>
      </w:pPr>
      <w:rPr>
        <w:rFonts w:hint="default"/>
      </w:rPr>
    </w:lvl>
    <w:lvl w:ilvl="5" w:tplc="88F0FC50">
      <w:start w:val="1"/>
      <w:numFmt w:val="lowerRoman"/>
      <w:pStyle w:val="ListNumbering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14B5C"/>
    <w:multiLevelType w:val="hybridMultilevel"/>
    <w:tmpl w:val="9F94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84BD1"/>
    <w:multiLevelType w:val="hybridMultilevel"/>
    <w:tmpl w:val="B28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D4328"/>
    <w:multiLevelType w:val="hybridMultilevel"/>
    <w:tmpl w:val="DCC4F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3"/>
  </w:num>
  <w:num w:numId="5">
    <w:abstractNumId w:val="2"/>
  </w:num>
  <w:num w:numId="6">
    <w:abstractNumId w:val="1"/>
  </w:num>
  <w:num w:numId="7">
    <w:abstractNumId w:val="0"/>
  </w:num>
  <w:num w:numId="8">
    <w:abstractNumId w:val="16"/>
  </w:num>
  <w:num w:numId="9">
    <w:abstractNumId w:val="9"/>
  </w:num>
  <w:num w:numId="10">
    <w:abstractNumId w:val="20"/>
  </w:num>
  <w:num w:numId="11">
    <w:abstractNumId w:val="23"/>
  </w:num>
  <w:num w:numId="12">
    <w:abstractNumId w:val="12"/>
  </w:num>
  <w:num w:numId="13">
    <w:abstractNumId w:val="10"/>
    <w:lvlOverride w:ilvl="0">
      <w:lvl w:ilvl="0">
        <w:start w:val="1"/>
        <w:numFmt w:val="bullet"/>
        <w:pStyle w:val="ListBullet"/>
        <w:lvlText w:val=""/>
        <w:lvlJc w:val="left"/>
        <w:pPr>
          <w:ind w:left="720" w:hanging="360"/>
        </w:pPr>
        <w:rPr>
          <w:rFonts w:ascii="Symbol" w:hAnsi="Symbol" w:hint="default"/>
          <w:color w:val="auto"/>
        </w:rPr>
      </w:lvl>
    </w:lvlOverride>
  </w:num>
  <w:num w:numId="14">
    <w:abstractNumId w:val="25"/>
  </w:num>
  <w:num w:numId="15">
    <w:abstractNumId w:val="19"/>
  </w:num>
  <w:num w:numId="16">
    <w:abstractNumId w:val="26"/>
  </w:num>
  <w:num w:numId="17">
    <w:abstractNumId w:val="6"/>
  </w:num>
  <w:num w:numId="18">
    <w:abstractNumId w:val="18"/>
  </w:num>
  <w:num w:numId="19">
    <w:abstractNumId w:val="24"/>
  </w:num>
  <w:num w:numId="20">
    <w:abstractNumId w:val="27"/>
  </w:num>
  <w:num w:numId="21">
    <w:abstractNumId w:val="11"/>
  </w:num>
  <w:num w:numId="22">
    <w:abstractNumId w:val="8"/>
  </w:num>
  <w:num w:numId="23">
    <w:abstractNumId w:val="15"/>
  </w:num>
  <w:num w:numId="24">
    <w:abstractNumId w:val="17"/>
  </w:num>
  <w:num w:numId="25">
    <w:abstractNumId w:val="13"/>
  </w:num>
  <w:num w:numId="26">
    <w:abstractNumId w:val="7"/>
  </w:num>
  <w:num w:numId="27">
    <w:abstractNumId w:val="28"/>
  </w:num>
  <w:num w:numId="28">
    <w:abstractNumId w:val="21"/>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DateAndTime/>
  <w:activeWritingStyle w:appName="MSWord" w:lang="en-US" w:vendorID="64" w:dllVersion="131078" w:nlCheck="1" w:checkStyle="1"/>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C1"/>
    <w:rsid w:val="00000980"/>
    <w:rsid w:val="000020F0"/>
    <w:rsid w:val="00002C25"/>
    <w:rsid w:val="00004AAA"/>
    <w:rsid w:val="000117BC"/>
    <w:rsid w:val="00014003"/>
    <w:rsid w:val="00021EE0"/>
    <w:rsid w:val="00023E68"/>
    <w:rsid w:val="00024ACF"/>
    <w:rsid w:val="0003229B"/>
    <w:rsid w:val="00035875"/>
    <w:rsid w:val="0004264F"/>
    <w:rsid w:val="00051C19"/>
    <w:rsid w:val="00063761"/>
    <w:rsid w:val="000642E2"/>
    <w:rsid w:val="0006494A"/>
    <w:rsid w:val="00067019"/>
    <w:rsid w:val="00067CC8"/>
    <w:rsid w:val="00067F7A"/>
    <w:rsid w:val="00071040"/>
    <w:rsid w:val="00072EBA"/>
    <w:rsid w:val="000751D5"/>
    <w:rsid w:val="00085BDE"/>
    <w:rsid w:val="00086BA5"/>
    <w:rsid w:val="000A131B"/>
    <w:rsid w:val="000A4F1A"/>
    <w:rsid w:val="000B11DC"/>
    <w:rsid w:val="000B637A"/>
    <w:rsid w:val="000C4AE2"/>
    <w:rsid w:val="000D7FE6"/>
    <w:rsid w:val="000E6C33"/>
    <w:rsid w:val="000F1EBB"/>
    <w:rsid w:val="000F5986"/>
    <w:rsid w:val="000F7CB0"/>
    <w:rsid w:val="00102473"/>
    <w:rsid w:val="00120B08"/>
    <w:rsid w:val="00122C9E"/>
    <w:rsid w:val="0013218F"/>
    <w:rsid w:val="00136F0C"/>
    <w:rsid w:val="00140A61"/>
    <w:rsid w:val="0015418F"/>
    <w:rsid w:val="001568A1"/>
    <w:rsid w:val="00165B8B"/>
    <w:rsid w:val="00173BC4"/>
    <w:rsid w:val="0017774C"/>
    <w:rsid w:val="0018200E"/>
    <w:rsid w:val="001904EC"/>
    <w:rsid w:val="001B0C2F"/>
    <w:rsid w:val="001B1B70"/>
    <w:rsid w:val="001B1FAD"/>
    <w:rsid w:val="001B2F19"/>
    <w:rsid w:val="001C766E"/>
    <w:rsid w:val="001D694D"/>
    <w:rsid w:val="001D6E29"/>
    <w:rsid w:val="001E55A3"/>
    <w:rsid w:val="001F0C8B"/>
    <w:rsid w:val="001F30D3"/>
    <w:rsid w:val="00213ED6"/>
    <w:rsid w:val="0021605D"/>
    <w:rsid w:val="00217456"/>
    <w:rsid w:val="00221C6E"/>
    <w:rsid w:val="00222795"/>
    <w:rsid w:val="00226C0A"/>
    <w:rsid w:val="00234A19"/>
    <w:rsid w:val="00247852"/>
    <w:rsid w:val="00247E2D"/>
    <w:rsid w:val="002511AF"/>
    <w:rsid w:val="002606CC"/>
    <w:rsid w:val="00265F10"/>
    <w:rsid w:val="00267E3B"/>
    <w:rsid w:val="002757BB"/>
    <w:rsid w:val="00275CE4"/>
    <w:rsid w:val="002804D0"/>
    <w:rsid w:val="002834D3"/>
    <w:rsid w:val="00284101"/>
    <w:rsid w:val="00290C67"/>
    <w:rsid w:val="00293CE2"/>
    <w:rsid w:val="002A244F"/>
    <w:rsid w:val="002B047C"/>
    <w:rsid w:val="002B4AC6"/>
    <w:rsid w:val="002C587D"/>
    <w:rsid w:val="002C5EFE"/>
    <w:rsid w:val="002D0AB8"/>
    <w:rsid w:val="002D0B5F"/>
    <w:rsid w:val="002D0D89"/>
    <w:rsid w:val="002D14BB"/>
    <w:rsid w:val="002D4B5F"/>
    <w:rsid w:val="002F12E5"/>
    <w:rsid w:val="002F64E0"/>
    <w:rsid w:val="0032263E"/>
    <w:rsid w:val="00342779"/>
    <w:rsid w:val="00350C06"/>
    <w:rsid w:val="00354F49"/>
    <w:rsid w:val="00355427"/>
    <w:rsid w:val="00367FEE"/>
    <w:rsid w:val="00372D16"/>
    <w:rsid w:val="003814FD"/>
    <w:rsid w:val="00381B6F"/>
    <w:rsid w:val="00387EBA"/>
    <w:rsid w:val="00390766"/>
    <w:rsid w:val="003954B9"/>
    <w:rsid w:val="003A2716"/>
    <w:rsid w:val="003A4987"/>
    <w:rsid w:val="003B390C"/>
    <w:rsid w:val="003B5435"/>
    <w:rsid w:val="003D43E5"/>
    <w:rsid w:val="003D6864"/>
    <w:rsid w:val="003D70A2"/>
    <w:rsid w:val="003E1E68"/>
    <w:rsid w:val="003E481E"/>
    <w:rsid w:val="003E785D"/>
    <w:rsid w:val="003F5714"/>
    <w:rsid w:val="00401684"/>
    <w:rsid w:val="00403B1E"/>
    <w:rsid w:val="004102CB"/>
    <w:rsid w:val="00414FC8"/>
    <w:rsid w:val="00421CE8"/>
    <w:rsid w:val="004227B5"/>
    <w:rsid w:val="00422ED1"/>
    <w:rsid w:val="00423343"/>
    <w:rsid w:val="00425160"/>
    <w:rsid w:val="004306BD"/>
    <w:rsid w:val="00432055"/>
    <w:rsid w:val="00433130"/>
    <w:rsid w:val="004337AE"/>
    <w:rsid w:val="00435108"/>
    <w:rsid w:val="00444085"/>
    <w:rsid w:val="00444C8C"/>
    <w:rsid w:val="00452637"/>
    <w:rsid w:val="00454B9B"/>
    <w:rsid w:val="0046102B"/>
    <w:rsid w:val="00472416"/>
    <w:rsid w:val="0048540E"/>
    <w:rsid w:val="00487C27"/>
    <w:rsid w:val="00490BA9"/>
    <w:rsid w:val="00495476"/>
    <w:rsid w:val="004A1E6C"/>
    <w:rsid w:val="004C7660"/>
    <w:rsid w:val="004D226A"/>
    <w:rsid w:val="004D32D4"/>
    <w:rsid w:val="004D373B"/>
    <w:rsid w:val="004D3EC7"/>
    <w:rsid w:val="004D4046"/>
    <w:rsid w:val="004D5924"/>
    <w:rsid w:val="004D5A2C"/>
    <w:rsid w:val="004E09BA"/>
    <w:rsid w:val="004F06B3"/>
    <w:rsid w:val="004F0FFE"/>
    <w:rsid w:val="004F3755"/>
    <w:rsid w:val="004F47FB"/>
    <w:rsid w:val="004F61AA"/>
    <w:rsid w:val="004F62D9"/>
    <w:rsid w:val="00503B9C"/>
    <w:rsid w:val="00521A2D"/>
    <w:rsid w:val="00521EB9"/>
    <w:rsid w:val="005262C3"/>
    <w:rsid w:val="00530CF6"/>
    <w:rsid w:val="00530FC7"/>
    <w:rsid w:val="00532077"/>
    <w:rsid w:val="00543476"/>
    <w:rsid w:val="005663AD"/>
    <w:rsid w:val="00576F90"/>
    <w:rsid w:val="0057751A"/>
    <w:rsid w:val="00580B23"/>
    <w:rsid w:val="005848DA"/>
    <w:rsid w:val="00584B85"/>
    <w:rsid w:val="00584E02"/>
    <w:rsid w:val="0058579A"/>
    <w:rsid w:val="00590526"/>
    <w:rsid w:val="00593380"/>
    <w:rsid w:val="00593437"/>
    <w:rsid w:val="0059648F"/>
    <w:rsid w:val="005A3BC4"/>
    <w:rsid w:val="005B0B8B"/>
    <w:rsid w:val="005B5445"/>
    <w:rsid w:val="005C14A3"/>
    <w:rsid w:val="005C3755"/>
    <w:rsid w:val="005C47CA"/>
    <w:rsid w:val="005E6958"/>
    <w:rsid w:val="005F154C"/>
    <w:rsid w:val="005F62C0"/>
    <w:rsid w:val="006051E4"/>
    <w:rsid w:val="00607521"/>
    <w:rsid w:val="00610B2E"/>
    <w:rsid w:val="006111F3"/>
    <w:rsid w:val="006122D0"/>
    <w:rsid w:val="00617CC2"/>
    <w:rsid w:val="00620AEF"/>
    <w:rsid w:val="00620C77"/>
    <w:rsid w:val="00624EDF"/>
    <w:rsid w:val="0062677E"/>
    <w:rsid w:val="00630451"/>
    <w:rsid w:val="0063139F"/>
    <w:rsid w:val="00633391"/>
    <w:rsid w:val="0063380B"/>
    <w:rsid w:val="00651F36"/>
    <w:rsid w:val="00653675"/>
    <w:rsid w:val="006542C3"/>
    <w:rsid w:val="00682EFB"/>
    <w:rsid w:val="00683873"/>
    <w:rsid w:val="00684063"/>
    <w:rsid w:val="0068432C"/>
    <w:rsid w:val="006A1206"/>
    <w:rsid w:val="006A2DD9"/>
    <w:rsid w:val="006A457C"/>
    <w:rsid w:val="006B0920"/>
    <w:rsid w:val="006B202E"/>
    <w:rsid w:val="006B5FEE"/>
    <w:rsid w:val="006C1F27"/>
    <w:rsid w:val="006D1BE4"/>
    <w:rsid w:val="006D46B3"/>
    <w:rsid w:val="006D6FE0"/>
    <w:rsid w:val="006E3088"/>
    <w:rsid w:val="006E3F7E"/>
    <w:rsid w:val="006E4712"/>
    <w:rsid w:val="006F4A0B"/>
    <w:rsid w:val="006F69C3"/>
    <w:rsid w:val="006F7889"/>
    <w:rsid w:val="007022E3"/>
    <w:rsid w:val="00703C1C"/>
    <w:rsid w:val="00710CC7"/>
    <w:rsid w:val="00723A79"/>
    <w:rsid w:val="00730869"/>
    <w:rsid w:val="0073556D"/>
    <w:rsid w:val="00735B94"/>
    <w:rsid w:val="0074321E"/>
    <w:rsid w:val="00743764"/>
    <w:rsid w:val="00762A74"/>
    <w:rsid w:val="00766528"/>
    <w:rsid w:val="00766FC7"/>
    <w:rsid w:val="0078119A"/>
    <w:rsid w:val="00791812"/>
    <w:rsid w:val="007B1794"/>
    <w:rsid w:val="007B390E"/>
    <w:rsid w:val="007B6816"/>
    <w:rsid w:val="007B7172"/>
    <w:rsid w:val="007C1228"/>
    <w:rsid w:val="007C29B8"/>
    <w:rsid w:val="007E034A"/>
    <w:rsid w:val="007E121E"/>
    <w:rsid w:val="007E3405"/>
    <w:rsid w:val="007E3C2E"/>
    <w:rsid w:val="007E3E0B"/>
    <w:rsid w:val="007F0C9A"/>
    <w:rsid w:val="007F1607"/>
    <w:rsid w:val="007F1C10"/>
    <w:rsid w:val="00802E18"/>
    <w:rsid w:val="00810322"/>
    <w:rsid w:val="008139F3"/>
    <w:rsid w:val="00822C76"/>
    <w:rsid w:val="00825B17"/>
    <w:rsid w:val="008327C4"/>
    <w:rsid w:val="00832C46"/>
    <w:rsid w:val="00844406"/>
    <w:rsid w:val="0084775F"/>
    <w:rsid w:val="00850602"/>
    <w:rsid w:val="008541DA"/>
    <w:rsid w:val="008577F6"/>
    <w:rsid w:val="0086341E"/>
    <w:rsid w:val="00864576"/>
    <w:rsid w:val="00866C29"/>
    <w:rsid w:val="00866C43"/>
    <w:rsid w:val="00871ADD"/>
    <w:rsid w:val="00875C6F"/>
    <w:rsid w:val="00877523"/>
    <w:rsid w:val="00881A2F"/>
    <w:rsid w:val="00890D2C"/>
    <w:rsid w:val="00892A5F"/>
    <w:rsid w:val="00892BFE"/>
    <w:rsid w:val="00897B0A"/>
    <w:rsid w:val="008A005C"/>
    <w:rsid w:val="008A3DFA"/>
    <w:rsid w:val="008A4EF2"/>
    <w:rsid w:val="008A572E"/>
    <w:rsid w:val="008B7BAF"/>
    <w:rsid w:val="008C2953"/>
    <w:rsid w:val="008C5FC7"/>
    <w:rsid w:val="008D434A"/>
    <w:rsid w:val="008D6911"/>
    <w:rsid w:val="008E27D1"/>
    <w:rsid w:val="008F298A"/>
    <w:rsid w:val="008F66AD"/>
    <w:rsid w:val="00901BC1"/>
    <w:rsid w:val="00903595"/>
    <w:rsid w:val="00911DF5"/>
    <w:rsid w:val="00917141"/>
    <w:rsid w:val="00924C17"/>
    <w:rsid w:val="00936BA6"/>
    <w:rsid w:val="009378B8"/>
    <w:rsid w:val="00943843"/>
    <w:rsid w:val="00952D23"/>
    <w:rsid w:val="00967B00"/>
    <w:rsid w:val="00973341"/>
    <w:rsid w:val="00975CAB"/>
    <w:rsid w:val="0098683B"/>
    <w:rsid w:val="00986F02"/>
    <w:rsid w:val="009A00E8"/>
    <w:rsid w:val="009A3A88"/>
    <w:rsid w:val="009A4ABA"/>
    <w:rsid w:val="009B192F"/>
    <w:rsid w:val="009B4F30"/>
    <w:rsid w:val="009C53CE"/>
    <w:rsid w:val="009D23D3"/>
    <w:rsid w:val="009D42E1"/>
    <w:rsid w:val="009D5224"/>
    <w:rsid w:val="009D60B1"/>
    <w:rsid w:val="009E400A"/>
    <w:rsid w:val="009F5240"/>
    <w:rsid w:val="009F6489"/>
    <w:rsid w:val="009F67FB"/>
    <w:rsid w:val="009F684D"/>
    <w:rsid w:val="00A01969"/>
    <w:rsid w:val="00A04545"/>
    <w:rsid w:val="00A136FC"/>
    <w:rsid w:val="00A209A6"/>
    <w:rsid w:val="00A212B2"/>
    <w:rsid w:val="00A2434C"/>
    <w:rsid w:val="00A313A5"/>
    <w:rsid w:val="00A32481"/>
    <w:rsid w:val="00A36E9A"/>
    <w:rsid w:val="00A40C2F"/>
    <w:rsid w:val="00A41722"/>
    <w:rsid w:val="00A44C9E"/>
    <w:rsid w:val="00A50D31"/>
    <w:rsid w:val="00A565A2"/>
    <w:rsid w:val="00A60B5C"/>
    <w:rsid w:val="00A84130"/>
    <w:rsid w:val="00A875BF"/>
    <w:rsid w:val="00A913A2"/>
    <w:rsid w:val="00A93D70"/>
    <w:rsid w:val="00A95E3E"/>
    <w:rsid w:val="00AA2605"/>
    <w:rsid w:val="00AA579D"/>
    <w:rsid w:val="00AC58E1"/>
    <w:rsid w:val="00AC77C0"/>
    <w:rsid w:val="00AD407A"/>
    <w:rsid w:val="00AF40A6"/>
    <w:rsid w:val="00B051FA"/>
    <w:rsid w:val="00B07F40"/>
    <w:rsid w:val="00B113BB"/>
    <w:rsid w:val="00B11840"/>
    <w:rsid w:val="00B11AEA"/>
    <w:rsid w:val="00B13E12"/>
    <w:rsid w:val="00B1588C"/>
    <w:rsid w:val="00B23049"/>
    <w:rsid w:val="00B26502"/>
    <w:rsid w:val="00B31227"/>
    <w:rsid w:val="00B32519"/>
    <w:rsid w:val="00B4126C"/>
    <w:rsid w:val="00B46AD9"/>
    <w:rsid w:val="00B5017D"/>
    <w:rsid w:val="00B50203"/>
    <w:rsid w:val="00B57B9F"/>
    <w:rsid w:val="00B6337D"/>
    <w:rsid w:val="00B71526"/>
    <w:rsid w:val="00B834EE"/>
    <w:rsid w:val="00B94A49"/>
    <w:rsid w:val="00B97774"/>
    <w:rsid w:val="00BA5B9D"/>
    <w:rsid w:val="00BB2ABC"/>
    <w:rsid w:val="00BB6C49"/>
    <w:rsid w:val="00BC48C1"/>
    <w:rsid w:val="00BC624B"/>
    <w:rsid w:val="00BD65F9"/>
    <w:rsid w:val="00BE1A9C"/>
    <w:rsid w:val="00BE5C89"/>
    <w:rsid w:val="00BF07AB"/>
    <w:rsid w:val="00BF092D"/>
    <w:rsid w:val="00BF1C06"/>
    <w:rsid w:val="00BF6220"/>
    <w:rsid w:val="00C11493"/>
    <w:rsid w:val="00C11609"/>
    <w:rsid w:val="00C37AE0"/>
    <w:rsid w:val="00C50880"/>
    <w:rsid w:val="00C613A9"/>
    <w:rsid w:val="00C65CAA"/>
    <w:rsid w:val="00C7128B"/>
    <w:rsid w:val="00C733A6"/>
    <w:rsid w:val="00C75597"/>
    <w:rsid w:val="00C84469"/>
    <w:rsid w:val="00C9232C"/>
    <w:rsid w:val="00C93FBD"/>
    <w:rsid w:val="00C9715B"/>
    <w:rsid w:val="00C97986"/>
    <w:rsid w:val="00C97A4B"/>
    <w:rsid w:val="00C97A54"/>
    <w:rsid w:val="00CA50C2"/>
    <w:rsid w:val="00CB27CC"/>
    <w:rsid w:val="00CB4003"/>
    <w:rsid w:val="00CB7CF0"/>
    <w:rsid w:val="00CC5CC6"/>
    <w:rsid w:val="00CD2259"/>
    <w:rsid w:val="00CE0404"/>
    <w:rsid w:val="00CE089D"/>
    <w:rsid w:val="00CF49F5"/>
    <w:rsid w:val="00D051E4"/>
    <w:rsid w:val="00D15A13"/>
    <w:rsid w:val="00D16EA4"/>
    <w:rsid w:val="00D22516"/>
    <w:rsid w:val="00D24A9D"/>
    <w:rsid w:val="00D271DD"/>
    <w:rsid w:val="00D30A56"/>
    <w:rsid w:val="00D33DFB"/>
    <w:rsid w:val="00D354FC"/>
    <w:rsid w:val="00D41491"/>
    <w:rsid w:val="00D44A92"/>
    <w:rsid w:val="00D4620A"/>
    <w:rsid w:val="00D602D5"/>
    <w:rsid w:val="00D62D8F"/>
    <w:rsid w:val="00D75175"/>
    <w:rsid w:val="00D816E8"/>
    <w:rsid w:val="00D83D43"/>
    <w:rsid w:val="00D87FAA"/>
    <w:rsid w:val="00D90E59"/>
    <w:rsid w:val="00D92C05"/>
    <w:rsid w:val="00D93D82"/>
    <w:rsid w:val="00D95656"/>
    <w:rsid w:val="00DA3961"/>
    <w:rsid w:val="00DA39EC"/>
    <w:rsid w:val="00DB13C6"/>
    <w:rsid w:val="00DB7932"/>
    <w:rsid w:val="00DC1BFA"/>
    <w:rsid w:val="00DC2D70"/>
    <w:rsid w:val="00DD1CA6"/>
    <w:rsid w:val="00DE011D"/>
    <w:rsid w:val="00DE6C2C"/>
    <w:rsid w:val="00DF2D8E"/>
    <w:rsid w:val="00DF2F9E"/>
    <w:rsid w:val="00DF5443"/>
    <w:rsid w:val="00DF58C2"/>
    <w:rsid w:val="00E019B5"/>
    <w:rsid w:val="00E03F43"/>
    <w:rsid w:val="00E05360"/>
    <w:rsid w:val="00E131D5"/>
    <w:rsid w:val="00E17B02"/>
    <w:rsid w:val="00E31C6D"/>
    <w:rsid w:val="00E31D64"/>
    <w:rsid w:val="00E34446"/>
    <w:rsid w:val="00E37F0D"/>
    <w:rsid w:val="00E44C85"/>
    <w:rsid w:val="00E519B1"/>
    <w:rsid w:val="00E55066"/>
    <w:rsid w:val="00E613A9"/>
    <w:rsid w:val="00E709A5"/>
    <w:rsid w:val="00E7229B"/>
    <w:rsid w:val="00E81341"/>
    <w:rsid w:val="00E82BC7"/>
    <w:rsid w:val="00E8718A"/>
    <w:rsid w:val="00E906A1"/>
    <w:rsid w:val="00E91CBD"/>
    <w:rsid w:val="00E94CE6"/>
    <w:rsid w:val="00EB0E8D"/>
    <w:rsid w:val="00EB1C59"/>
    <w:rsid w:val="00EB3717"/>
    <w:rsid w:val="00EB5AA8"/>
    <w:rsid w:val="00EC04F1"/>
    <w:rsid w:val="00EC6139"/>
    <w:rsid w:val="00EC67D0"/>
    <w:rsid w:val="00EC68AE"/>
    <w:rsid w:val="00ED43A6"/>
    <w:rsid w:val="00EE4A3A"/>
    <w:rsid w:val="00EE5E51"/>
    <w:rsid w:val="00EF521B"/>
    <w:rsid w:val="00EF6403"/>
    <w:rsid w:val="00EF7ECB"/>
    <w:rsid w:val="00F0304B"/>
    <w:rsid w:val="00F03E76"/>
    <w:rsid w:val="00F103FA"/>
    <w:rsid w:val="00F21180"/>
    <w:rsid w:val="00F22292"/>
    <w:rsid w:val="00F31854"/>
    <w:rsid w:val="00F32A75"/>
    <w:rsid w:val="00F65383"/>
    <w:rsid w:val="00F742EA"/>
    <w:rsid w:val="00F763CA"/>
    <w:rsid w:val="00F7685B"/>
    <w:rsid w:val="00F81375"/>
    <w:rsid w:val="00F8219D"/>
    <w:rsid w:val="00F83B1F"/>
    <w:rsid w:val="00F83F33"/>
    <w:rsid w:val="00F9434D"/>
    <w:rsid w:val="00F946A1"/>
    <w:rsid w:val="00F9569F"/>
    <w:rsid w:val="00F9600B"/>
    <w:rsid w:val="00FA13A7"/>
    <w:rsid w:val="00FA34CD"/>
    <w:rsid w:val="00FB52B0"/>
    <w:rsid w:val="00FC64D9"/>
    <w:rsid w:val="00FD1763"/>
    <w:rsid w:val="00FE620A"/>
    <w:rsid w:val="00FE74DC"/>
    <w:rsid w:val="00FF3765"/>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712B"/>
  <w15:docId w15:val="{E2B4B508-77C2-4A5D-A088-2C840B0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65"/>
    <w:pPr>
      <w:spacing w:after="0" w:line="240" w:lineRule="auto"/>
      <w:jc w:val="both"/>
    </w:pPr>
    <w:rPr>
      <w:sz w:val="22"/>
    </w:rPr>
  </w:style>
  <w:style w:type="paragraph" w:styleId="Heading1">
    <w:name w:val="heading 1"/>
    <w:aliases w:val="Chapter Title"/>
    <w:basedOn w:val="Normal"/>
    <w:next w:val="Normal"/>
    <w:link w:val="Heading1Char"/>
    <w:uiPriority w:val="9"/>
    <w:qFormat/>
    <w:rsid w:val="003D43E5"/>
    <w:pPr>
      <w:keepNext/>
      <w:pBdr>
        <w:bottom w:val="single" w:sz="18" w:space="4" w:color="204C81" w:themeColor="accent1"/>
      </w:pBdr>
      <w:outlineLvl w:val="0"/>
    </w:pPr>
    <w:rPr>
      <w:rFonts w:ascii="Tahoma" w:eastAsiaTheme="majorEastAsia" w:hAnsi="Tahoma" w:cstheme="majorBidi"/>
      <w:b/>
      <w:bCs/>
      <w:color w:val="204C81" w:themeColor="accent1"/>
      <w:sz w:val="32"/>
      <w:szCs w:val="28"/>
    </w:rPr>
  </w:style>
  <w:style w:type="paragraph" w:styleId="Heading2">
    <w:name w:val="heading 2"/>
    <w:aliases w:val="Section Heading"/>
    <w:basedOn w:val="Normal"/>
    <w:next w:val="Normal"/>
    <w:link w:val="Heading2Char"/>
    <w:uiPriority w:val="9"/>
    <w:unhideWhenUsed/>
    <w:qFormat/>
    <w:rsid w:val="00653675"/>
    <w:pPr>
      <w:keepNext/>
      <w:outlineLvl w:val="1"/>
    </w:pPr>
    <w:rPr>
      <w:rFonts w:ascii="Tahoma" w:eastAsiaTheme="majorEastAsia" w:hAnsi="Tahoma" w:cstheme="majorBidi"/>
      <w:b/>
      <w:bCs/>
      <w:color w:val="000000" w:themeColor="accent6"/>
      <w:sz w:val="28"/>
      <w:szCs w:val="26"/>
    </w:rPr>
  </w:style>
  <w:style w:type="paragraph" w:styleId="Heading3">
    <w:name w:val="heading 3"/>
    <w:aliases w:val="Subheading 1"/>
    <w:basedOn w:val="Normal"/>
    <w:next w:val="Normal"/>
    <w:link w:val="Heading3Char"/>
    <w:uiPriority w:val="9"/>
    <w:unhideWhenUsed/>
    <w:qFormat/>
    <w:rsid w:val="00653675"/>
    <w:pPr>
      <w:keepNext/>
      <w:outlineLvl w:val="2"/>
    </w:pPr>
    <w:rPr>
      <w:rFonts w:ascii="Tahoma" w:eastAsiaTheme="majorEastAsia" w:hAnsi="Tahoma" w:cstheme="majorBidi"/>
      <w:b/>
      <w:bCs/>
      <w:color w:val="000000" w:themeColor="accent6"/>
    </w:rPr>
  </w:style>
  <w:style w:type="paragraph" w:styleId="Heading4">
    <w:name w:val="heading 4"/>
    <w:aliases w:val="Subheading 2"/>
    <w:basedOn w:val="Normal"/>
    <w:next w:val="Normal"/>
    <w:link w:val="Heading4Char"/>
    <w:uiPriority w:val="9"/>
    <w:unhideWhenUsed/>
    <w:qFormat/>
    <w:rsid w:val="00653675"/>
    <w:pPr>
      <w:keepNext/>
      <w:outlineLvl w:val="3"/>
    </w:pPr>
    <w:rPr>
      <w:rFonts w:ascii="Tahoma" w:eastAsiaTheme="majorEastAsia" w:hAnsi="Tahoma" w:cstheme="majorBidi"/>
      <w:b/>
      <w:bCs/>
      <w:i/>
      <w:iCs/>
      <w:color w:val="000000" w:themeColor="accent6"/>
    </w:rPr>
  </w:style>
  <w:style w:type="paragraph" w:styleId="Heading5">
    <w:name w:val="heading 5"/>
    <w:basedOn w:val="Normal"/>
    <w:next w:val="Normal"/>
    <w:link w:val="Heading5Char"/>
    <w:uiPriority w:val="9"/>
    <w:semiHidden/>
    <w:unhideWhenUsed/>
    <w:rsid w:val="00EC67D0"/>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19A"/>
    <w:rPr>
      <w:rFonts w:ascii="Tahoma" w:hAnsi="Tahoma" w:cs="Tahoma"/>
      <w:sz w:val="16"/>
      <w:szCs w:val="16"/>
    </w:rPr>
  </w:style>
  <w:style w:type="character" w:customStyle="1" w:styleId="BalloonTextChar">
    <w:name w:val="Balloon Text Char"/>
    <w:basedOn w:val="DefaultParagraphFont"/>
    <w:link w:val="BalloonText"/>
    <w:uiPriority w:val="99"/>
    <w:semiHidden/>
    <w:rsid w:val="0078119A"/>
    <w:rPr>
      <w:rFonts w:ascii="Tahoma" w:hAnsi="Tahoma" w:cs="Tahoma"/>
      <w:sz w:val="16"/>
      <w:szCs w:val="16"/>
    </w:rPr>
  </w:style>
  <w:style w:type="character" w:customStyle="1" w:styleId="Heading3Char">
    <w:name w:val="Heading 3 Char"/>
    <w:aliases w:val="Subheading 1 Char"/>
    <w:basedOn w:val="DefaultParagraphFont"/>
    <w:link w:val="Heading3"/>
    <w:uiPriority w:val="9"/>
    <w:rsid w:val="00653675"/>
    <w:rPr>
      <w:rFonts w:ascii="Tahoma" w:eastAsiaTheme="majorEastAsia" w:hAnsi="Tahoma" w:cstheme="majorBidi"/>
      <w:b/>
      <w:bCs/>
      <w:color w:val="000000" w:themeColor="accent6"/>
      <w:sz w:val="22"/>
    </w:rPr>
  </w:style>
  <w:style w:type="character" w:customStyle="1" w:styleId="Heading1Char">
    <w:name w:val="Heading 1 Char"/>
    <w:aliases w:val="Chapter Title Char"/>
    <w:basedOn w:val="DefaultParagraphFont"/>
    <w:link w:val="Heading1"/>
    <w:uiPriority w:val="9"/>
    <w:rsid w:val="003D43E5"/>
    <w:rPr>
      <w:rFonts w:ascii="Tahoma" w:eastAsiaTheme="majorEastAsia" w:hAnsi="Tahoma" w:cstheme="majorBidi"/>
      <w:b/>
      <w:bCs/>
      <w:color w:val="204C81" w:themeColor="accent1"/>
      <w:sz w:val="32"/>
      <w:szCs w:val="28"/>
    </w:rPr>
  </w:style>
  <w:style w:type="character" w:customStyle="1" w:styleId="Heading2Char">
    <w:name w:val="Heading 2 Char"/>
    <w:aliases w:val="Section Heading Char"/>
    <w:basedOn w:val="DefaultParagraphFont"/>
    <w:link w:val="Heading2"/>
    <w:uiPriority w:val="9"/>
    <w:rsid w:val="00653675"/>
    <w:rPr>
      <w:rFonts w:ascii="Tahoma" w:eastAsiaTheme="majorEastAsia" w:hAnsi="Tahoma" w:cstheme="majorBidi"/>
      <w:b/>
      <w:bCs/>
      <w:color w:val="000000" w:themeColor="accent6"/>
      <w:sz w:val="28"/>
      <w:szCs w:val="26"/>
    </w:rPr>
  </w:style>
  <w:style w:type="character" w:customStyle="1" w:styleId="Heading4Char">
    <w:name w:val="Heading 4 Char"/>
    <w:aliases w:val="Subheading 2 Char"/>
    <w:basedOn w:val="DefaultParagraphFont"/>
    <w:link w:val="Heading4"/>
    <w:uiPriority w:val="9"/>
    <w:rsid w:val="00653675"/>
    <w:rPr>
      <w:rFonts w:ascii="Tahoma" w:eastAsiaTheme="majorEastAsia" w:hAnsi="Tahoma" w:cstheme="majorBidi"/>
      <w:b/>
      <w:bCs/>
      <w:i/>
      <w:iCs/>
      <w:color w:val="000000" w:themeColor="accent6"/>
      <w:sz w:val="22"/>
    </w:rPr>
  </w:style>
  <w:style w:type="paragraph" w:styleId="ListParagraph">
    <w:name w:val="List Paragraph"/>
    <w:basedOn w:val="Normal"/>
    <w:link w:val="ListParagraphChar"/>
    <w:uiPriority w:val="34"/>
    <w:rsid w:val="00B5017D"/>
    <w:pPr>
      <w:ind w:left="720"/>
      <w:contextualSpacing/>
    </w:pPr>
  </w:style>
  <w:style w:type="paragraph" w:styleId="CommentText">
    <w:name w:val="annotation text"/>
    <w:basedOn w:val="Normal"/>
    <w:link w:val="CommentTextChar"/>
    <w:semiHidden/>
    <w:rsid w:val="00E37F0D"/>
    <w:rPr>
      <w:rFonts w:eastAsia="Times New Roman"/>
    </w:rPr>
  </w:style>
  <w:style w:type="character" w:customStyle="1" w:styleId="CommentTextChar">
    <w:name w:val="Comment Text Char"/>
    <w:basedOn w:val="DefaultParagraphFont"/>
    <w:link w:val="CommentText"/>
    <w:semiHidden/>
    <w:rsid w:val="00E37F0D"/>
    <w:rPr>
      <w:rFonts w:eastAsia="Times New Roman"/>
    </w:rPr>
  </w:style>
  <w:style w:type="character" w:styleId="CommentReference">
    <w:name w:val="annotation reference"/>
    <w:basedOn w:val="DefaultParagraphFont"/>
    <w:semiHidden/>
    <w:rsid w:val="00E37F0D"/>
    <w:rPr>
      <w:sz w:val="16"/>
      <w:szCs w:val="16"/>
    </w:rPr>
  </w:style>
  <w:style w:type="paragraph" w:customStyle="1" w:styleId="TableHeaderRow">
    <w:name w:val="Table Header Row"/>
    <w:rsid w:val="00E37F0D"/>
    <w:pPr>
      <w:spacing w:after="0" w:line="240" w:lineRule="auto"/>
      <w:jc w:val="center"/>
    </w:pPr>
    <w:rPr>
      <w:rFonts w:eastAsia="Times New Roman"/>
      <w:b/>
      <w:sz w:val="24"/>
      <w:szCs w:val="24"/>
    </w:rPr>
  </w:style>
  <w:style w:type="paragraph" w:customStyle="1" w:styleId="TableBody">
    <w:name w:val="Table Body"/>
    <w:qFormat/>
    <w:rsid w:val="00E37F0D"/>
    <w:pPr>
      <w:spacing w:after="0" w:line="240" w:lineRule="auto"/>
      <w:jc w:val="center"/>
    </w:pPr>
    <w:rPr>
      <w:rFonts w:eastAsia="Times New Roman"/>
      <w:sz w:val="24"/>
      <w:szCs w:val="24"/>
    </w:rPr>
  </w:style>
  <w:style w:type="paragraph" w:customStyle="1" w:styleId="SideBarHeading">
    <w:name w:val="Side Bar Heading"/>
    <w:next w:val="Normal"/>
    <w:rsid w:val="00943843"/>
    <w:pPr>
      <w:spacing w:after="360" w:line="240" w:lineRule="auto"/>
      <w:jc w:val="center"/>
    </w:pPr>
    <w:rPr>
      <w:rFonts w:ascii="Tahoma Bold" w:eastAsia="Times New Roman" w:hAnsi="Tahoma Bold" w:cs="Arial"/>
      <w:b/>
      <w:sz w:val="24"/>
      <w:szCs w:val="28"/>
    </w:rPr>
  </w:style>
  <w:style w:type="table" w:styleId="TableGrid">
    <w:name w:val="Table Grid"/>
    <w:basedOn w:val="TableNormal"/>
    <w:uiPriority w:val="59"/>
    <w:rsid w:val="00943843"/>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3BC4"/>
    <w:pPr>
      <w:pBdr>
        <w:bottom w:val="single" w:sz="12" w:space="1" w:color="204C81" w:themeColor="accent1"/>
      </w:pBdr>
      <w:tabs>
        <w:tab w:val="center" w:pos="4680"/>
        <w:tab w:val="right" w:pos="9360"/>
      </w:tabs>
      <w:jc w:val="center"/>
    </w:pPr>
    <w:rPr>
      <w:b/>
      <w:color w:val="204C81"/>
      <w:sz w:val="18"/>
    </w:rPr>
  </w:style>
  <w:style w:type="character" w:customStyle="1" w:styleId="HeaderChar">
    <w:name w:val="Header Char"/>
    <w:basedOn w:val="DefaultParagraphFont"/>
    <w:link w:val="Header"/>
    <w:rsid w:val="00173BC4"/>
    <w:rPr>
      <w:b/>
      <w:color w:val="204C81"/>
      <w:sz w:val="18"/>
    </w:rPr>
  </w:style>
  <w:style w:type="paragraph" w:styleId="Footer">
    <w:name w:val="footer"/>
    <w:basedOn w:val="Normal"/>
    <w:link w:val="FooterChar"/>
    <w:unhideWhenUsed/>
    <w:rsid w:val="00173BC4"/>
    <w:pPr>
      <w:pBdr>
        <w:top w:val="single" w:sz="12" w:space="1" w:color="204C81" w:themeColor="accent1"/>
      </w:pBdr>
      <w:tabs>
        <w:tab w:val="center" w:pos="4680"/>
        <w:tab w:val="right" w:pos="9360"/>
      </w:tabs>
      <w:jc w:val="center"/>
    </w:pPr>
    <w:rPr>
      <w:b/>
      <w:color w:val="204C81" w:themeColor="accent1"/>
      <w:sz w:val="18"/>
    </w:rPr>
  </w:style>
  <w:style w:type="character" w:customStyle="1" w:styleId="FooterChar">
    <w:name w:val="Footer Char"/>
    <w:basedOn w:val="DefaultParagraphFont"/>
    <w:link w:val="Footer"/>
    <w:rsid w:val="00173BC4"/>
    <w:rPr>
      <w:b/>
      <w:color w:val="204C81" w:themeColor="accent1"/>
      <w:sz w:val="18"/>
    </w:rPr>
  </w:style>
  <w:style w:type="character" w:styleId="PageNumber">
    <w:name w:val="page number"/>
    <w:basedOn w:val="DefaultParagraphFont"/>
    <w:rsid w:val="00DF2F9E"/>
  </w:style>
  <w:style w:type="paragraph" w:styleId="TOCHeading">
    <w:name w:val="TOC Heading"/>
    <w:basedOn w:val="Heading1"/>
    <w:next w:val="Normal"/>
    <w:uiPriority w:val="39"/>
    <w:semiHidden/>
    <w:unhideWhenUsed/>
    <w:qFormat/>
    <w:rsid w:val="001B1FAD"/>
    <w:pPr>
      <w:keepLines/>
      <w:spacing w:before="480" w:line="276" w:lineRule="auto"/>
      <w:outlineLvl w:val="9"/>
    </w:pPr>
    <w:rPr>
      <w:rFonts w:asciiTheme="majorHAnsi" w:hAnsiTheme="majorHAnsi"/>
      <w:color w:val="183860" w:themeColor="accent1" w:themeShade="BF"/>
      <w:sz w:val="28"/>
    </w:rPr>
  </w:style>
  <w:style w:type="paragraph" w:styleId="TOC1">
    <w:name w:val="toc 1"/>
    <w:basedOn w:val="Normal"/>
    <w:next w:val="Normal"/>
    <w:autoRedefine/>
    <w:uiPriority w:val="39"/>
    <w:unhideWhenUsed/>
    <w:rsid w:val="00723A79"/>
    <w:pPr>
      <w:tabs>
        <w:tab w:val="right" w:leader="dot" w:pos="10070"/>
      </w:tabs>
      <w:spacing w:before="120" w:after="120"/>
    </w:pPr>
  </w:style>
  <w:style w:type="paragraph" w:styleId="TOC2">
    <w:name w:val="toc 2"/>
    <w:basedOn w:val="Normal"/>
    <w:next w:val="Normal"/>
    <w:autoRedefine/>
    <w:uiPriority w:val="39"/>
    <w:unhideWhenUsed/>
    <w:rsid w:val="00766FC7"/>
    <w:pPr>
      <w:tabs>
        <w:tab w:val="right" w:leader="dot" w:pos="10070"/>
      </w:tabs>
      <w:spacing w:before="120" w:after="120"/>
      <w:ind w:left="202"/>
    </w:pPr>
  </w:style>
  <w:style w:type="paragraph" w:styleId="TOC3">
    <w:name w:val="toc 3"/>
    <w:basedOn w:val="Normal"/>
    <w:next w:val="Normal"/>
    <w:autoRedefine/>
    <w:uiPriority w:val="39"/>
    <w:unhideWhenUsed/>
    <w:rsid w:val="00723A79"/>
    <w:pPr>
      <w:tabs>
        <w:tab w:val="right" w:leader="dot" w:pos="10070"/>
      </w:tabs>
      <w:spacing w:before="120" w:after="120"/>
      <w:ind w:left="403"/>
    </w:pPr>
  </w:style>
  <w:style w:type="character" w:styleId="Hyperlink">
    <w:name w:val="Hyperlink"/>
    <w:basedOn w:val="DefaultParagraphFont"/>
    <w:uiPriority w:val="99"/>
    <w:unhideWhenUsed/>
    <w:rsid w:val="00530FC7"/>
    <w:rPr>
      <w:color w:val="0000FF"/>
      <w:u w:val="single"/>
    </w:rPr>
  </w:style>
  <w:style w:type="character" w:customStyle="1" w:styleId="Heading5Char">
    <w:name w:val="Heading 5 Char"/>
    <w:basedOn w:val="DefaultParagraphFont"/>
    <w:link w:val="Heading5"/>
    <w:uiPriority w:val="9"/>
    <w:semiHidden/>
    <w:rsid w:val="00EC67D0"/>
    <w:rPr>
      <w:rFonts w:asciiTheme="majorHAnsi" w:eastAsiaTheme="majorEastAsia" w:hAnsiTheme="majorHAnsi" w:cstheme="majorBidi"/>
      <w:color w:val="102540" w:themeColor="accent1" w:themeShade="7F"/>
    </w:rPr>
  </w:style>
  <w:style w:type="numbering" w:customStyle="1" w:styleId="NERCListBullets">
    <w:name w:val="NERC List Bullets"/>
    <w:uiPriority w:val="99"/>
    <w:rsid w:val="00F83F33"/>
    <w:pPr>
      <w:numPr>
        <w:numId w:val="1"/>
      </w:numPr>
    </w:pPr>
  </w:style>
  <w:style w:type="paragraph" w:styleId="ListBullet">
    <w:name w:val="List Bullet"/>
    <w:basedOn w:val="Normal"/>
    <w:uiPriority w:val="99"/>
    <w:unhideWhenUsed/>
    <w:qFormat/>
    <w:rsid w:val="00653675"/>
    <w:pPr>
      <w:numPr>
        <w:numId w:val="13"/>
      </w:numPr>
      <w:spacing w:before="120"/>
    </w:pPr>
  </w:style>
  <w:style w:type="paragraph" w:styleId="ListBullet2">
    <w:name w:val="List Bullet 2"/>
    <w:basedOn w:val="Normal"/>
    <w:link w:val="ListBullet2Char"/>
    <w:uiPriority w:val="99"/>
    <w:unhideWhenUsed/>
    <w:rsid w:val="00653675"/>
    <w:pPr>
      <w:numPr>
        <w:ilvl w:val="1"/>
        <w:numId w:val="13"/>
      </w:numPr>
      <w:spacing w:before="120"/>
    </w:pPr>
  </w:style>
  <w:style w:type="paragraph" w:styleId="ListBullet3">
    <w:name w:val="List Bullet 3"/>
    <w:basedOn w:val="Normal"/>
    <w:link w:val="ListBullet3Char"/>
    <w:uiPriority w:val="99"/>
    <w:unhideWhenUsed/>
    <w:rsid w:val="00653675"/>
    <w:pPr>
      <w:numPr>
        <w:ilvl w:val="2"/>
        <w:numId w:val="13"/>
      </w:numPr>
      <w:spacing w:before="120"/>
    </w:pPr>
  </w:style>
  <w:style w:type="character" w:styleId="PlaceholderText">
    <w:name w:val="Placeholder Text"/>
    <w:basedOn w:val="DefaultParagraphFont"/>
    <w:uiPriority w:val="99"/>
    <w:semiHidden/>
    <w:rsid w:val="00911DF5"/>
    <w:rPr>
      <w:color w:val="808080"/>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qFormat/>
    <w:rsid w:val="007E034A"/>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7E034A"/>
    <w:rPr>
      <w:sz w:val="18"/>
    </w:rPr>
  </w:style>
  <w:style w:type="character" w:styleId="FootnoteReference">
    <w:name w:val="footnote reference"/>
    <w:aliases w:val="o,fr,Style 16,o1,fr1,o2,fr2,o3,fr3,Style 13,Style 12,Style 15,Style 17,Style 9,Style 18,(NECG) Footnote Reference,Style 20,Style 7,Styl,Style 8,Style 6,Style 19,Style 32,o + Times New Roman"/>
    <w:basedOn w:val="DefaultParagraphFont"/>
    <w:uiPriority w:val="99"/>
    <w:unhideWhenUsed/>
    <w:qFormat/>
    <w:rsid w:val="00F32A75"/>
    <w:rPr>
      <w:vertAlign w:val="superscript"/>
    </w:rPr>
  </w:style>
  <w:style w:type="character" w:styleId="FollowedHyperlink">
    <w:name w:val="FollowedHyperlink"/>
    <w:basedOn w:val="DefaultParagraphFont"/>
    <w:uiPriority w:val="99"/>
    <w:semiHidden/>
    <w:unhideWhenUsed/>
    <w:rsid w:val="00530FC7"/>
    <w:rPr>
      <w:color w:val="7030A0"/>
      <w:u w:val="single"/>
    </w:rPr>
  </w:style>
  <w:style w:type="paragraph" w:styleId="CommentSubject">
    <w:name w:val="annotation subject"/>
    <w:basedOn w:val="CommentText"/>
    <w:next w:val="CommentText"/>
    <w:link w:val="CommentSubjectChar"/>
    <w:uiPriority w:val="99"/>
    <w:semiHidden/>
    <w:unhideWhenUsed/>
    <w:rsid w:val="00975CAB"/>
    <w:rPr>
      <w:rFonts w:eastAsiaTheme="minorHAnsi"/>
      <w:b/>
      <w:bCs/>
    </w:rPr>
  </w:style>
  <w:style w:type="character" w:customStyle="1" w:styleId="CommentSubjectChar">
    <w:name w:val="Comment Subject Char"/>
    <w:basedOn w:val="CommentTextChar"/>
    <w:link w:val="CommentSubject"/>
    <w:uiPriority w:val="99"/>
    <w:semiHidden/>
    <w:rsid w:val="00975CAB"/>
    <w:rPr>
      <w:rFonts w:eastAsia="Times New Roman"/>
      <w:b/>
      <w:bCs/>
    </w:rPr>
  </w:style>
  <w:style w:type="paragraph" w:customStyle="1" w:styleId="TOCHeader">
    <w:name w:val="TOC Header"/>
    <w:next w:val="NoSpacing"/>
    <w:link w:val="TOCHeaderChar"/>
    <w:rsid w:val="00766FC7"/>
    <w:pPr>
      <w:pBdr>
        <w:bottom w:val="single" w:sz="18" w:space="1" w:color="204C81" w:themeColor="accent1"/>
      </w:pBdr>
    </w:pPr>
    <w:rPr>
      <w:rFonts w:ascii="Tahoma" w:eastAsiaTheme="majorEastAsia" w:hAnsi="Tahoma" w:cstheme="majorBidi"/>
      <w:b/>
      <w:bCs/>
      <w:color w:val="204C81" w:themeColor="accent1"/>
      <w:sz w:val="32"/>
      <w:szCs w:val="28"/>
    </w:rPr>
  </w:style>
  <w:style w:type="paragraph" w:customStyle="1" w:styleId="TableofContentsTitleStyle">
    <w:name w:val="Table of Contents Title Style"/>
    <w:basedOn w:val="TOCHeader"/>
    <w:rsid w:val="00766FC7"/>
  </w:style>
  <w:style w:type="character" w:customStyle="1" w:styleId="TOCHeaderChar">
    <w:name w:val="TOC Header Char"/>
    <w:basedOn w:val="Heading1Char"/>
    <w:link w:val="TOCHeader"/>
    <w:rsid w:val="00766FC7"/>
    <w:rPr>
      <w:rFonts w:ascii="Tahoma" w:eastAsiaTheme="majorEastAsia" w:hAnsi="Tahoma" w:cstheme="majorBidi"/>
      <w:b/>
      <w:bCs/>
      <w:color w:val="204C81" w:themeColor="accent1"/>
      <w:sz w:val="32"/>
      <w:szCs w:val="28"/>
    </w:rPr>
  </w:style>
  <w:style w:type="paragraph" w:styleId="TOC4">
    <w:name w:val="toc 4"/>
    <w:basedOn w:val="Normal"/>
    <w:next w:val="Normal"/>
    <w:autoRedefine/>
    <w:uiPriority w:val="39"/>
    <w:semiHidden/>
    <w:unhideWhenUsed/>
    <w:rsid w:val="00766FC7"/>
    <w:pPr>
      <w:spacing w:before="120" w:after="120"/>
      <w:ind w:left="660"/>
    </w:pPr>
  </w:style>
  <w:style w:type="paragraph" w:styleId="TOC5">
    <w:name w:val="toc 5"/>
    <w:basedOn w:val="Normal"/>
    <w:next w:val="Normal"/>
    <w:autoRedefine/>
    <w:uiPriority w:val="39"/>
    <w:semiHidden/>
    <w:unhideWhenUsed/>
    <w:rsid w:val="00766FC7"/>
    <w:pPr>
      <w:spacing w:before="120" w:after="220"/>
      <w:ind w:left="880"/>
    </w:pPr>
  </w:style>
  <w:style w:type="paragraph" w:styleId="TOC6">
    <w:name w:val="toc 6"/>
    <w:basedOn w:val="Normal"/>
    <w:next w:val="Normal"/>
    <w:autoRedefine/>
    <w:uiPriority w:val="39"/>
    <w:semiHidden/>
    <w:unhideWhenUsed/>
    <w:rsid w:val="00766FC7"/>
    <w:pPr>
      <w:spacing w:before="120" w:after="120"/>
      <w:ind w:left="1100"/>
    </w:pPr>
  </w:style>
  <w:style w:type="paragraph" w:styleId="TOC7">
    <w:name w:val="toc 7"/>
    <w:basedOn w:val="Normal"/>
    <w:next w:val="Normal"/>
    <w:autoRedefine/>
    <w:uiPriority w:val="39"/>
    <w:semiHidden/>
    <w:unhideWhenUsed/>
    <w:rsid w:val="00766FC7"/>
    <w:pPr>
      <w:spacing w:before="120" w:after="120"/>
      <w:ind w:left="1320"/>
    </w:pPr>
  </w:style>
  <w:style w:type="paragraph" w:styleId="TOC8">
    <w:name w:val="toc 8"/>
    <w:basedOn w:val="Normal"/>
    <w:next w:val="Normal"/>
    <w:autoRedefine/>
    <w:uiPriority w:val="39"/>
    <w:semiHidden/>
    <w:unhideWhenUsed/>
    <w:rsid w:val="00766FC7"/>
    <w:pPr>
      <w:spacing w:before="120" w:after="120"/>
      <w:ind w:left="1540"/>
    </w:pPr>
  </w:style>
  <w:style w:type="paragraph" w:styleId="TOC9">
    <w:name w:val="toc 9"/>
    <w:basedOn w:val="Normal"/>
    <w:next w:val="Normal"/>
    <w:autoRedefine/>
    <w:uiPriority w:val="39"/>
    <w:semiHidden/>
    <w:unhideWhenUsed/>
    <w:rsid w:val="00766FC7"/>
    <w:pPr>
      <w:spacing w:before="120" w:after="120"/>
      <w:ind w:left="1760"/>
    </w:pPr>
  </w:style>
  <w:style w:type="paragraph" w:styleId="NoSpacing">
    <w:name w:val="No Spacing"/>
    <w:uiPriority w:val="1"/>
    <w:rsid w:val="00766FC7"/>
    <w:pPr>
      <w:spacing w:after="0" w:line="240" w:lineRule="auto"/>
      <w:jc w:val="both"/>
    </w:pPr>
    <w:rPr>
      <w:sz w:val="22"/>
    </w:rPr>
  </w:style>
  <w:style w:type="paragraph" w:customStyle="1" w:styleId="CaptionNERC">
    <w:name w:val="Caption NERC"/>
    <w:basedOn w:val="Normal"/>
    <w:link w:val="CaptionNERCChar"/>
    <w:qFormat/>
    <w:rsid w:val="00F8219D"/>
    <w:pPr>
      <w:spacing w:before="120"/>
      <w:jc w:val="center"/>
    </w:pPr>
    <w:rPr>
      <w:rFonts w:ascii="Tahoma" w:hAnsi="Tahoma" w:cs="Tahoma"/>
      <w:b/>
    </w:rPr>
  </w:style>
  <w:style w:type="character" w:customStyle="1" w:styleId="CaptionNERCChar">
    <w:name w:val="Caption NERC Char"/>
    <w:basedOn w:val="DefaultParagraphFont"/>
    <w:link w:val="CaptionNERC"/>
    <w:rsid w:val="00F8219D"/>
    <w:rPr>
      <w:rFonts w:ascii="Tahoma" w:hAnsi="Tahoma" w:cs="Tahoma"/>
      <w:b/>
      <w:sz w:val="22"/>
    </w:rPr>
  </w:style>
  <w:style w:type="paragraph" w:customStyle="1" w:styleId="ListNumber1">
    <w:name w:val="List Number 1"/>
    <w:basedOn w:val="ListParagraph"/>
    <w:link w:val="ListNumber1Char"/>
    <w:rsid w:val="004A1E6C"/>
    <w:pPr>
      <w:numPr>
        <w:numId w:val="8"/>
      </w:numPr>
      <w:spacing w:before="120" w:after="120"/>
    </w:pPr>
  </w:style>
  <w:style w:type="character" w:customStyle="1" w:styleId="ListBullet3Char">
    <w:name w:val="List Bullet 3 Char"/>
    <w:basedOn w:val="DefaultParagraphFont"/>
    <w:link w:val="ListBullet3"/>
    <w:uiPriority w:val="99"/>
    <w:rsid w:val="006542C3"/>
    <w:rPr>
      <w:sz w:val="22"/>
    </w:rPr>
  </w:style>
  <w:style w:type="paragraph" w:customStyle="1" w:styleId="ListNumbertwo">
    <w:name w:val="List Number two"/>
    <w:basedOn w:val="ListBullet2"/>
    <w:link w:val="ListNumbertwoChar"/>
    <w:rsid w:val="00B57B9F"/>
    <w:pPr>
      <w:numPr>
        <w:ilvl w:val="0"/>
        <w:numId w:val="9"/>
      </w:numPr>
      <w:spacing w:after="120"/>
    </w:pPr>
  </w:style>
  <w:style w:type="character" w:customStyle="1" w:styleId="ListParagraphChar">
    <w:name w:val="List Paragraph Char"/>
    <w:basedOn w:val="DefaultParagraphFont"/>
    <w:link w:val="ListParagraph"/>
    <w:uiPriority w:val="34"/>
    <w:rsid w:val="004A1E6C"/>
    <w:rPr>
      <w:sz w:val="22"/>
    </w:rPr>
  </w:style>
  <w:style w:type="character" w:customStyle="1" w:styleId="ListNumber1Char">
    <w:name w:val="List Number 1 Char"/>
    <w:basedOn w:val="ListParagraphChar"/>
    <w:link w:val="ListNumber1"/>
    <w:rsid w:val="004A1E6C"/>
    <w:rPr>
      <w:sz w:val="22"/>
    </w:rPr>
  </w:style>
  <w:style w:type="paragraph" w:customStyle="1" w:styleId="ListNumberOne">
    <w:name w:val="List Number One"/>
    <w:basedOn w:val="ListNumber"/>
    <w:link w:val="ListNumberOneChar"/>
    <w:rsid w:val="00B57B9F"/>
    <w:pPr>
      <w:numPr>
        <w:numId w:val="10"/>
      </w:numPr>
    </w:pPr>
  </w:style>
  <w:style w:type="character" w:customStyle="1" w:styleId="ListBullet2Char">
    <w:name w:val="List Bullet 2 Char"/>
    <w:basedOn w:val="DefaultParagraphFont"/>
    <w:link w:val="ListBullet2"/>
    <w:uiPriority w:val="99"/>
    <w:rsid w:val="00B57B9F"/>
    <w:rPr>
      <w:sz w:val="22"/>
    </w:rPr>
  </w:style>
  <w:style w:type="character" w:customStyle="1" w:styleId="ListNumbertwoChar">
    <w:name w:val="List Number two Char"/>
    <w:basedOn w:val="ListBullet2Char"/>
    <w:link w:val="ListNumbertwo"/>
    <w:rsid w:val="00B57B9F"/>
    <w:rPr>
      <w:sz w:val="22"/>
    </w:rPr>
  </w:style>
  <w:style w:type="paragraph" w:customStyle="1" w:styleId="ListNumberthree">
    <w:name w:val="List Number three"/>
    <w:basedOn w:val="ListNumberOne"/>
    <w:link w:val="ListNumberthreeChar"/>
    <w:rsid w:val="006E3F7E"/>
  </w:style>
  <w:style w:type="paragraph" w:styleId="ListNumber">
    <w:name w:val="List Number"/>
    <w:basedOn w:val="Normal"/>
    <w:link w:val="ListNumberChar"/>
    <w:uiPriority w:val="99"/>
    <w:unhideWhenUsed/>
    <w:rsid w:val="00B57B9F"/>
    <w:pPr>
      <w:numPr>
        <w:numId w:val="3"/>
      </w:numPr>
      <w:contextualSpacing/>
    </w:pPr>
  </w:style>
  <w:style w:type="character" w:customStyle="1" w:styleId="ListNumberChar">
    <w:name w:val="List Number Char"/>
    <w:basedOn w:val="DefaultParagraphFont"/>
    <w:link w:val="ListNumber"/>
    <w:uiPriority w:val="99"/>
    <w:rsid w:val="00B57B9F"/>
    <w:rPr>
      <w:sz w:val="22"/>
    </w:rPr>
  </w:style>
  <w:style w:type="character" w:customStyle="1" w:styleId="ListNumberOneChar">
    <w:name w:val="List Number One Char"/>
    <w:basedOn w:val="ListNumberChar"/>
    <w:link w:val="ListNumberOne"/>
    <w:rsid w:val="00B57B9F"/>
    <w:rPr>
      <w:sz w:val="22"/>
    </w:rPr>
  </w:style>
  <w:style w:type="paragraph" w:styleId="List2">
    <w:name w:val="List 2"/>
    <w:basedOn w:val="Normal"/>
    <w:uiPriority w:val="99"/>
    <w:unhideWhenUsed/>
    <w:rsid w:val="006E3F7E"/>
    <w:pPr>
      <w:ind w:left="720" w:hanging="360"/>
      <w:contextualSpacing/>
    </w:pPr>
  </w:style>
  <w:style w:type="paragraph" w:styleId="ListNumber3">
    <w:name w:val="List Number 3"/>
    <w:basedOn w:val="Normal"/>
    <w:link w:val="ListNumber3Char"/>
    <w:uiPriority w:val="99"/>
    <w:unhideWhenUsed/>
    <w:rsid w:val="006E3F7E"/>
    <w:pPr>
      <w:numPr>
        <w:numId w:val="5"/>
      </w:numPr>
      <w:contextualSpacing/>
    </w:pPr>
  </w:style>
  <w:style w:type="character" w:customStyle="1" w:styleId="ListNumber3Char">
    <w:name w:val="List Number 3 Char"/>
    <w:basedOn w:val="DefaultParagraphFont"/>
    <w:link w:val="ListNumber3"/>
    <w:uiPriority w:val="99"/>
    <w:rsid w:val="00B57B9F"/>
    <w:rPr>
      <w:sz w:val="22"/>
    </w:rPr>
  </w:style>
  <w:style w:type="character" w:customStyle="1" w:styleId="ListNumberthreeChar">
    <w:name w:val="List Number three Char"/>
    <w:basedOn w:val="ListNumber3Char"/>
    <w:link w:val="ListNumberthree"/>
    <w:rsid w:val="006E3F7E"/>
    <w:rPr>
      <w:sz w:val="22"/>
    </w:rPr>
  </w:style>
  <w:style w:type="paragraph" w:styleId="ListNumber2">
    <w:name w:val="List Number 2"/>
    <w:basedOn w:val="Normal"/>
    <w:link w:val="ListNumber2Char"/>
    <w:uiPriority w:val="99"/>
    <w:unhideWhenUsed/>
    <w:rsid w:val="006E3F7E"/>
    <w:pPr>
      <w:numPr>
        <w:numId w:val="4"/>
      </w:numPr>
      <w:spacing w:before="120" w:after="120"/>
      <w:contextualSpacing/>
    </w:pPr>
  </w:style>
  <w:style w:type="paragraph" w:styleId="ListNumber4">
    <w:name w:val="List Number 4"/>
    <w:basedOn w:val="Normal"/>
    <w:uiPriority w:val="99"/>
    <w:unhideWhenUsed/>
    <w:rsid w:val="006E3F7E"/>
    <w:pPr>
      <w:numPr>
        <w:numId w:val="6"/>
      </w:numPr>
      <w:contextualSpacing/>
    </w:pPr>
  </w:style>
  <w:style w:type="paragraph" w:styleId="ListContinue2">
    <w:name w:val="List Continue 2"/>
    <w:basedOn w:val="Normal"/>
    <w:uiPriority w:val="99"/>
    <w:unhideWhenUsed/>
    <w:rsid w:val="006E3F7E"/>
    <w:pPr>
      <w:spacing w:after="120"/>
      <w:ind w:left="720"/>
      <w:contextualSpacing/>
    </w:pPr>
  </w:style>
  <w:style w:type="paragraph" w:styleId="ListBullet5">
    <w:name w:val="List Bullet 5"/>
    <w:basedOn w:val="Normal"/>
    <w:uiPriority w:val="99"/>
    <w:unhideWhenUsed/>
    <w:rsid w:val="006E3F7E"/>
    <w:pPr>
      <w:numPr>
        <w:numId w:val="2"/>
      </w:numPr>
      <w:contextualSpacing/>
    </w:pPr>
  </w:style>
  <w:style w:type="paragraph" w:styleId="ListContinue">
    <w:name w:val="List Continue"/>
    <w:basedOn w:val="Normal"/>
    <w:uiPriority w:val="99"/>
    <w:unhideWhenUsed/>
    <w:rsid w:val="006E3F7E"/>
    <w:pPr>
      <w:spacing w:after="120"/>
      <w:ind w:left="360"/>
      <w:contextualSpacing/>
    </w:pPr>
  </w:style>
  <w:style w:type="paragraph" w:styleId="ListContinue3">
    <w:name w:val="List Continue 3"/>
    <w:basedOn w:val="Normal"/>
    <w:uiPriority w:val="99"/>
    <w:unhideWhenUsed/>
    <w:rsid w:val="006E3F7E"/>
    <w:pPr>
      <w:spacing w:after="120"/>
      <w:ind w:left="1080"/>
      <w:contextualSpacing/>
    </w:pPr>
  </w:style>
  <w:style w:type="paragraph" w:styleId="ListContinue5">
    <w:name w:val="List Continue 5"/>
    <w:basedOn w:val="Normal"/>
    <w:uiPriority w:val="99"/>
    <w:unhideWhenUsed/>
    <w:rsid w:val="006E3F7E"/>
    <w:pPr>
      <w:spacing w:after="120"/>
      <w:ind w:left="1800"/>
      <w:contextualSpacing/>
    </w:pPr>
  </w:style>
  <w:style w:type="paragraph" w:styleId="ListNumber5">
    <w:name w:val="List Number 5"/>
    <w:basedOn w:val="Normal"/>
    <w:uiPriority w:val="99"/>
    <w:unhideWhenUsed/>
    <w:rsid w:val="006E3F7E"/>
    <w:pPr>
      <w:numPr>
        <w:numId w:val="7"/>
      </w:numPr>
      <w:contextualSpacing/>
    </w:pPr>
  </w:style>
  <w:style w:type="paragraph" w:customStyle="1" w:styleId="ListNumberTwo0">
    <w:name w:val="List Number Two"/>
    <w:basedOn w:val="Normal"/>
    <w:link w:val="ListNumberTwoChar0"/>
    <w:rsid w:val="00165B8B"/>
    <w:pPr>
      <w:numPr>
        <w:numId w:val="11"/>
      </w:numPr>
    </w:pPr>
  </w:style>
  <w:style w:type="numbering" w:customStyle="1" w:styleId="NERCNumberedList">
    <w:name w:val="NERC Numbered List"/>
    <w:uiPriority w:val="99"/>
    <w:rsid w:val="00165B8B"/>
    <w:pPr>
      <w:numPr>
        <w:numId w:val="12"/>
      </w:numPr>
    </w:pPr>
  </w:style>
  <w:style w:type="character" w:customStyle="1" w:styleId="ListNumber2Char">
    <w:name w:val="List Number 2 Char"/>
    <w:basedOn w:val="DefaultParagraphFont"/>
    <w:link w:val="ListNumber2"/>
    <w:uiPriority w:val="99"/>
    <w:rsid w:val="006E3F7E"/>
    <w:rPr>
      <w:sz w:val="22"/>
    </w:rPr>
  </w:style>
  <w:style w:type="character" w:customStyle="1" w:styleId="ListNumberTwoChar0">
    <w:name w:val="List Number Two Char"/>
    <w:basedOn w:val="ListNumber2Char"/>
    <w:link w:val="ListNumberTwo0"/>
    <w:rsid w:val="00165B8B"/>
    <w:rPr>
      <w:sz w:val="22"/>
    </w:rPr>
  </w:style>
  <w:style w:type="paragraph" w:customStyle="1" w:styleId="ListNumbering">
    <w:name w:val="List Numbering"/>
    <w:basedOn w:val="ListParagraph"/>
    <w:qFormat/>
    <w:rsid w:val="00D87FAA"/>
    <w:pPr>
      <w:numPr>
        <w:numId w:val="14"/>
      </w:numPr>
      <w:spacing w:before="120"/>
      <w:contextualSpacing w:val="0"/>
    </w:pPr>
  </w:style>
  <w:style w:type="paragraph" w:customStyle="1" w:styleId="ListNumbering2">
    <w:name w:val="List Numbering 2"/>
    <w:basedOn w:val="ListParagraph"/>
    <w:rsid w:val="00D87FAA"/>
    <w:pPr>
      <w:numPr>
        <w:ilvl w:val="1"/>
        <w:numId w:val="14"/>
      </w:numPr>
      <w:spacing w:before="120"/>
      <w:ind w:left="1080"/>
      <w:contextualSpacing w:val="0"/>
    </w:pPr>
  </w:style>
  <w:style w:type="paragraph" w:customStyle="1" w:styleId="ListNumbering3">
    <w:name w:val="List Numbering 3"/>
    <w:basedOn w:val="ListParagraph"/>
    <w:rsid w:val="00D87FAA"/>
    <w:pPr>
      <w:numPr>
        <w:ilvl w:val="2"/>
        <w:numId w:val="14"/>
      </w:numPr>
      <w:spacing w:before="120"/>
      <w:ind w:left="1440"/>
      <w:contextualSpacing w:val="0"/>
    </w:pPr>
  </w:style>
  <w:style w:type="paragraph" w:customStyle="1" w:styleId="ListNumbering4">
    <w:name w:val="List Numbering 4"/>
    <w:basedOn w:val="ListParagraph"/>
    <w:rsid w:val="00D87FAA"/>
    <w:pPr>
      <w:numPr>
        <w:ilvl w:val="3"/>
        <w:numId w:val="14"/>
      </w:numPr>
      <w:spacing w:before="120"/>
      <w:ind w:left="1800"/>
      <w:contextualSpacing w:val="0"/>
    </w:pPr>
  </w:style>
  <w:style w:type="paragraph" w:customStyle="1" w:styleId="ListNumbering5">
    <w:name w:val="List Numbering 5"/>
    <w:basedOn w:val="ListParagraph"/>
    <w:rsid w:val="00D87FAA"/>
    <w:pPr>
      <w:numPr>
        <w:ilvl w:val="4"/>
        <w:numId w:val="14"/>
      </w:numPr>
      <w:spacing w:before="120"/>
      <w:ind w:left="2160"/>
      <w:contextualSpacing w:val="0"/>
      <w:jc w:val="left"/>
    </w:pPr>
  </w:style>
  <w:style w:type="paragraph" w:customStyle="1" w:styleId="ListNumbering6">
    <w:name w:val="List Numbering 6"/>
    <w:basedOn w:val="ListNumbering5"/>
    <w:rsid w:val="00FF3765"/>
    <w:pPr>
      <w:numPr>
        <w:ilvl w:val="5"/>
      </w:numPr>
      <w:ind w:left="2520"/>
    </w:pPr>
  </w:style>
  <w:style w:type="paragraph" w:customStyle="1" w:styleId="Footnote">
    <w:name w:val="Footnote"/>
    <w:basedOn w:val="Normal"/>
    <w:link w:val="FootnoteChar"/>
    <w:qFormat/>
    <w:rsid w:val="00422ED1"/>
    <w:pPr>
      <w:widowControl w:val="0"/>
      <w:adjustRightInd w:val="0"/>
      <w:spacing w:line="276" w:lineRule="auto"/>
      <w:ind w:left="144" w:hanging="144"/>
      <w:jc w:val="left"/>
      <w:textAlignment w:val="baseline"/>
    </w:pPr>
    <w:rPr>
      <w:rFonts w:eastAsia="Times New Roman"/>
      <w:sz w:val="16"/>
    </w:rPr>
  </w:style>
  <w:style w:type="character" w:customStyle="1" w:styleId="FootnoteChar">
    <w:name w:val="Footnote Char"/>
    <w:basedOn w:val="DefaultParagraphFont"/>
    <w:link w:val="Footnote"/>
    <w:rsid w:val="00422ED1"/>
    <w:rPr>
      <w:rFonts w:eastAsia="Times New Roman"/>
      <w:sz w:val="16"/>
    </w:rPr>
  </w:style>
  <w:style w:type="paragraph" w:styleId="Caption">
    <w:name w:val="caption"/>
    <w:basedOn w:val="Normal"/>
    <w:next w:val="Normal"/>
    <w:unhideWhenUsed/>
    <w:qFormat/>
    <w:rsid w:val="00F8219D"/>
    <w:pPr>
      <w:spacing w:after="200"/>
    </w:pPr>
    <w:rPr>
      <w:i/>
      <w:iCs/>
      <w:color w:val="FFFFFF" w:themeColor="text2"/>
      <w:sz w:val="18"/>
      <w:szCs w:val="18"/>
    </w:rPr>
  </w:style>
  <w:style w:type="paragraph" w:styleId="BodyText">
    <w:name w:val="Body Text"/>
    <w:basedOn w:val="Normal"/>
    <w:link w:val="BodyTextChar"/>
    <w:qFormat/>
    <w:rsid w:val="00BE1A9C"/>
    <w:pPr>
      <w:spacing w:after="240"/>
    </w:pPr>
    <w:rPr>
      <w:rFonts w:eastAsia="Times New Roman"/>
      <w:szCs w:val="24"/>
    </w:rPr>
  </w:style>
  <w:style w:type="character" w:customStyle="1" w:styleId="BodyTextChar">
    <w:name w:val="Body Text Char"/>
    <w:basedOn w:val="DefaultParagraphFont"/>
    <w:link w:val="BodyText"/>
    <w:rsid w:val="00BE1A9C"/>
    <w:rPr>
      <w:rFonts w:eastAsia="Times New Roman"/>
      <w:sz w:val="22"/>
      <w:szCs w:val="24"/>
    </w:rPr>
  </w:style>
  <w:style w:type="paragraph" w:styleId="Revision">
    <w:name w:val="Revision"/>
    <w:hidden/>
    <w:uiPriority w:val="99"/>
    <w:semiHidden/>
    <w:rsid w:val="00E82BC7"/>
    <w:pPr>
      <w:spacing w:after="0" w:line="240" w:lineRule="auto"/>
    </w:pPr>
    <w:rPr>
      <w:sz w:val="22"/>
    </w:rPr>
  </w:style>
  <w:style w:type="paragraph" w:styleId="NormalWeb">
    <w:name w:val="Normal (Web)"/>
    <w:basedOn w:val="Normal"/>
    <w:uiPriority w:val="99"/>
    <w:semiHidden/>
    <w:unhideWhenUsed/>
    <w:rsid w:val="00F21180"/>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4.xml"/><Relationship Id="rId32" Type="http://schemas.openxmlformats.org/officeDocument/2006/relationships/image" Target="media/image14.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footer" Target="footer6.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ercdfs01\users$\cummingr\Documents\Essentials\Style%20Guide\Templates%202014-08\Report.dotx" TargetMode="External"/></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Name xmlns="aa393534-3c11-4f51-a2ca-331550489d06">Report</Document_x0020_Name>
    <Document_x0020_Category xmlns="aa393534-3c11-4f51-a2ca-331550489d06">Template</Document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AA599498E6804D95326A1701830AA7" ma:contentTypeVersion="3" ma:contentTypeDescription="Create a new document." ma:contentTypeScope="" ma:versionID="92e60d9da4fa4ce349a699b18930efe1">
  <xsd:schema xmlns:xsd="http://www.w3.org/2001/XMLSchema" xmlns:xs="http://www.w3.org/2001/XMLSchema" xmlns:p="http://schemas.microsoft.com/office/2006/metadata/properties" xmlns:ns2="aa393534-3c11-4f51-a2ca-331550489d06" targetNamespace="http://schemas.microsoft.com/office/2006/metadata/properties" ma:root="true" ma:fieldsID="d8ea370e518fc265db2665d28d08f0b0" ns2:_="">
    <xsd:import namespace="aa393534-3c11-4f51-a2ca-331550489d06"/>
    <xsd:element name="properties">
      <xsd:complexType>
        <xsd:sequence>
          <xsd:element name="documentManagement">
            <xsd:complexType>
              <xsd:all>
                <xsd:element ref="ns2:Document_x0020_Category"/>
                <xsd:element ref="ns2:Docum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93534-3c11-4f51-a2ca-331550489d06" elementFormDefault="qualified">
    <xsd:import namespace="http://schemas.microsoft.com/office/2006/documentManagement/types"/>
    <xsd:import namespace="http://schemas.microsoft.com/office/infopath/2007/PartnerControls"/>
    <xsd:element name="Document_x0020_Category" ma:index="8" ma:displayName="Document Category" ma:default="Document" ma:format="Dropdown" ma:internalName="Document_x0020_Category">
      <xsd:simpleType>
        <xsd:restriction base="dms:Choice">
          <xsd:enumeration value="Document"/>
          <xsd:enumeration value="Logo"/>
          <xsd:enumeration value="Style Guide"/>
          <xsd:enumeration value="Template"/>
          <xsd:enumeration value="Meeting Reminder Statements"/>
        </xsd:restriction>
      </xsd:simpleType>
    </xsd:element>
    <xsd:element name="Document_x0020_Name" ma:index="9" nillable="true" ma:displayName="Document Name" ma:internalName="Document_x0020_Na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31F0-90E0-46E8-9FF7-BE4F820B8142}">
  <ds:schemaRefs>
    <ds:schemaRef ds:uri="http://schemas.microsoft.com/office/2006/metadata/properties"/>
    <ds:schemaRef ds:uri="aa393534-3c11-4f51-a2ca-331550489d06"/>
  </ds:schemaRefs>
</ds:datastoreItem>
</file>

<file path=customXml/itemProps2.xml><?xml version="1.0" encoding="utf-8"?>
<ds:datastoreItem xmlns:ds="http://schemas.openxmlformats.org/officeDocument/2006/customXml" ds:itemID="{53535CE4-3CA4-4BF0-B4E8-9AE4A8C4D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93534-3c11-4f51-a2ca-331550489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70352-E35C-4473-BC42-72C70FE58FDA}">
  <ds:schemaRefs>
    <ds:schemaRef ds:uri="http://schemas.microsoft.com/sharepoint/v3/contenttype/forms"/>
  </ds:schemaRefs>
</ds:datastoreItem>
</file>

<file path=customXml/itemProps4.xml><?xml version="1.0" encoding="utf-8"?>
<ds:datastoreItem xmlns:ds="http://schemas.openxmlformats.org/officeDocument/2006/customXml" ds:itemID="{EBEAAE34-B265-47EB-8FD3-3FBC8BDE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1</Pages>
  <Words>7596</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Report</vt:lpstr>
    </vt:vector>
  </TitlesOfParts>
  <Company>NERC</Company>
  <LinksUpToDate>false</LinksUpToDate>
  <CharactersWithSpaces>50793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Bob Cummings</dc:creator>
  <cp:keywords/>
  <dc:description/>
  <cp:lastModifiedBy>Bob Cummings</cp:lastModifiedBy>
  <cp:revision>2</cp:revision>
  <cp:lastPrinted>2014-12-16T15:19:00Z</cp:lastPrinted>
  <dcterms:created xsi:type="dcterms:W3CDTF">2015-01-12T14:50:00Z</dcterms:created>
  <dcterms:modified xsi:type="dcterms:W3CDTF">2015-01-12T14:50:00Z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0x01010042AA599498E6804D95326A1701830AA7</vt:lpwstr>
  </property>
</Properties>
</file>