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49E" w:rsidRDefault="00D0149E" w:rsidP="00D0149E">
      <w:pPr>
        <w:jc w:val="right"/>
      </w:pPr>
      <w:r>
        <w:rPr>
          <w:noProof/>
        </w:rPr>
        <w:drawing>
          <wp:inline distT="0" distB="0" distL="0" distR="0" wp14:anchorId="578CD5CA" wp14:editId="50F27A74">
            <wp:extent cx="1028700" cy="396240"/>
            <wp:effectExtent l="0" t="0" r="0" b="3810"/>
            <wp:docPr id="1" name="Picture 1" descr="logoColor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49E" w:rsidRDefault="00D0149E" w:rsidP="00D0149E">
      <w:pPr>
        <w:pStyle w:val="spacer"/>
        <w:spacing w:before="4080"/>
        <w:jc w:val="right"/>
        <w:rPr>
          <w:rFonts w:ascii="Times New Roman" w:hAnsi="Times New Roman" w:cs="Times New Roman"/>
          <w:b/>
          <w:sz w:val="48"/>
          <w:szCs w:val="48"/>
        </w:rPr>
      </w:pPr>
    </w:p>
    <w:p w:rsidR="00D0149E" w:rsidRPr="007165F3" w:rsidRDefault="00BC1AE1" w:rsidP="007165F3">
      <w:pPr>
        <w:pStyle w:val="spacer"/>
        <w:spacing w:before="3600"/>
        <w:jc w:val="right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900893" w:rsidRPr="00247D41">
        <w:rPr>
          <w:rFonts w:ascii="Times New Roman" w:hAnsi="Times New Roman" w:cs="Times New Roman"/>
          <w:b/>
          <w:sz w:val="40"/>
          <w:szCs w:val="40"/>
        </w:rPr>
        <w:t>201</w:t>
      </w:r>
      <w:r w:rsidR="00900893">
        <w:rPr>
          <w:rFonts w:ascii="Times New Roman" w:hAnsi="Times New Roman" w:cs="Times New Roman"/>
          <w:b/>
          <w:sz w:val="40"/>
          <w:szCs w:val="40"/>
        </w:rPr>
        <w:t>5</w:t>
      </w:r>
      <w:r w:rsidR="00900893" w:rsidRPr="00247D4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B6C8D" w:rsidRPr="00247D41">
        <w:rPr>
          <w:rFonts w:ascii="Times New Roman" w:hAnsi="Times New Roman" w:cs="Times New Roman"/>
          <w:b/>
          <w:sz w:val="40"/>
          <w:szCs w:val="40"/>
        </w:rPr>
        <w:t xml:space="preserve">TRANSMISSION PLANNING </w:t>
      </w:r>
      <w:r w:rsidR="00E03B59">
        <w:rPr>
          <w:rFonts w:ascii="Times New Roman" w:hAnsi="Times New Roman" w:cs="Times New Roman"/>
          <w:b/>
          <w:sz w:val="40"/>
          <w:szCs w:val="40"/>
        </w:rPr>
        <w:t xml:space="preserve">STABILITY </w:t>
      </w:r>
      <w:r w:rsidR="003B6C8D" w:rsidRPr="00247D41">
        <w:rPr>
          <w:rFonts w:ascii="Times New Roman" w:hAnsi="Times New Roman" w:cs="Times New Roman"/>
          <w:b/>
          <w:sz w:val="40"/>
          <w:szCs w:val="40"/>
        </w:rPr>
        <w:t>ASSESSMENT</w:t>
      </w:r>
    </w:p>
    <w:p w:rsidR="007165F3" w:rsidRDefault="00D0149E" w:rsidP="007165F3">
      <w:pPr>
        <w:pStyle w:val="spacer"/>
        <w:spacing w:before="600" w:after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165F3">
        <w:rPr>
          <w:rFonts w:ascii="Times New Roman" w:hAnsi="Times New Roman" w:cs="Times New Roman"/>
          <w:b/>
          <w:sz w:val="40"/>
          <w:szCs w:val="40"/>
        </w:rPr>
        <w:t>STUDY SCOPE</w:t>
      </w:r>
    </w:p>
    <w:p w:rsidR="00D0149E" w:rsidRPr="007165F3" w:rsidRDefault="00D0149E" w:rsidP="007165F3">
      <w:pPr>
        <w:pStyle w:val="spacer"/>
        <w:spacing w:before="600" w:after="360"/>
        <w:jc w:val="right"/>
        <w:rPr>
          <w:rFonts w:ascii="Times New Roman" w:hAnsi="Times New Roman" w:cs="Times New Roman"/>
          <w:sz w:val="24"/>
          <w:szCs w:val="24"/>
        </w:rPr>
      </w:pPr>
      <w:r w:rsidRPr="007165F3">
        <w:rPr>
          <w:rFonts w:ascii="Times New Roman" w:hAnsi="Times New Roman" w:cs="Times New Roman"/>
          <w:b/>
          <w:sz w:val="24"/>
          <w:szCs w:val="24"/>
        </w:rPr>
        <w:t>Version 1.</w:t>
      </w:r>
      <w:r w:rsidR="00CC7926">
        <w:rPr>
          <w:rFonts w:ascii="Times New Roman" w:hAnsi="Times New Roman" w:cs="Times New Roman"/>
          <w:b/>
          <w:sz w:val="24"/>
          <w:szCs w:val="24"/>
        </w:rPr>
        <w:t>0</w:t>
      </w:r>
    </w:p>
    <w:p w:rsidR="00D0149E" w:rsidRPr="007165F3" w:rsidRDefault="00D0149E" w:rsidP="00D0149E">
      <w:pPr>
        <w:pStyle w:val="TOCHead"/>
        <w:rPr>
          <w:rFonts w:ascii="Times New Roman" w:hAnsi="Times New Roman" w:cs="Times New Roman"/>
        </w:rPr>
        <w:sectPr w:rsidR="00D0149E" w:rsidRPr="007165F3" w:rsidSect="00530A0D"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:rsidR="00D0149E" w:rsidRDefault="00D0149E" w:rsidP="00D0149E">
      <w:pPr>
        <w:pStyle w:val="TOCHead"/>
      </w:pPr>
      <w:r>
        <w:lastRenderedPageBreak/>
        <w:t>Document Revisions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954"/>
        <w:gridCol w:w="3726"/>
        <w:gridCol w:w="2340"/>
      </w:tblGrid>
      <w:tr w:rsidR="00D0149E" w:rsidRPr="0024469D" w:rsidTr="00530A0D">
        <w:tc>
          <w:tcPr>
            <w:tcW w:w="1980" w:type="dxa"/>
            <w:shd w:val="clear" w:color="auto" w:fill="E6E6E6"/>
          </w:tcPr>
          <w:p w:rsidR="00D0149E" w:rsidRPr="0024469D" w:rsidRDefault="00D0149E" w:rsidP="00530A0D">
            <w:pPr>
              <w:pStyle w:val="tablehead"/>
              <w:rPr>
                <w:rFonts w:ascii="Times New Roman" w:hAnsi="Times New Roman"/>
              </w:rPr>
            </w:pPr>
            <w:r w:rsidRPr="0024469D">
              <w:rPr>
                <w:rFonts w:ascii="Times New Roman" w:hAnsi="Times New Roman"/>
              </w:rPr>
              <w:t>Date</w:t>
            </w:r>
          </w:p>
        </w:tc>
        <w:tc>
          <w:tcPr>
            <w:tcW w:w="954" w:type="dxa"/>
            <w:shd w:val="clear" w:color="auto" w:fill="E6E6E6"/>
          </w:tcPr>
          <w:p w:rsidR="00D0149E" w:rsidRPr="0024469D" w:rsidRDefault="00D0149E" w:rsidP="00530A0D">
            <w:pPr>
              <w:pStyle w:val="tablehead"/>
              <w:rPr>
                <w:rFonts w:ascii="Times New Roman" w:hAnsi="Times New Roman"/>
              </w:rPr>
            </w:pPr>
            <w:r w:rsidRPr="0024469D">
              <w:rPr>
                <w:rFonts w:ascii="Times New Roman" w:hAnsi="Times New Roman"/>
              </w:rPr>
              <w:t>Version</w:t>
            </w:r>
          </w:p>
        </w:tc>
        <w:tc>
          <w:tcPr>
            <w:tcW w:w="3726" w:type="dxa"/>
            <w:shd w:val="clear" w:color="auto" w:fill="E6E6E6"/>
          </w:tcPr>
          <w:p w:rsidR="00D0149E" w:rsidRPr="0024469D" w:rsidRDefault="00D0149E" w:rsidP="00530A0D">
            <w:pPr>
              <w:pStyle w:val="tablehead"/>
              <w:rPr>
                <w:rFonts w:ascii="Times New Roman" w:hAnsi="Times New Roman"/>
              </w:rPr>
            </w:pPr>
            <w:r w:rsidRPr="0024469D">
              <w:rPr>
                <w:rFonts w:ascii="Times New Roman" w:hAnsi="Times New Roman"/>
              </w:rPr>
              <w:t>Description</w:t>
            </w:r>
          </w:p>
        </w:tc>
        <w:tc>
          <w:tcPr>
            <w:tcW w:w="2340" w:type="dxa"/>
            <w:shd w:val="clear" w:color="auto" w:fill="E6E6E6"/>
          </w:tcPr>
          <w:p w:rsidR="00D0149E" w:rsidRPr="0024469D" w:rsidRDefault="00D0149E" w:rsidP="00530A0D">
            <w:pPr>
              <w:pStyle w:val="tablehead"/>
              <w:rPr>
                <w:rFonts w:ascii="Times New Roman" w:hAnsi="Times New Roman"/>
              </w:rPr>
            </w:pPr>
            <w:r w:rsidRPr="0024469D">
              <w:rPr>
                <w:rFonts w:ascii="Times New Roman" w:hAnsi="Times New Roman"/>
              </w:rPr>
              <w:t>Author(s)</w:t>
            </w:r>
          </w:p>
        </w:tc>
      </w:tr>
      <w:tr w:rsidR="00AC0E66" w:rsidRPr="0024469D" w:rsidTr="00530A0D">
        <w:tc>
          <w:tcPr>
            <w:tcW w:w="1980" w:type="dxa"/>
          </w:tcPr>
          <w:p w:rsidR="00AC0E66" w:rsidRPr="0024469D" w:rsidRDefault="00B56985" w:rsidP="00900893">
            <w:pPr>
              <w:pStyle w:val="tab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December</w:t>
            </w:r>
            <w:r w:rsidR="00AC0E66">
              <w:rPr>
                <w:rFonts w:ascii="Times New Roman" w:hAnsi="Times New Roman"/>
              </w:rPr>
              <w:t xml:space="preserve"> 201</w:t>
            </w:r>
            <w:r w:rsidR="00E62418">
              <w:rPr>
                <w:rFonts w:ascii="Times New Roman" w:hAnsi="Times New Roman"/>
              </w:rPr>
              <w:t>4</w:t>
            </w:r>
          </w:p>
        </w:tc>
        <w:tc>
          <w:tcPr>
            <w:tcW w:w="954" w:type="dxa"/>
          </w:tcPr>
          <w:p w:rsidR="00AC0E66" w:rsidRDefault="00CC7926" w:rsidP="00530A0D">
            <w:pPr>
              <w:pStyle w:val="tab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1.0</w:t>
            </w:r>
          </w:p>
        </w:tc>
        <w:tc>
          <w:tcPr>
            <w:tcW w:w="3726" w:type="dxa"/>
          </w:tcPr>
          <w:p w:rsidR="00AC0E66" w:rsidRDefault="003C1611" w:rsidP="003C1611">
            <w:pPr>
              <w:pStyle w:val="tab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Stability Assessment Study Scope</w:t>
            </w:r>
          </w:p>
        </w:tc>
        <w:tc>
          <w:tcPr>
            <w:tcW w:w="2340" w:type="dxa"/>
          </w:tcPr>
          <w:p w:rsidR="00AC0E66" w:rsidRDefault="00AC0E66" w:rsidP="00530A0D">
            <w:pPr>
              <w:pStyle w:val="tabl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Dynamic Studies Group</w:t>
            </w:r>
          </w:p>
        </w:tc>
      </w:tr>
    </w:tbl>
    <w:p w:rsidR="00D0149E" w:rsidRDefault="00D0149E" w:rsidP="00D0149E">
      <w:pPr>
        <w:pStyle w:val="BodyText"/>
      </w:pPr>
    </w:p>
    <w:p w:rsidR="00D0149E" w:rsidRDefault="00D0149E" w:rsidP="00D0149E">
      <w:pPr>
        <w:pStyle w:val="TOCHead"/>
        <w:sectPr w:rsidR="00D0149E" w:rsidSect="00530A0D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D0149E" w:rsidRPr="007165F3" w:rsidRDefault="00D0149E" w:rsidP="00D0149E">
      <w:pPr>
        <w:pStyle w:val="TOCHead"/>
        <w:rPr>
          <w:rFonts w:ascii="Times New Roman" w:hAnsi="Times New Roman" w:cs="Times New Roman"/>
        </w:rPr>
      </w:pPr>
      <w:bookmarkStart w:id="0" w:name="_Toc85269770"/>
      <w:bookmarkStart w:id="1" w:name="TOC"/>
      <w:r w:rsidRPr="007165F3">
        <w:rPr>
          <w:rFonts w:ascii="Times New Roman" w:hAnsi="Times New Roman" w:cs="Times New Roman"/>
        </w:rPr>
        <w:lastRenderedPageBreak/>
        <w:t>Table of Contents</w:t>
      </w:r>
      <w:bookmarkEnd w:id="0"/>
    </w:p>
    <w:bookmarkEnd w:id="1"/>
    <w:p w:rsidR="00776042" w:rsidRDefault="00830E05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96775C">
        <w:rPr>
          <w:szCs w:val="21"/>
        </w:rPr>
        <w:fldChar w:fldCharType="begin"/>
      </w:r>
      <w:r w:rsidR="00D0149E" w:rsidRPr="0096775C">
        <w:rPr>
          <w:szCs w:val="21"/>
        </w:rPr>
        <w:instrText xml:space="preserve"> TOC \o "1-3" \h \z \u </w:instrText>
      </w:r>
      <w:r w:rsidRPr="0096775C">
        <w:rPr>
          <w:szCs w:val="21"/>
        </w:rPr>
        <w:fldChar w:fldCharType="separate"/>
      </w:r>
      <w:hyperlink w:anchor="_Toc405824469" w:history="1">
        <w:r w:rsidR="00776042" w:rsidRPr="002B3F17">
          <w:rPr>
            <w:rStyle w:val="Hyperlink"/>
            <w:noProof/>
          </w:rPr>
          <w:t>1.</w:t>
        </w:r>
        <w:r w:rsidR="007760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6042" w:rsidRPr="002B3F17">
          <w:rPr>
            <w:rStyle w:val="Hyperlink"/>
            <w:noProof/>
          </w:rPr>
          <w:t>Objective</w:t>
        </w:r>
        <w:r w:rsidR="00776042">
          <w:rPr>
            <w:noProof/>
            <w:webHidden/>
          </w:rPr>
          <w:tab/>
        </w:r>
        <w:r w:rsidR="00776042">
          <w:rPr>
            <w:noProof/>
            <w:webHidden/>
          </w:rPr>
          <w:fldChar w:fldCharType="begin"/>
        </w:r>
        <w:r w:rsidR="00776042">
          <w:rPr>
            <w:noProof/>
            <w:webHidden/>
          </w:rPr>
          <w:instrText xml:space="preserve"> PAGEREF _Toc405824469 \h </w:instrText>
        </w:r>
        <w:r w:rsidR="00776042">
          <w:rPr>
            <w:noProof/>
            <w:webHidden/>
          </w:rPr>
        </w:r>
        <w:r w:rsidR="00776042">
          <w:rPr>
            <w:noProof/>
            <w:webHidden/>
          </w:rPr>
          <w:fldChar w:fldCharType="separate"/>
        </w:r>
        <w:r w:rsidR="00776042">
          <w:rPr>
            <w:noProof/>
            <w:webHidden/>
          </w:rPr>
          <w:t>1</w:t>
        </w:r>
        <w:r w:rsidR="00776042">
          <w:rPr>
            <w:noProof/>
            <w:webHidden/>
          </w:rPr>
          <w:fldChar w:fldCharType="end"/>
        </w:r>
      </w:hyperlink>
    </w:p>
    <w:p w:rsidR="00776042" w:rsidRDefault="00B4798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5824470" w:history="1">
        <w:r w:rsidR="00776042" w:rsidRPr="002B3F17">
          <w:rPr>
            <w:rStyle w:val="Hyperlink"/>
            <w:noProof/>
          </w:rPr>
          <w:t>2.</w:t>
        </w:r>
        <w:r w:rsidR="007760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6042" w:rsidRPr="002B3F17">
          <w:rPr>
            <w:rStyle w:val="Hyperlink"/>
            <w:noProof/>
          </w:rPr>
          <w:t>Data Inputs</w:t>
        </w:r>
        <w:r w:rsidR="00776042">
          <w:rPr>
            <w:noProof/>
            <w:webHidden/>
          </w:rPr>
          <w:tab/>
        </w:r>
        <w:r w:rsidR="00776042">
          <w:rPr>
            <w:noProof/>
            <w:webHidden/>
          </w:rPr>
          <w:fldChar w:fldCharType="begin"/>
        </w:r>
        <w:r w:rsidR="00776042">
          <w:rPr>
            <w:noProof/>
            <w:webHidden/>
          </w:rPr>
          <w:instrText xml:space="preserve"> PAGEREF _Toc405824470 \h </w:instrText>
        </w:r>
        <w:r w:rsidR="00776042">
          <w:rPr>
            <w:noProof/>
            <w:webHidden/>
          </w:rPr>
        </w:r>
        <w:r w:rsidR="00776042">
          <w:rPr>
            <w:noProof/>
            <w:webHidden/>
          </w:rPr>
          <w:fldChar w:fldCharType="separate"/>
        </w:r>
        <w:r w:rsidR="00776042">
          <w:rPr>
            <w:noProof/>
            <w:webHidden/>
          </w:rPr>
          <w:t>1</w:t>
        </w:r>
        <w:r w:rsidR="00776042">
          <w:rPr>
            <w:noProof/>
            <w:webHidden/>
          </w:rPr>
          <w:fldChar w:fldCharType="end"/>
        </w:r>
      </w:hyperlink>
    </w:p>
    <w:p w:rsidR="00776042" w:rsidRDefault="00B4798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5824471" w:history="1">
        <w:r w:rsidR="00776042" w:rsidRPr="002B3F17">
          <w:rPr>
            <w:rStyle w:val="Hyperlink"/>
            <w:noProof/>
          </w:rPr>
          <w:t>3.</w:t>
        </w:r>
        <w:r w:rsidR="007760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6042" w:rsidRPr="002B3F17">
          <w:rPr>
            <w:rStyle w:val="Hyperlink"/>
            <w:noProof/>
          </w:rPr>
          <w:t>Voltage and Transient Stability Studies</w:t>
        </w:r>
        <w:r w:rsidR="00776042">
          <w:rPr>
            <w:noProof/>
            <w:webHidden/>
          </w:rPr>
          <w:tab/>
        </w:r>
        <w:r w:rsidR="00776042">
          <w:rPr>
            <w:noProof/>
            <w:webHidden/>
          </w:rPr>
          <w:fldChar w:fldCharType="begin"/>
        </w:r>
        <w:r w:rsidR="00776042">
          <w:rPr>
            <w:noProof/>
            <w:webHidden/>
          </w:rPr>
          <w:instrText xml:space="preserve"> PAGEREF _Toc405824471 \h </w:instrText>
        </w:r>
        <w:r w:rsidR="00776042">
          <w:rPr>
            <w:noProof/>
            <w:webHidden/>
          </w:rPr>
        </w:r>
        <w:r w:rsidR="00776042">
          <w:rPr>
            <w:noProof/>
            <w:webHidden/>
          </w:rPr>
          <w:fldChar w:fldCharType="separate"/>
        </w:r>
        <w:r w:rsidR="00776042">
          <w:rPr>
            <w:noProof/>
            <w:webHidden/>
          </w:rPr>
          <w:t>1</w:t>
        </w:r>
        <w:r w:rsidR="00776042">
          <w:rPr>
            <w:noProof/>
            <w:webHidden/>
          </w:rPr>
          <w:fldChar w:fldCharType="end"/>
        </w:r>
      </w:hyperlink>
    </w:p>
    <w:p w:rsidR="00776042" w:rsidRDefault="00B4798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5824472" w:history="1">
        <w:r w:rsidR="00776042" w:rsidRPr="002B3F17">
          <w:rPr>
            <w:rStyle w:val="Hyperlink"/>
            <w:noProof/>
          </w:rPr>
          <w:t>3.1.</w:t>
        </w:r>
        <w:r w:rsidR="007760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6042" w:rsidRPr="002B3F17">
          <w:rPr>
            <w:rStyle w:val="Hyperlink"/>
            <w:noProof/>
          </w:rPr>
          <w:t>Voltage Stability</w:t>
        </w:r>
        <w:r w:rsidR="00776042">
          <w:rPr>
            <w:noProof/>
            <w:webHidden/>
          </w:rPr>
          <w:tab/>
        </w:r>
        <w:r w:rsidR="00776042">
          <w:rPr>
            <w:noProof/>
            <w:webHidden/>
          </w:rPr>
          <w:fldChar w:fldCharType="begin"/>
        </w:r>
        <w:r w:rsidR="00776042">
          <w:rPr>
            <w:noProof/>
            <w:webHidden/>
          </w:rPr>
          <w:instrText xml:space="preserve"> PAGEREF _Toc405824472 \h </w:instrText>
        </w:r>
        <w:r w:rsidR="00776042">
          <w:rPr>
            <w:noProof/>
            <w:webHidden/>
          </w:rPr>
        </w:r>
        <w:r w:rsidR="00776042">
          <w:rPr>
            <w:noProof/>
            <w:webHidden/>
          </w:rPr>
          <w:fldChar w:fldCharType="separate"/>
        </w:r>
        <w:r w:rsidR="00776042">
          <w:rPr>
            <w:noProof/>
            <w:webHidden/>
          </w:rPr>
          <w:t>1</w:t>
        </w:r>
        <w:r w:rsidR="00776042">
          <w:rPr>
            <w:noProof/>
            <w:webHidden/>
          </w:rPr>
          <w:fldChar w:fldCharType="end"/>
        </w:r>
      </w:hyperlink>
    </w:p>
    <w:p w:rsidR="00776042" w:rsidRDefault="00B4798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5824473" w:history="1">
        <w:r w:rsidR="00776042" w:rsidRPr="002B3F17">
          <w:rPr>
            <w:rStyle w:val="Hyperlink"/>
            <w:noProof/>
          </w:rPr>
          <w:t>3.2.</w:t>
        </w:r>
        <w:r w:rsidR="007760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6042" w:rsidRPr="002B3F17">
          <w:rPr>
            <w:rStyle w:val="Hyperlink"/>
            <w:noProof/>
          </w:rPr>
          <w:t>Transient Stability</w:t>
        </w:r>
        <w:r w:rsidR="00776042">
          <w:rPr>
            <w:noProof/>
            <w:webHidden/>
          </w:rPr>
          <w:tab/>
        </w:r>
        <w:r w:rsidR="00776042">
          <w:rPr>
            <w:noProof/>
            <w:webHidden/>
          </w:rPr>
          <w:fldChar w:fldCharType="begin"/>
        </w:r>
        <w:r w:rsidR="00776042">
          <w:rPr>
            <w:noProof/>
            <w:webHidden/>
          </w:rPr>
          <w:instrText xml:space="preserve"> PAGEREF _Toc405824473 \h </w:instrText>
        </w:r>
        <w:r w:rsidR="00776042">
          <w:rPr>
            <w:noProof/>
            <w:webHidden/>
          </w:rPr>
        </w:r>
        <w:r w:rsidR="00776042">
          <w:rPr>
            <w:noProof/>
            <w:webHidden/>
          </w:rPr>
          <w:fldChar w:fldCharType="separate"/>
        </w:r>
        <w:r w:rsidR="00776042">
          <w:rPr>
            <w:noProof/>
            <w:webHidden/>
          </w:rPr>
          <w:t>1</w:t>
        </w:r>
        <w:r w:rsidR="00776042">
          <w:rPr>
            <w:noProof/>
            <w:webHidden/>
          </w:rPr>
          <w:fldChar w:fldCharType="end"/>
        </w:r>
      </w:hyperlink>
    </w:p>
    <w:p w:rsidR="00776042" w:rsidRDefault="00B4798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5824474" w:history="1">
        <w:r w:rsidR="00776042" w:rsidRPr="002B3F17">
          <w:rPr>
            <w:rStyle w:val="Hyperlink"/>
            <w:noProof/>
          </w:rPr>
          <w:t>4.</w:t>
        </w:r>
        <w:r w:rsidR="007760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6042" w:rsidRPr="002B3F17">
          <w:rPr>
            <w:rStyle w:val="Hyperlink"/>
            <w:noProof/>
          </w:rPr>
          <w:t>Study Process</w:t>
        </w:r>
        <w:r w:rsidR="00776042">
          <w:rPr>
            <w:noProof/>
            <w:webHidden/>
          </w:rPr>
          <w:tab/>
        </w:r>
        <w:r w:rsidR="00776042">
          <w:rPr>
            <w:noProof/>
            <w:webHidden/>
          </w:rPr>
          <w:fldChar w:fldCharType="begin"/>
        </w:r>
        <w:r w:rsidR="00776042">
          <w:rPr>
            <w:noProof/>
            <w:webHidden/>
          </w:rPr>
          <w:instrText xml:space="preserve"> PAGEREF _Toc405824474 \h </w:instrText>
        </w:r>
        <w:r w:rsidR="00776042">
          <w:rPr>
            <w:noProof/>
            <w:webHidden/>
          </w:rPr>
        </w:r>
        <w:r w:rsidR="00776042">
          <w:rPr>
            <w:noProof/>
            <w:webHidden/>
          </w:rPr>
          <w:fldChar w:fldCharType="separate"/>
        </w:r>
        <w:r w:rsidR="00776042">
          <w:rPr>
            <w:noProof/>
            <w:webHidden/>
          </w:rPr>
          <w:t>2</w:t>
        </w:r>
        <w:r w:rsidR="00776042">
          <w:rPr>
            <w:noProof/>
            <w:webHidden/>
          </w:rPr>
          <w:fldChar w:fldCharType="end"/>
        </w:r>
      </w:hyperlink>
    </w:p>
    <w:p w:rsidR="00776042" w:rsidRDefault="00B4798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5824475" w:history="1">
        <w:r w:rsidR="00776042" w:rsidRPr="002B3F17">
          <w:rPr>
            <w:rStyle w:val="Hyperlink"/>
            <w:noProof/>
          </w:rPr>
          <w:t>4.1.</w:t>
        </w:r>
        <w:r w:rsidR="007760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6042" w:rsidRPr="002B3F17">
          <w:rPr>
            <w:rStyle w:val="Hyperlink"/>
            <w:noProof/>
          </w:rPr>
          <w:t>Contingency Definition and Application</w:t>
        </w:r>
        <w:r w:rsidR="00776042">
          <w:rPr>
            <w:noProof/>
            <w:webHidden/>
          </w:rPr>
          <w:tab/>
        </w:r>
        <w:r w:rsidR="00776042">
          <w:rPr>
            <w:noProof/>
            <w:webHidden/>
          </w:rPr>
          <w:fldChar w:fldCharType="begin"/>
        </w:r>
        <w:r w:rsidR="00776042">
          <w:rPr>
            <w:noProof/>
            <w:webHidden/>
          </w:rPr>
          <w:instrText xml:space="preserve"> PAGEREF _Toc405824475 \h </w:instrText>
        </w:r>
        <w:r w:rsidR="00776042">
          <w:rPr>
            <w:noProof/>
            <w:webHidden/>
          </w:rPr>
        </w:r>
        <w:r w:rsidR="00776042">
          <w:rPr>
            <w:noProof/>
            <w:webHidden/>
          </w:rPr>
          <w:fldChar w:fldCharType="separate"/>
        </w:r>
        <w:r w:rsidR="00776042">
          <w:rPr>
            <w:noProof/>
            <w:webHidden/>
          </w:rPr>
          <w:t>2</w:t>
        </w:r>
        <w:r w:rsidR="00776042">
          <w:rPr>
            <w:noProof/>
            <w:webHidden/>
          </w:rPr>
          <w:fldChar w:fldCharType="end"/>
        </w:r>
      </w:hyperlink>
    </w:p>
    <w:p w:rsidR="00776042" w:rsidRDefault="00B4798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5824476" w:history="1">
        <w:r w:rsidR="00776042" w:rsidRPr="002B3F17">
          <w:rPr>
            <w:rStyle w:val="Hyperlink"/>
            <w:noProof/>
          </w:rPr>
          <w:t>4.2.</w:t>
        </w:r>
        <w:r w:rsidR="007760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6042" w:rsidRPr="002B3F17">
          <w:rPr>
            <w:rStyle w:val="Hyperlink"/>
            <w:noProof/>
          </w:rPr>
          <w:t>Monitored Elements</w:t>
        </w:r>
        <w:r w:rsidR="00776042">
          <w:rPr>
            <w:noProof/>
            <w:webHidden/>
          </w:rPr>
          <w:tab/>
        </w:r>
        <w:r w:rsidR="00776042">
          <w:rPr>
            <w:noProof/>
            <w:webHidden/>
          </w:rPr>
          <w:fldChar w:fldCharType="begin"/>
        </w:r>
        <w:r w:rsidR="00776042">
          <w:rPr>
            <w:noProof/>
            <w:webHidden/>
          </w:rPr>
          <w:instrText xml:space="preserve"> PAGEREF _Toc405824476 \h </w:instrText>
        </w:r>
        <w:r w:rsidR="00776042">
          <w:rPr>
            <w:noProof/>
            <w:webHidden/>
          </w:rPr>
        </w:r>
        <w:r w:rsidR="00776042">
          <w:rPr>
            <w:noProof/>
            <w:webHidden/>
          </w:rPr>
          <w:fldChar w:fldCharType="separate"/>
        </w:r>
        <w:r w:rsidR="00776042">
          <w:rPr>
            <w:noProof/>
            <w:webHidden/>
          </w:rPr>
          <w:t>2</w:t>
        </w:r>
        <w:r w:rsidR="00776042">
          <w:rPr>
            <w:noProof/>
            <w:webHidden/>
          </w:rPr>
          <w:fldChar w:fldCharType="end"/>
        </w:r>
      </w:hyperlink>
    </w:p>
    <w:p w:rsidR="00776042" w:rsidRDefault="00B4798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5824477" w:history="1">
        <w:r w:rsidR="00776042" w:rsidRPr="002B3F17">
          <w:rPr>
            <w:rStyle w:val="Hyperlink"/>
            <w:noProof/>
          </w:rPr>
          <w:t>4.3.</w:t>
        </w:r>
        <w:r w:rsidR="007760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6042" w:rsidRPr="002B3F17">
          <w:rPr>
            <w:rStyle w:val="Hyperlink"/>
            <w:noProof/>
          </w:rPr>
          <w:t>Load Models</w:t>
        </w:r>
        <w:r w:rsidR="00776042">
          <w:rPr>
            <w:noProof/>
            <w:webHidden/>
          </w:rPr>
          <w:tab/>
        </w:r>
        <w:r w:rsidR="00776042">
          <w:rPr>
            <w:noProof/>
            <w:webHidden/>
          </w:rPr>
          <w:fldChar w:fldCharType="begin"/>
        </w:r>
        <w:r w:rsidR="00776042">
          <w:rPr>
            <w:noProof/>
            <w:webHidden/>
          </w:rPr>
          <w:instrText xml:space="preserve"> PAGEREF _Toc405824477 \h </w:instrText>
        </w:r>
        <w:r w:rsidR="00776042">
          <w:rPr>
            <w:noProof/>
            <w:webHidden/>
          </w:rPr>
        </w:r>
        <w:r w:rsidR="00776042">
          <w:rPr>
            <w:noProof/>
            <w:webHidden/>
          </w:rPr>
          <w:fldChar w:fldCharType="separate"/>
        </w:r>
        <w:r w:rsidR="00776042">
          <w:rPr>
            <w:noProof/>
            <w:webHidden/>
          </w:rPr>
          <w:t>2</w:t>
        </w:r>
        <w:r w:rsidR="00776042">
          <w:rPr>
            <w:noProof/>
            <w:webHidden/>
          </w:rPr>
          <w:fldChar w:fldCharType="end"/>
        </w:r>
      </w:hyperlink>
    </w:p>
    <w:p w:rsidR="00776042" w:rsidRDefault="00B4798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5824478" w:history="1">
        <w:r w:rsidR="00776042" w:rsidRPr="002B3F17">
          <w:rPr>
            <w:rStyle w:val="Hyperlink"/>
            <w:noProof/>
          </w:rPr>
          <w:t>4.4.</w:t>
        </w:r>
        <w:r w:rsidR="007760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6042" w:rsidRPr="002B3F17">
          <w:rPr>
            <w:rStyle w:val="Hyperlink"/>
            <w:noProof/>
          </w:rPr>
          <w:t>Performance Criteria</w:t>
        </w:r>
        <w:r w:rsidR="00776042">
          <w:rPr>
            <w:noProof/>
            <w:webHidden/>
          </w:rPr>
          <w:tab/>
        </w:r>
        <w:r w:rsidR="00776042">
          <w:rPr>
            <w:noProof/>
            <w:webHidden/>
          </w:rPr>
          <w:fldChar w:fldCharType="begin"/>
        </w:r>
        <w:r w:rsidR="00776042">
          <w:rPr>
            <w:noProof/>
            <w:webHidden/>
          </w:rPr>
          <w:instrText xml:space="preserve"> PAGEREF _Toc405824478 \h </w:instrText>
        </w:r>
        <w:r w:rsidR="00776042">
          <w:rPr>
            <w:noProof/>
            <w:webHidden/>
          </w:rPr>
        </w:r>
        <w:r w:rsidR="00776042">
          <w:rPr>
            <w:noProof/>
            <w:webHidden/>
          </w:rPr>
          <w:fldChar w:fldCharType="separate"/>
        </w:r>
        <w:r w:rsidR="00776042">
          <w:rPr>
            <w:noProof/>
            <w:webHidden/>
          </w:rPr>
          <w:t>3</w:t>
        </w:r>
        <w:r w:rsidR="00776042">
          <w:rPr>
            <w:noProof/>
            <w:webHidden/>
          </w:rPr>
          <w:fldChar w:fldCharType="end"/>
        </w:r>
      </w:hyperlink>
    </w:p>
    <w:p w:rsidR="00776042" w:rsidRDefault="00B4798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5824479" w:history="1">
        <w:r w:rsidR="00776042" w:rsidRPr="002B3F17">
          <w:rPr>
            <w:rStyle w:val="Hyperlink"/>
            <w:noProof/>
          </w:rPr>
          <w:t>4.5.</w:t>
        </w:r>
        <w:r w:rsidR="007760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6042" w:rsidRPr="002B3F17">
          <w:rPr>
            <w:rStyle w:val="Hyperlink"/>
            <w:noProof/>
          </w:rPr>
          <w:t>Software and Parameters</w:t>
        </w:r>
        <w:r w:rsidR="00776042">
          <w:rPr>
            <w:noProof/>
            <w:webHidden/>
          </w:rPr>
          <w:tab/>
        </w:r>
        <w:r w:rsidR="00776042">
          <w:rPr>
            <w:noProof/>
            <w:webHidden/>
          </w:rPr>
          <w:fldChar w:fldCharType="begin"/>
        </w:r>
        <w:r w:rsidR="00776042">
          <w:rPr>
            <w:noProof/>
            <w:webHidden/>
          </w:rPr>
          <w:instrText xml:space="preserve"> PAGEREF _Toc405824479 \h </w:instrText>
        </w:r>
        <w:r w:rsidR="00776042">
          <w:rPr>
            <w:noProof/>
            <w:webHidden/>
          </w:rPr>
        </w:r>
        <w:r w:rsidR="00776042">
          <w:rPr>
            <w:noProof/>
            <w:webHidden/>
          </w:rPr>
          <w:fldChar w:fldCharType="separate"/>
        </w:r>
        <w:r w:rsidR="00776042">
          <w:rPr>
            <w:noProof/>
            <w:webHidden/>
          </w:rPr>
          <w:t>3</w:t>
        </w:r>
        <w:r w:rsidR="00776042">
          <w:rPr>
            <w:noProof/>
            <w:webHidden/>
          </w:rPr>
          <w:fldChar w:fldCharType="end"/>
        </w:r>
      </w:hyperlink>
    </w:p>
    <w:p w:rsidR="00776042" w:rsidRDefault="00B4798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5824480" w:history="1">
        <w:r w:rsidR="00776042" w:rsidRPr="002B3F17">
          <w:rPr>
            <w:rStyle w:val="Hyperlink"/>
            <w:noProof/>
          </w:rPr>
          <w:t>4.6.</w:t>
        </w:r>
        <w:r w:rsidR="007760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6042" w:rsidRPr="002B3F17">
          <w:rPr>
            <w:rStyle w:val="Hyperlink"/>
            <w:noProof/>
          </w:rPr>
          <w:t>Sensitivity Analysis</w:t>
        </w:r>
        <w:r w:rsidR="00776042">
          <w:rPr>
            <w:noProof/>
            <w:webHidden/>
          </w:rPr>
          <w:tab/>
        </w:r>
        <w:r w:rsidR="00776042">
          <w:rPr>
            <w:noProof/>
            <w:webHidden/>
          </w:rPr>
          <w:fldChar w:fldCharType="begin"/>
        </w:r>
        <w:r w:rsidR="00776042">
          <w:rPr>
            <w:noProof/>
            <w:webHidden/>
          </w:rPr>
          <w:instrText xml:space="preserve"> PAGEREF _Toc405824480 \h </w:instrText>
        </w:r>
        <w:r w:rsidR="00776042">
          <w:rPr>
            <w:noProof/>
            <w:webHidden/>
          </w:rPr>
        </w:r>
        <w:r w:rsidR="00776042">
          <w:rPr>
            <w:noProof/>
            <w:webHidden/>
          </w:rPr>
          <w:fldChar w:fldCharType="separate"/>
        </w:r>
        <w:r w:rsidR="00776042">
          <w:rPr>
            <w:noProof/>
            <w:webHidden/>
          </w:rPr>
          <w:t>3</w:t>
        </w:r>
        <w:r w:rsidR="00776042">
          <w:rPr>
            <w:noProof/>
            <w:webHidden/>
          </w:rPr>
          <w:fldChar w:fldCharType="end"/>
        </w:r>
      </w:hyperlink>
    </w:p>
    <w:p w:rsidR="00776042" w:rsidRDefault="00B4798D">
      <w:pPr>
        <w:pStyle w:val="TOC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5824481" w:history="1">
        <w:r w:rsidR="00776042" w:rsidRPr="002B3F17">
          <w:rPr>
            <w:rStyle w:val="Hyperlink"/>
            <w:noProof/>
          </w:rPr>
          <w:t>4.7.</w:t>
        </w:r>
        <w:r w:rsidR="007760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6042" w:rsidRPr="002B3F17">
          <w:rPr>
            <w:rStyle w:val="Hyperlink"/>
            <w:noProof/>
          </w:rPr>
          <w:t>Scenarios</w:t>
        </w:r>
        <w:r w:rsidR="00776042">
          <w:rPr>
            <w:noProof/>
            <w:webHidden/>
          </w:rPr>
          <w:tab/>
        </w:r>
        <w:r w:rsidR="00776042">
          <w:rPr>
            <w:noProof/>
            <w:webHidden/>
          </w:rPr>
          <w:fldChar w:fldCharType="begin"/>
        </w:r>
        <w:r w:rsidR="00776042">
          <w:rPr>
            <w:noProof/>
            <w:webHidden/>
          </w:rPr>
          <w:instrText xml:space="preserve"> PAGEREF _Toc405824481 \h </w:instrText>
        </w:r>
        <w:r w:rsidR="00776042">
          <w:rPr>
            <w:noProof/>
            <w:webHidden/>
          </w:rPr>
        </w:r>
        <w:r w:rsidR="00776042">
          <w:rPr>
            <w:noProof/>
            <w:webHidden/>
          </w:rPr>
          <w:fldChar w:fldCharType="separate"/>
        </w:r>
        <w:r w:rsidR="00776042">
          <w:rPr>
            <w:noProof/>
            <w:webHidden/>
          </w:rPr>
          <w:t>3</w:t>
        </w:r>
        <w:r w:rsidR="00776042">
          <w:rPr>
            <w:noProof/>
            <w:webHidden/>
          </w:rPr>
          <w:fldChar w:fldCharType="end"/>
        </w:r>
      </w:hyperlink>
    </w:p>
    <w:p w:rsidR="00776042" w:rsidRDefault="00B4798D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5824482" w:history="1">
        <w:r w:rsidR="00776042" w:rsidRPr="002B3F17">
          <w:rPr>
            <w:rStyle w:val="Hyperlink"/>
            <w:noProof/>
          </w:rPr>
          <w:t>5.</w:t>
        </w:r>
        <w:r w:rsidR="00776042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776042" w:rsidRPr="002B3F17">
          <w:rPr>
            <w:rStyle w:val="Hyperlink"/>
            <w:noProof/>
          </w:rPr>
          <w:t>Deliverables</w:t>
        </w:r>
        <w:r w:rsidR="00776042">
          <w:rPr>
            <w:noProof/>
            <w:webHidden/>
          </w:rPr>
          <w:tab/>
        </w:r>
        <w:r w:rsidR="00776042">
          <w:rPr>
            <w:noProof/>
            <w:webHidden/>
          </w:rPr>
          <w:fldChar w:fldCharType="begin"/>
        </w:r>
        <w:r w:rsidR="00776042">
          <w:rPr>
            <w:noProof/>
            <w:webHidden/>
          </w:rPr>
          <w:instrText xml:space="preserve"> PAGEREF _Toc405824482 \h </w:instrText>
        </w:r>
        <w:r w:rsidR="00776042">
          <w:rPr>
            <w:noProof/>
            <w:webHidden/>
          </w:rPr>
        </w:r>
        <w:r w:rsidR="00776042">
          <w:rPr>
            <w:noProof/>
            <w:webHidden/>
          </w:rPr>
          <w:fldChar w:fldCharType="separate"/>
        </w:r>
        <w:r w:rsidR="00776042">
          <w:rPr>
            <w:noProof/>
            <w:webHidden/>
          </w:rPr>
          <w:t>4</w:t>
        </w:r>
        <w:r w:rsidR="00776042">
          <w:rPr>
            <w:noProof/>
            <w:webHidden/>
          </w:rPr>
          <w:fldChar w:fldCharType="end"/>
        </w:r>
      </w:hyperlink>
    </w:p>
    <w:p w:rsidR="00D0149E" w:rsidRDefault="00830E05" w:rsidP="00D0149E">
      <w:pPr>
        <w:tabs>
          <w:tab w:val="right" w:leader="dot" w:pos="9360"/>
        </w:tabs>
        <w:rPr>
          <w:sz w:val="21"/>
        </w:rPr>
        <w:sectPr w:rsidR="00D0149E" w:rsidSect="00536691">
          <w:headerReference w:type="even" r:id="rId14"/>
          <w:footerReference w:type="default" r:id="rId15"/>
          <w:headerReference w:type="first" r:id="rId16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  <w:r w:rsidRPr="0096775C">
        <w:rPr>
          <w:sz w:val="21"/>
          <w:szCs w:val="21"/>
        </w:rPr>
        <w:fldChar w:fldCharType="end"/>
      </w:r>
    </w:p>
    <w:p w:rsidR="00D0149E" w:rsidRPr="003226B3" w:rsidRDefault="001B7F98" w:rsidP="00D0149E">
      <w:pPr>
        <w:pStyle w:val="BodyText"/>
        <w:spacing w:before="240"/>
        <w:jc w:val="center"/>
        <w:rPr>
          <w:b/>
          <w:sz w:val="32"/>
          <w:szCs w:val="32"/>
        </w:rPr>
      </w:pPr>
      <w:bookmarkStart w:id="2" w:name="_Toc85343426"/>
      <w:bookmarkStart w:id="3" w:name="_Toc85343436"/>
      <w:bookmarkStart w:id="4" w:name="_Toc85343437"/>
      <w:bookmarkStart w:id="5" w:name="_Toc85343438"/>
      <w:bookmarkStart w:id="6" w:name="_Toc85343439"/>
      <w:bookmarkStart w:id="7" w:name="_Toc85343440"/>
      <w:bookmarkStart w:id="8" w:name="_Toc85343441"/>
      <w:bookmarkStart w:id="9" w:name="_Toc85343442"/>
      <w:bookmarkStart w:id="10" w:name="_Toc85343444"/>
      <w:bookmarkStart w:id="11" w:name="_Toc85343445"/>
      <w:bookmarkStart w:id="12" w:name="_Toc85343448"/>
      <w:bookmarkStart w:id="13" w:name="_Toc85343449"/>
      <w:bookmarkStart w:id="14" w:name="_Toc85343454"/>
      <w:bookmarkStart w:id="15" w:name="_Toc85343459"/>
      <w:bookmarkStart w:id="16" w:name="_Toc85343460"/>
      <w:bookmarkStart w:id="17" w:name="_Toc85343461"/>
      <w:bookmarkStart w:id="18" w:name="_Toc85343463"/>
      <w:bookmarkStart w:id="19" w:name="_Toc85343464"/>
      <w:bookmarkStart w:id="20" w:name="_Toc85343465"/>
      <w:bookmarkStart w:id="21" w:name="_Toc85343466"/>
      <w:bookmarkStart w:id="22" w:name="_Toc85343467"/>
      <w:bookmarkStart w:id="23" w:name="_Toc85343468"/>
      <w:bookmarkStart w:id="24" w:name="_Toc85343469"/>
      <w:bookmarkStart w:id="25" w:name="_Toc85343471"/>
      <w:bookmarkStart w:id="26" w:name="_Toc85343474"/>
      <w:bookmarkStart w:id="27" w:name="_Toc85343479"/>
      <w:bookmarkStart w:id="28" w:name="_Toc85343483"/>
      <w:bookmarkStart w:id="29" w:name="_Toc85343485"/>
      <w:bookmarkStart w:id="30" w:name="_Toc85343487"/>
      <w:bookmarkStart w:id="31" w:name="_Toc85343488"/>
      <w:bookmarkStart w:id="32" w:name="_Toc85343493"/>
      <w:bookmarkStart w:id="33" w:name="_Toc85343494"/>
      <w:bookmarkStart w:id="34" w:name="_Toc85343512"/>
      <w:bookmarkStart w:id="35" w:name="_Toc85343519"/>
      <w:bookmarkStart w:id="36" w:name="_Toc85343522"/>
      <w:bookmarkStart w:id="37" w:name="_Toc85343525"/>
      <w:bookmarkStart w:id="38" w:name="_Toc85343526"/>
      <w:bookmarkStart w:id="39" w:name="_Toc85343527"/>
      <w:bookmarkStart w:id="40" w:name="_Toc85343528"/>
      <w:bookmarkStart w:id="41" w:name="_Toc85343536"/>
      <w:bookmarkStart w:id="42" w:name="_Toc85343538"/>
      <w:bookmarkStart w:id="43" w:name="_Toc85343539"/>
      <w:bookmarkStart w:id="44" w:name="_Toc85343540"/>
      <w:bookmarkStart w:id="45" w:name="_Toc85343542"/>
      <w:bookmarkStart w:id="46" w:name="_Toc85343543"/>
      <w:bookmarkStart w:id="47" w:name="_Toc85343544"/>
      <w:bookmarkStart w:id="48" w:name="_Toc85343554"/>
      <w:bookmarkStart w:id="49" w:name="_Toc85343555"/>
      <w:bookmarkStart w:id="50" w:name="_Toc85343559"/>
      <w:bookmarkStart w:id="51" w:name="_Toc85343560"/>
      <w:bookmarkStart w:id="52" w:name="_Toc85343561"/>
      <w:bookmarkStart w:id="53" w:name="_Toc85343562"/>
      <w:bookmarkStart w:id="54" w:name="_Toc85343564"/>
      <w:bookmarkStart w:id="55" w:name="_Toc85343565"/>
      <w:bookmarkStart w:id="56" w:name="_Toc85343566"/>
      <w:bookmarkStart w:id="57" w:name="_Toc85343567"/>
      <w:bookmarkStart w:id="58" w:name="_Toc85343569"/>
      <w:bookmarkStart w:id="59" w:name="_Toc85343570"/>
      <w:bookmarkStart w:id="60" w:name="_Toc85343571"/>
      <w:bookmarkStart w:id="61" w:name="_Toc85343572"/>
      <w:bookmarkStart w:id="62" w:name="_Toc85343574"/>
      <w:bookmarkStart w:id="63" w:name="_Toc85343575"/>
      <w:bookmarkStart w:id="64" w:name="_Toc85343576"/>
      <w:bookmarkStart w:id="65" w:name="_Toc85343577"/>
      <w:bookmarkStart w:id="66" w:name="_Toc85343593"/>
      <w:bookmarkStart w:id="67" w:name="_Toc85343609"/>
      <w:bookmarkStart w:id="68" w:name="_Toc85343626"/>
      <w:bookmarkStart w:id="69" w:name="_Toc85343643"/>
      <w:bookmarkStart w:id="70" w:name="_Toc85343645"/>
      <w:bookmarkStart w:id="71" w:name="_Toc85343647"/>
      <w:bookmarkStart w:id="72" w:name="_Toc85343652"/>
      <w:bookmarkStart w:id="73" w:name="_Toc85343656"/>
      <w:bookmarkStart w:id="74" w:name="_Toc85343662"/>
      <w:bookmarkStart w:id="75" w:name="_Toc85343664"/>
      <w:bookmarkStart w:id="76" w:name="_Toc85343665"/>
      <w:bookmarkStart w:id="77" w:name="_Toc85343666"/>
      <w:bookmarkStart w:id="78" w:name="_Toc85343669"/>
      <w:bookmarkStart w:id="79" w:name="_Toc85343670"/>
      <w:bookmarkStart w:id="80" w:name="_Toc85343671"/>
      <w:bookmarkStart w:id="81" w:name="_Toc85343673"/>
      <w:bookmarkStart w:id="82" w:name="_Toc85343674"/>
      <w:bookmarkStart w:id="83" w:name="_Toc85343676"/>
      <w:bookmarkStart w:id="84" w:name="_Toc85343677"/>
      <w:bookmarkStart w:id="85" w:name="_Toc85343680"/>
      <w:bookmarkStart w:id="86" w:name="_Toc85343681"/>
      <w:bookmarkStart w:id="87" w:name="_Toc85343682"/>
      <w:bookmarkStart w:id="88" w:name="_Toc85343683"/>
      <w:bookmarkStart w:id="89" w:name="_Toc85343686"/>
      <w:bookmarkStart w:id="90" w:name="_Toc85343691"/>
      <w:bookmarkStart w:id="91" w:name="_Toc85343693"/>
      <w:bookmarkStart w:id="92" w:name="_Toc85343694"/>
      <w:bookmarkStart w:id="93" w:name="_Toc85343696"/>
      <w:bookmarkStart w:id="94" w:name="_Toc85343710"/>
      <w:bookmarkStart w:id="95" w:name="_Toc85343719"/>
      <w:bookmarkStart w:id="96" w:name="_Toc85343763"/>
      <w:bookmarkStart w:id="97" w:name="_Toc85343764"/>
      <w:bookmarkStart w:id="98" w:name="_Toc85343765"/>
      <w:bookmarkStart w:id="99" w:name="_Toc85343812"/>
      <w:bookmarkStart w:id="100" w:name="_Toc85343829"/>
      <w:bookmarkStart w:id="101" w:name="_Toc85343846"/>
      <w:bookmarkStart w:id="102" w:name="_Toc85343863"/>
      <w:bookmarkStart w:id="103" w:name="_Toc85343904"/>
      <w:bookmarkStart w:id="104" w:name="_Toc85343914"/>
      <w:bookmarkStart w:id="105" w:name="_Toc85343930"/>
      <w:bookmarkStart w:id="106" w:name="_Toc85343958"/>
      <w:bookmarkStart w:id="107" w:name="_Toc85343963"/>
      <w:bookmarkStart w:id="108" w:name="_Toc85343968"/>
      <w:bookmarkStart w:id="109" w:name="_Toc85343973"/>
      <w:bookmarkStart w:id="110" w:name="_Toc85343978"/>
      <w:bookmarkStart w:id="111" w:name="_Toc85344012"/>
      <w:bookmarkStart w:id="112" w:name="_Toc85344025"/>
      <w:bookmarkStart w:id="113" w:name="_Toc85344029"/>
      <w:bookmarkStart w:id="114" w:name="_Toc85344040"/>
      <w:bookmarkStart w:id="115" w:name="_Toc85344068"/>
      <w:bookmarkStart w:id="116" w:name="_Toc85344084"/>
      <w:bookmarkStart w:id="117" w:name="_Toc85344089"/>
      <w:bookmarkStart w:id="118" w:name="_Toc85344094"/>
      <w:bookmarkStart w:id="119" w:name="_Toc85344099"/>
      <w:bookmarkStart w:id="120" w:name="_Toc85344104"/>
      <w:bookmarkStart w:id="121" w:name="_Toc85344137"/>
      <w:bookmarkStart w:id="122" w:name="_Toc85344150"/>
      <w:bookmarkStart w:id="123" w:name="_Toc85344154"/>
      <w:bookmarkStart w:id="124" w:name="_Toc85344157"/>
      <w:bookmarkStart w:id="125" w:name="_Toc85344189"/>
      <w:bookmarkStart w:id="126" w:name="_Toc85344202"/>
      <w:bookmarkStart w:id="127" w:name="_Toc85344206"/>
      <w:bookmarkStart w:id="128" w:name="_Toc85344210"/>
      <w:bookmarkStart w:id="129" w:name="_Toc85344214"/>
      <w:bookmarkStart w:id="130" w:name="_Toc85344218"/>
      <w:bookmarkStart w:id="131" w:name="_Toc85344223"/>
      <w:bookmarkStart w:id="132" w:name="_Toc85344224"/>
      <w:bookmarkStart w:id="133" w:name="_Toc85344226"/>
      <w:bookmarkStart w:id="134" w:name="_Toc85344234"/>
      <w:bookmarkStart w:id="135" w:name="_Toc85344264"/>
      <w:bookmarkStart w:id="136" w:name="_Toc85344270"/>
      <w:bookmarkStart w:id="137" w:name="_Toc85344280"/>
      <w:bookmarkStart w:id="138" w:name="_Toc85344290"/>
      <w:bookmarkStart w:id="139" w:name="_Toc85344306"/>
      <w:bookmarkStart w:id="140" w:name="_Toc85344307"/>
      <w:bookmarkStart w:id="141" w:name="_Toc85344308"/>
      <w:bookmarkStart w:id="142" w:name="_Toc85344309"/>
      <w:bookmarkStart w:id="143" w:name="_Toc85344310"/>
      <w:bookmarkStart w:id="144" w:name="_Toc85344311"/>
      <w:bookmarkStart w:id="145" w:name="_Toc85344312"/>
      <w:bookmarkStart w:id="146" w:name="_Toc85344313"/>
      <w:bookmarkStart w:id="147" w:name="_Toc85344315"/>
      <w:bookmarkStart w:id="148" w:name="_Toc85344316"/>
      <w:bookmarkStart w:id="149" w:name="_Toc85344324"/>
      <w:bookmarkStart w:id="150" w:name="_Toc85344329"/>
      <w:bookmarkStart w:id="151" w:name="_Toc85344330"/>
      <w:bookmarkStart w:id="152" w:name="_Toc85344331"/>
      <w:bookmarkStart w:id="153" w:name="_Toc85344342"/>
      <w:bookmarkStart w:id="154" w:name="_Toc85344350"/>
      <w:bookmarkStart w:id="155" w:name="_Toc85344376"/>
      <w:bookmarkStart w:id="156" w:name="_Toc85344382"/>
      <w:bookmarkStart w:id="157" w:name="_Toc85344386"/>
      <w:bookmarkStart w:id="158" w:name="_Toc85344387"/>
      <w:bookmarkStart w:id="159" w:name="_Toc85344388"/>
      <w:bookmarkStart w:id="160" w:name="_Toc85344389"/>
      <w:bookmarkStart w:id="161" w:name="_Toc85344391"/>
      <w:bookmarkStart w:id="162" w:name="_Toc85344406"/>
      <w:bookmarkStart w:id="163" w:name="_Toc85344409"/>
      <w:bookmarkStart w:id="164" w:name="_Toc85344412"/>
      <w:bookmarkStart w:id="165" w:name="_Toc85344413"/>
      <w:bookmarkStart w:id="166" w:name="_Toc85344419"/>
      <w:bookmarkStart w:id="167" w:name="_Toc85344421"/>
      <w:bookmarkStart w:id="168" w:name="_Toc85344447"/>
      <w:bookmarkStart w:id="169" w:name="_Toc85344453"/>
      <w:bookmarkStart w:id="170" w:name="_Toc85344457"/>
      <w:bookmarkStart w:id="171" w:name="_Toc85344459"/>
      <w:bookmarkStart w:id="172" w:name="_Toc85344476"/>
      <w:bookmarkStart w:id="173" w:name="_Toc85344480"/>
      <w:bookmarkStart w:id="174" w:name="_Toc85344487"/>
      <w:bookmarkStart w:id="175" w:name="_Toc85344492"/>
      <w:bookmarkStart w:id="176" w:name="_Toc85344494"/>
      <w:bookmarkStart w:id="177" w:name="_Toc85344495"/>
      <w:bookmarkStart w:id="178" w:name="_Toc85344497"/>
      <w:bookmarkStart w:id="179" w:name="_Toc85344498"/>
      <w:bookmarkStart w:id="180" w:name="_Toc85344501"/>
      <w:bookmarkStart w:id="181" w:name="_Toc85344502"/>
      <w:bookmarkStart w:id="182" w:name="_Toc85344503"/>
      <w:bookmarkStart w:id="183" w:name="_Toc85344504"/>
      <w:bookmarkStart w:id="184" w:name="_Toc85344507"/>
      <w:bookmarkStart w:id="185" w:name="_Toc85344508"/>
      <w:bookmarkStart w:id="186" w:name="_Toc85344509"/>
      <w:bookmarkStart w:id="187" w:name="_Toc85344512"/>
      <w:bookmarkStart w:id="188" w:name="_Toc85344530"/>
      <w:bookmarkStart w:id="189" w:name="_Toc85344543"/>
      <w:bookmarkStart w:id="190" w:name="_Toc85344546"/>
      <w:bookmarkStart w:id="191" w:name="_Toc85344547"/>
      <w:bookmarkStart w:id="192" w:name="_Toc85344548"/>
      <w:bookmarkStart w:id="193" w:name="_Toc85344562"/>
      <w:bookmarkStart w:id="194" w:name="_Toc85344576"/>
      <w:bookmarkStart w:id="195" w:name="_Toc85344577"/>
      <w:bookmarkStart w:id="196" w:name="_Toc85344578"/>
      <w:bookmarkStart w:id="197" w:name="_Toc85344580"/>
      <w:bookmarkStart w:id="198" w:name="_Toc85344581"/>
      <w:bookmarkStart w:id="199" w:name="_Toc85344583"/>
      <w:bookmarkStart w:id="200" w:name="_Toc85344588"/>
      <w:bookmarkStart w:id="201" w:name="_Toc85344592"/>
      <w:bookmarkStart w:id="202" w:name="_Toc85344593"/>
      <w:bookmarkStart w:id="203" w:name="_Toc85344605"/>
      <w:bookmarkStart w:id="204" w:name="_Toc85344606"/>
      <w:bookmarkStart w:id="205" w:name="_Toc85344608"/>
      <w:bookmarkStart w:id="206" w:name="_Toc85344609"/>
      <w:bookmarkStart w:id="207" w:name="_Toc85344610"/>
      <w:bookmarkStart w:id="208" w:name="_Toc85344622"/>
      <w:bookmarkStart w:id="209" w:name="_Toc85344623"/>
      <w:bookmarkStart w:id="210" w:name="_Toc85344624"/>
      <w:bookmarkStart w:id="211" w:name="_Toc85344633"/>
      <w:bookmarkStart w:id="212" w:name="_Toc85344634"/>
      <w:bookmarkStart w:id="213" w:name="_Toc85344647"/>
      <w:bookmarkStart w:id="214" w:name="_Toc85344658"/>
      <w:bookmarkStart w:id="215" w:name="_Toc85344660"/>
      <w:bookmarkStart w:id="216" w:name="_Toc85344661"/>
      <w:bookmarkStart w:id="217" w:name="_Toc85344662"/>
      <w:bookmarkStart w:id="218" w:name="_Toc85344667"/>
      <w:bookmarkStart w:id="219" w:name="_Toc85344668"/>
      <w:bookmarkStart w:id="220" w:name="_Toc85344679"/>
      <w:bookmarkStart w:id="221" w:name="_Toc85344681"/>
      <w:bookmarkStart w:id="222" w:name="_Toc85344682"/>
      <w:bookmarkStart w:id="223" w:name="_Toc85344715"/>
      <w:bookmarkStart w:id="224" w:name="_Toc85344716"/>
      <w:bookmarkStart w:id="225" w:name="_Toc85344735"/>
      <w:bookmarkStart w:id="226" w:name="_Toc85344749"/>
      <w:bookmarkStart w:id="227" w:name="_Toc85344750"/>
      <w:bookmarkStart w:id="228" w:name="_Toc85344769"/>
      <w:bookmarkStart w:id="229" w:name="_Toc85344781"/>
      <w:bookmarkStart w:id="230" w:name="_Toc85344786"/>
      <w:bookmarkStart w:id="231" w:name="_Toc85344788"/>
      <w:bookmarkStart w:id="232" w:name="_Toc85344790"/>
      <w:bookmarkStart w:id="233" w:name="_Toc85344793"/>
      <w:bookmarkStart w:id="234" w:name="_Toc85344811"/>
      <w:bookmarkStart w:id="235" w:name="_Toc85344825"/>
      <w:bookmarkStart w:id="236" w:name="_Toc85344836"/>
      <w:bookmarkStart w:id="237" w:name="_Toc85344865"/>
      <w:bookmarkStart w:id="238" w:name="_Toc85344866"/>
      <w:bookmarkStart w:id="239" w:name="_Toc85344880"/>
      <w:bookmarkStart w:id="240" w:name="_Toc85344884"/>
      <w:bookmarkStart w:id="241" w:name="_Toc85344888"/>
      <w:bookmarkStart w:id="242" w:name="_Toc85344892"/>
      <w:bookmarkStart w:id="243" w:name="_Toc85344900"/>
      <w:bookmarkStart w:id="244" w:name="_Toc85344904"/>
      <w:bookmarkStart w:id="245" w:name="_Toc85344908"/>
      <w:bookmarkStart w:id="246" w:name="_Toc85344916"/>
      <w:bookmarkStart w:id="247" w:name="_Toc85344924"/>
      <w:bookmarkStart w:id="248" w:name="_Toc85344932"/>
      <w:bookmarkStart w:id="249" w:name="_Toc11974331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r>
        <w:rPr>
          <w:b/>
          <w:sz w:val="32"/>
          <w:szCs w:val="32"/>
        </w:rPr>
        <w:lastRenderedPageBreak/>
        <w:t>201</w:t>
      </w:r>
      <w:r w:rsidR="00900893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</w:t>
      </w:r>
      <w:r w:rsidR="003B6C8D" w:rsidRPr="003226B3">
        <w:rPr>
          <w:b/>
          <w:sz w:val="32"/>
          <w:szCs w:val="32"/>
        </w:rPr>
        <w:t>Transmission Planning</w:t>
      </w:r>
      <w:r w:rsidR="00D0149E" w:rsidRPr="003226B3">
        <w:rPr>
          <w:b/>
          <w:sz w:val="32"/>
          <w:szCs w:val="32"/>
        </w:rPr>
        <w:t xml:space="preserve"> </w:t>
      </w:r>
      <w:r w:rsidR="00FF5777">
        <w:rPr>
          <w:b/>
          <w:sz w:val="32"/>
          <w:szCs w:val="32"/>
        </w:rPr>
        <w:t xml:space="preserve">Stability </w:t>
      </w:r>
      <w:r w:rsidR="00D0149E" w:rsidRPr="003226B3">
        <w:rPr>
          <w:b/>
          <w:sz w:val="32"/>
          <w:szCs w:val="32"/>
        </w:rPr>
        <w:t>Assessment</w:t>
      </w:r>
    </w:p>
    <w:p w:rsidR="00D0149E" w:rsidRPr="003226B3" w:rsidRDefault="00D0149E" w:rsidP="00F76E82">
      <w:pPr>
        <w:pStyle w:val="Heading1"/>
        <w:tabs>
          <w:tab w:val="num" w:pos="180"/>
        </w:tabs>
        <w:spacing w:before="240" w:after="120"/>
        <w:ind w:left="187" w:hanging="547"/>
        <w:rPr>
          <w:rFonts w:ascii="Times New Roman" w:hAnsi="Times New Roman" w:cs="Times New Roman"/>
        </w:rPr>
      </w:pPr>
      <w:bookmarkStart w:id="250" w:name="_Toc405824469"/>
      <w:r w:rsidRPr="003226B3">
        <w:rPr>
          <w:rFonts w:ascii="Times New Roman" w:hAnsi="Times New Roman" w:cs="Times New Roman"/>
        </w:rPr>
        <w:t>Objective</w:t>
      </w:r>
      <w:bookmarkEnd w:id="250"/>
    </w:p>
    <w:p w:rsidR="00560300" w:rsidRDefault="003B6C8D" w:rsidP="00F76E82">
      <w:pPr>
        <w:pStyle w:val="BodyText"/>
        <w:ind w:left="270"/>
        <w:jc w:val="both"/>
      </w:pPr>
      <w:r w:rsidRPr="00D46867">
        <w:t>T</w:t>
      </w:r>
      <w:r w:rsidR="00BC2C14">
        <w:t>he purpose of this assessment is to ensure that the ERCOT system is planned to satisfy stability-related reliability criteria per “</w:t>
      </w:r>
      <w:r w:rsidR="00BC2C14" w:rsidRPr="00BC2C14">
        <w:rPr>
          <w:i/>
          <w:szCs w:val="21"/>
        </w:rPr>
        <w:t>ERCOT Planning Guide, Section 4: Transmission Planning Criteria</w:t>
      </w:r>
      <w:r w:rsidR="00BC2C14">
        <w:rPr>
          <w:i/>
          <w:szCs w:val="21"/>
        </w:rPr>
        <w:t>”</w:t>
      </w:r>
      <w:r w:rsidR="00BC2C14">
        <w:t xml:space="preserve"> and NERC standard TPL-001-4.  </w:t>
      </w:r>
      <w:r w:rsidR="00AB37D7">
        <w:t>S</w:t>
      </w:r>
      <w:r w:rsidR="00CC7926">
        <w:t xml:space="preserve">ystem response </w:t>
      </w:r>
      <w:r>
        <w:t>with respect to angular, voltage</w:t>
      </w:r>
      <w:r w:rsidR="00AB37D7">
        <w:t>,</w:t>
      </w:r>
      <w:r>
        <w:t xml:space="preserve"> and </w:t>
      </w:r>
      <w:r w:rsidR="0033796C">
        <w:t>oscillatory</w:t>
      </w:r>
      <w:r>
        <w:t xml:space="preserve"> stability</w:t>
      </w:r>
      <w:r w:rsidR="0033796C">
        <w:t xml:space="preserve"> </w:t>
      </w:r>
      <w:r w:rsidR="00AB37D7">
        <w:t xml:space="preserve">will be assessed </w:t>
      </w:r>
      <w:r w:rsidR="00560300">
        <w:t xml:space="preserve">for </w:t>
      </w:r>
      <w:r w:rsidR="00AB37D7">
        <w:t xml:space="preserve">both the near-term and long-term transmission planning horizons.  </w:t>
      </w:r>
      <w:r w:rsidR="002267D8">
        <w:t>The assessment will include corrective action plans to address a</w:t>
      </w:r>
      <w:r w:rsidR="00AB37D7">
        <w:t xml:space="preserve">nalysis </w:t>
      </w:r>
      <w:r w:rsidR="002267D8">
        <w:t>results that indicate an inability to meet specified performance requirements.</w:t>
      </w:r>
      <w:r w:rsidR="00836E46">
        <w:t xml:space="preserve">  Such corrective action plans will serve as a starting point </w:t>
      </w:r>
      <w:r w:rsidR="00560300" w:rsidRPr="00995920">
        <w:t xml:space="preserve">for developing </w:t>
      </w:r>
      <w:r w:rsidR="00836E46">
        <w:t>and implementing</w:t>
      </w:r>
      <w:r w:rsidR="00560300" w:rsidRPr="00995920">
        <w:t xml:space="preserve"> remedies and</w:t>
      </w:r>
      <w:r w:rsidR="00836E46">
        <w:t>/or</w:t>
      </w:r>
      <w:r w:rsidR="00560300" w:rsidRPr="00995920">
        <w:t xml:space="preserve"> alternative operational practices.</w:t>
      </w:r>
      <w:r w:rsidR="00560300">
        <w:t xml:space="preserve"> Additionally, the study report will serve as documentation for compliance with NERC standard TPL-001-</w:t>
      </w:r>
      <w:r w:rsidR="00CF42FA">
        <w:t>4</w:t>
      </w:r>
      <w:r w:rsidR="00560300">
        <w:t>.</w:t>
      </w:r>
      <w:r w:rsidR="0012310F">
        <w:t xml:space="preserve">  The assessment will be completed by December 31, 2015.</w:t>
      </w:r>
    </w:p>
    <w:p w:rsidR="00D0149E" w:rsidRPr="003226B3" w:rsidRDefault="00D0149E" w:rsidP="00F76E82">
      <w:pPr>
        <w:pStyle w:val="Heading1"/>
        <w:tabs>
          <w:tab w:val="num" w:pos="180"/>
        </w:tabs>
        <w:spacing w:after="120"/>
        <w:ind w:left="187" w:hanging="547"/>
        <w:rPr>
          <w:rFonts w:ascii="Times New Roman" w:hAnsi="Times New Roman" w:cs="Times New Roman"/>
        </w:rPr>
      </w:pPr>
      <w:bookmarkStart w:id="251" w:name="_Toc405824470"/>
      <w:r w:rsidRPr="003226B3">
        <w:rPr>
          <w:rFonts w:ascii="Times New Roman" w:hAnsi="Times New Roman" w:cs="Times New Roman"/>
        </w:rPr>
        <w:t>Data Inputs</w:t>
      </w:r>
      <w:bookmarkEnd w:id="251"/>
    </w:p>
    <w:p w:rsidR="00E92DD1" w:rsidRDefault="00C20ED2" w:rsidP="00C20ED2">
      <w:pPr>
        <w:pStyle w:val="BodyText"/>
        <w:spacing w:before="120"/>
        <w:ind w:left="270"/>
        <w:jc w:val="both"/>
        <w:rPr>
          <w:szCs w:val="21"/>
        </w:rPr>
      </w:pPr>
      <w:r>
        <w:rPr>
          <w:szCs w:val="21"/>
        </w:rPr>
        <w:t>D</w:t>
      </w:r>
      <w:r w:rsidR="00983DA1">
        <w:rPr>
          <w:szCs w:val="21"/>
        </w:rPr>
        <w:t xml:space="preserve">ynamic simulations required for this assessment will </w:t>
      </w:r>
      <w:r>
        <w:rPr>
          <w:szCs w:val="21"/>
        </w:rPr>
        <w:t xml:space="preserve">use </w:t>
      </w:r>
      <w:r w:rsidR="00E92DD1">
        <w:rPr>
          <w:szCs w:val="21"/>
        </w:rPr>
        <w:t xml:space="preserve">Dynamics Working Group (DWG) flat start cases </w:t>
      </w:r>
      <w:r>
        <w:rPr>
          <w:szCs w:val="21"/>
        </w:rPr>
        <w:t>(based on the Steady State Working Group 2015 dataset B power flow cases) scheduled to be completed in 2015 as follows:</w:t>
      </w:r>
    </w:p>
    <w:p w:rsidR="00C20ED2" w:rsidRDefault="00C20ED2" w:rsidP="00C20ED2">
      <w:pPr>
        <w:pStyle w:val="BodyText"/>
        <w:numPr>
          <w:ilvl w:val="0"/>
          <w:numId w:val="19"/>
        </w:numPr>
        <w:spacing w:before="120"/>
        <w:jc w:val="both"/>
        <w:rPr>
          <w:szCs w:val="21"/>
        </w:rPr>
      </w:pPr>
      <w:r>
        <w:rPr>
          <w:szCs w:val="21"/>
        </w:rPr>
        <w:t xml:space="preserve">Long-term planning horizon – system peak load: </w:t>
      </w:r>
      <w:r w:rsidRPr="00C20ED2">
        <w:rPr>
          <w:szCs w:val="21"/>
        </w:rPr>
        <w:t>DWG 20</w:t>
      </w:r>
      <w:r>
        <w:rPr>
          <w:szCs w:val="21"/>
        </w:rPr>
        <w:t>21</w:t>
      </w:r>
      <w:r w:rsidRPr="00C20ED2">
        <w:rPr>
          <w:szCs w:val="21"/>
        </w:rPr>
        <w:t xml:space="preserve"> summer peak case</w:t>
      </w:r>
    </w:p>
    <w:p w:rsidR="00983DA1" w:rsidRDefault="00983DA1" w:rsidP="00C20ED2">
      <w:pPr>
        <w:pStyle w:val="BodyText"/>
        <w:numPr>
          <w:ilvl w:val="0"/>
          <w:numId w:val="19"/>
        </w:numPr>
        <w:spacing w:before="120"/>
        <w:jc w:val="both"/>
        <w:rPr>
          <w:szCs w:val="21"/>
        </w:rPr>
      </w:pPr>
      <w:r>
        <w:rPr>
          <w:szCs w:val="21"/>
        </w:rPr>
        <w:t>Near-term planning horizon – system peak load: DWG 2017 summer peak case</w:t>
      </w:r>
    </w:p>
    <w:p w:rsidR="00983DA1" w:rsidRDefault="00983DA1" w:rsidP="00C20ED2">
      <w:pPr>
        <w:pStyle w:val="BodyText"/>
        <w:numPr>
          <w:ilvl w:val="0"/>
          <w:numId w:val="19"/>
        </w:numPr>
        <w:spacing w:before="120"/>
        <w:jc w:val="both"/>
        <w:rPr>
          <w:szCs w:val="21"/>
        </w:rPr>
      </w:pPr>
      <w:r>
        <w:rPr>
          <w:szCs w:val="21"/>
        </w:rPr>
        <w:t>Near-term planning horizon – system off-peak load:</w:t>
      </w:r>
      <w:r w:rsidR="00C20ED2" w:rsidRPr="00C20ED2">
        <w:t xml:space="preserve"> </w:t>
      </w:r>
      <w:r w:rsidR="00C20ED2" w:rsidRPr="00C20ED2">
        <w:rPr>
          <w:szCs w:val="21"/>
        </w:rPr>
        <w:t>DWG 2018 high wind low load case</w:t>
      </w:r>
      <w:r>
        <w:rPr>
          <w:szCs w:val="21"/>
        </w:rPr>
        <w:t xml:space="preserve"> </w:t>
      </w:r>
    </w:p>
    <w:p w:rsidR="000106FC" w:rsidRDefault="007214C8" w:rsidP="007214C8">
      <w:pPr>
        <w:pStyle w:val="BodyText"/>
        <w:spacing w:before="120"/>
        <w:ind w:left="270"/>
        <w:jc w:val="both"/>
        <w:rPr>
          <w:szCs w:val="21"/>
        </w:rPr>
      </w:pPr>
      <w:r>
        <w:rPr>
          <w:szCs w:val="21"/>
        </w:rPr>
        <w:t xml:space="preserve">Steady-state </w:t>
      </w:r>
      <w:r w:rsidR="00F76E82">
        <w:rPr>
          <w:szCs w:val="21"/>
        </w:rPr>
        <w:t>voltage stability</w:t>
      </w:r>
      <w:r>
        <w:rPr>
          <w:szCs w:val="21"/>
        </w:rPr>
        <w:t xml:space="preserve"> analysis will be performed on the cases identified above or other power flow cases as deemed appropriate</w:t>
      </w:r>
      <w:r w:rsidR="00F76E82">
        <w:rPr>
          <w:szCs w:val="21"/>
        </w:rPr>
        <w:t xml:space="preserve">. </w:t>
      </w:r>
      <w:r>
        <w:rPr>
          <w:szCs w:val="21"/>
        </w:rPr>
        <w:t xml:space="preserve"> </w:t>
      </w:r>
      <w:r w:rsidR="00F524C3">
        <w:rPr>
          <w:szCs w:val="21"/>
        </w:rPr>
        <w:t>Additional</w:t>
      </w:r>
      <w:r>
        <w:rPr>
          <w:szCs w:val="21"/>
        </w:rPr>
        <w:t xml:space="preserve">ly, previous annual assessments and other ERCOT studies (completed within the last five years) </w:t>
      </w:r>
      <w:r w:rsidR="009F1B20">
        <w:rPr>
          <w:szCs w:val="21"/>
        </w:rPr>
        <w:t xml:space="preserve">may </w:t>
      </w:r>
      <w:r>
        <w:rPr>
          <w:szCs w:val="21"/>
        </w:rPr>
        <w:t>be reviewed to determine if results are still valid and applicable for this 2015 assessment</w:t>
      </w:r>
      <w:r w:rsidR="00261CF9">
        <w:rPr>
          <w:szCs w:val="21"/>
        </w:rPr>
        <w:t>.</w:t>
      </w:r>
    </w:p>
    <w:p w:rsidR="00D0149E" w:rsidRPr="003226B3" w:rsidRDefault="003F1418" w:rsidP="00F76E82">
      <w:pPr>
        <w:pStyle w:val="Heading1"/>
        <w:tabs>
          <w:tab w:val="num" w:pos="180"/>
        </w:tabs>
        <w:spacing w:after="120"/>
        <w:ind w:left="187" w:hanging="547"/>
        <w:rPr>
          <w:rFonts w:ascii="Times New Roman" w:hAnsi="Times New Roman" w:cs="Times New Roman"/>
        </w:rPr>
      </w:pPr>
      <w:bookmarkStart w:id="252" w:name="_Toc338247793"/>
      <w:bookmarkStart w:id="253" w:name="_Toc338247813"/>
      <w:bookmarkStart w:id="254" w:name="_Toc338247861"/>
      <w:bookmarkStart w:id="255" w:name="_Toc216843044"/>
      <w:bookmarkStart w:id="256" w:name="_Toc405824471"/>
      <w:bookmarkEnd w:id="252"/>
      <w:bookmarkEnd w:id="253"/>
      <w:bookmarkEnd w:id="254"/>
      <w:bookmarkEnd w:id="255"/>
      <w:r>
        <w:rPr>
          <w:rFonts w:ascii="Times New Roman" w:hAnsi="Times New Roman" w:cs="Times New Roman"/>
        </w:rPr>
        <w:t>Voltage and Transient Stability Studies</w:t>
      </w:r>
      <w:bookmarkEnd w:id="256"/>
    </w:p>
    <w:p w:rsidR="00F76E82" w:rsidRPr="003226B3" w:rsidRDefault="00F76E82" w:rsidP="00F76E82">
      <w:pPr>
        <w:pStyle w:val="Heading2"/>
        <w:tabs>
          <w:tab w:val="num" w:pos="720"/>
        </w:tabs>
        <w:spacing w:after="60"/>
        <w:ind w:left="720" w:hanging="450"/>
        <w:rPr>
          <w:rFonts w:ascii="Times New Roman" w:hAnsi="Times New Roman" w:cs="Times New Roman"/>
        </w:rPr>
      </w:pPr>
      <w:bookmarkStart w:id="257" w:name="_Toc405824472"/>
      <w:r w:rsidRPr="003226B3">
        <w:rPr>
          <w:rFonts w:ascii="Times New Roman" w:hAnsi="Times New Roman" w:cs="Times New Roman"/>
        </w:rPr>
        <w:t>Voltage Stability</w:t>
      </w:r>
      <w:bookmarkEnd w:id="257"/>
    </w:p>
    <w:p w:rsidR="00F76E82" w:rsidRDefault="003226B3" w:rsidP="00F76E82">
      <w:pPr>
        <w:pStyle w:val="body2"/>
        <w:ind w:left="900"/>
        <w:jc w:val="both"/>
        <w:rPr>
          <w:color w:val="000000"/>
        </w:rPr>
      </w:pPr>
      <w:r>
        <w:rPr>
          <w:color w:val="000000"/>
        </w:rPr>
        <w:t>Increasing int</w:t>
      </w:r>
      <w:r w:rsidR="007C79BB">
        <w:rPr>
          <w:color w:val="000000"/>
        </w:rPr>
        <w:t>ra</w:t>
      </w:r>
      <w:r>
        <w:rPr>
          <w:color w:val="000000"/>
        </w:rPr>
        <w:t xml:space="preserve">-regional </w:t>
      </w:r>
      <w:r w:rsidRPr="00D46867">
        <w:rPr>
          <w:color w:val="000000"/>
        </w:rPr>
        <w:t xml:space="preserve">power transfers </w:t>
      </w:r>
      <w:r>
        <w:rPr>
          <w:color w:val="000000"/>
        </w:rPr>
        <w:t xml:space="preserve">in the system from remote generation to load centers </w:t>
      </w:r>
      <w:r w:rsidR="00392D29">
        <w:rPr>
          <w:color w:val="000000"/>
        </w:rPr>
        <w:t>can</w:t>
      </w:r>
      <w:r w:rsidR="00E103D7">
        <w:rPr>
          <w:color w:val="000000"/>
        </w:rPr>
        <w:t xml:space="preserve"> </w:t>
      </w:r>
      <w:r>
        <w:rPr>
          <w:color w:val="000000"/>
        </w:rPr>
        <w:t xml:space="preserve">cause </w:t>
      </w:r>
      <w:r w:rsidR="00F76E82" w:rsidRPr="00D46867">
        <w:rPr>
          <w:color w:val="000000"/>
        </w:rPr>
        <w:t xml:space="preserve">voltage depression </w:t>
      </w:r>
      <w:r>
        <w:rPr>
          <w:color w:val="000000"/>
        </w:rPr>
        <w:t>in</w:t>
      </w:r>
      <w:r w:rsidR="00F76E82">
        <w:rPr>
          <w:color w:val="000000"/>
        </w:rPr>
        <w:t xml:space="preserve"> the </w:t>
      </w:r>
      <w:r>
        <w:rPr>
          <w:color w:val="000000"/>
        </w:rPr>
        <w:t>r</w:t>
      </w:r>
      <w:r w:rsidR="00F76E82">
        <w:rPr>
          <w:color w:val="000000"/>
        </w:rPr>
        <w:t>eceiving region</w:t>
      </w:r>
      <w:r>
        <w:rPr>
          <w:color w:val="000000"/>
        </w:rPr>
        <w:t>.</w:t>
      </w:r>
      <w:r w:rsidR="00F76E82">
        <w:rPr>
          <w:color w:val="000000"/>
        </w:rPr>
        <w:t xml:space="preserve"> </w:t>
      </w:r>
      <w:r w:rsidR="001A29B1">
        <w:rPr>
          <w:color w:val="000000"/>
        </w:rPr>
        <w:t xml:space="preserve"> Extremely</w:t>
      </w:r>
      <w:r w:rsidR="00E103D7">
        <w:rPr>
          <w:color w:val="000000"/>
        </w:rPr>
        <w:t xml:space="preserve"> high levels of power transfer </w:t>
      </w:r>
      <w:r w:rsidR="001A29B1">
        <w:rPr>
          <w:color w:val="000000"/>
        </w:rPr>
        <w:t>or extreme contingencies</w:t>
      </w:r>
      <w:r w:rsidR="00F76E82" w:rsidRPr="00D46867">
        <w:rPr>
          <w:color w:val="000000"/>
        </w:rPr>
        <w:t xml:space="preserve"> </w:t>
      </w:r>
      <w:r>
        <w:rPr>
          <w:color w:val="000000"/>
        </w:rPr>
        <w:t xml:space="preserve">could </w:t>
      </w:r>
      <w:r w:rsidR="00F76E82" w:rsidRPr="00D46867">
        <w:rPr>
          <w:color w:val="000000"/>
        </w:rPr>
        <w:t xml:space="preserve">lead to a voltage collapse </w:t>
      </w:r>
      <w:r w:rsidR="00392D29">
        <w:rPr>
          <w:color w:val="000000"/>
        </w:rPr>
        <w:t xml:space="preserve">in the load center </w:t>
      </w:r>
      <w:r w:rsidR="00E103D7">
        <w:rPr>
          <w:color w:val="000000"/>
        </w:rPr>
        <w:t>resulting</w:t>
      </w:r>
      <w:r w:rsidR="00F76E82" w:rsidRPr="00D46867">
        <w:rPr>
          <w:color w:val="000000"/>
        </w:rPr>
        <w:t xml:space="preserve"> in a blackout</w:t>
      </w:r>
      <w:r w:rsidR="00F76E82">
        <w:rPr>
          <w:color w:val="000000"/>
        </w:rPr>
        <w:t xml:space="preserve"> </w:t>
      </w:r>
      <w:r w:rsidR="00F76E82" w:rsidRPr="00D46867">
        <w:rPr>
          <w:color w:val="000000"/>
        </w:rPr>
        <w:t xml:space="preserve">due to </w:t>
      </w:r>
      <w:r w:rsidR="00E103D7">
        <w:rPr>
          <w:color w:val="000000"/>
        </w:rPr>
        <w:t>insufficient</w:t>
      </w:r>
      <w:r w:rsidR="00F76E82" w:rsidRPr="00D46867">
        <w:rPr>
          <w:color w:val="000000"/>
        </w:rPr>
        <w:t xml:space="preserve"> reactive </w:t>
      </w:r>
      <w:r w:rsidR="00E103D7">
        <w:rPr>
          <w:color w:val="000000"/>
        </w:rPr>
        <w:t xml:space="preserve">power </w:t>
      </w:r>
      <w:r w:rsidR="007C79BB">
        <w:rPr>
          <w:color w:val="000000"/>
        </w:rPr>
        <w:t>support</w:t>
      </w:r>
      <w:r w:rsidR="00F76E82" w:rsidRPr="00D46867">
        <w:rPr>
          <w:color w:val="000000"/>
        </w:rPr>
        <w:t xml:space="preserve">. </w:t>
      </w:r>
      <w:r w:rsidR="00E103D7">
        <w:rPr>
          <w:color w:val="000000"/>
        </w:rPr>
        <w:t xml:space="preserve"> </w:t>
      </w:r>
      <w:r w:rsidR="00B93618">
        <w:rPr>
          <w:color w:val="000000"/>
        </w:rPr>
        <w:t xml:space="preserve">Steady state voltage stability </w:t>
      </w:r>
      <w:r w:rsidR="00DE0116">
        <w:rPr>
          <w:color w:val="000000"/>
        </w:rPr>
        <w:t>analysis</w:t>
      </w:r>
      <w:r>
        <w:rPr>
          <w:color w:val="000000"/>
        </w:rPr>
        <w:t xml:space="preserve"> </w:t>
      </w:r>
      <w:r w:rsidR="00B93618">
        <w:rPr>
          <w:color w:val="000000"/>
        </w:rPr>
        <w:t>(also called</w:t>
      </w:r>
      <w:r w:rsidR="00B93618" w:rsidRPr="00B93618">
        <w:rPr>
          <w:color w:val="000000"/>
        </w:rPr>
        <w:t xml:space="preserve"> PV</w:t>
      </w:r>
      <w:r w:rsidR="00B93618">
        <w:rPr>
          <w:color w:val="000000"/>
        </w:rPr>
        <w:t xml:space="preserve"> analysis</w:t>
      </w:r>
      <w:r w:rsidR="00B93618" w:rsidRPr="00B93618">
        <w:rPr>
          <w:color w:val="000000"/>
        </w:rPr>
        <w:t xml:space="preserve">) </w:t>
      </w:r>
      <w:r>
        <w:rPr>
          <w:color w:val="000000"/>
        </w:rPr>
        <w:t xml:space="preserve">will </w:t>
      </w:r>
      <w:r w:rsidR="00E103D7">
        <w:rPr>
          <w:color w:val="000000"/>
        </w:rPr>
        <w:t>identify the most severe</w:t>
      </w:r>
      <w:r w:rsidR="00F76E82" w:rsidRPr="00D46867">
        <w:rPr>
          <w:color w:val="000000"/>
        </w:rPr>
        <w:t xml:space="preserve"> contingencies for each </w:t>
      </w:r>
      <w:r w:rsidR="00F76E82">
        <w:rPr>
          <w:color w:val="000000"/>
        </w:rPr>
        <w:t>power transfer</w:t>
      </w:r>
      <w:r w:rsidR="00F76E82" w:rsidRPr="00D46867">
        <w:rPr>
          <w:color w:val="000000"/>
        </w:rPr>
        <w:t xml:space="preserve"> scenario</w:t>
      </w:r>
      <w:r>
        <w:rPr>
          <w:color w:val="000000"/>
        </w:rPr>
        <w:t xml:space="preserve"> and </w:t>
      </w:r>
      <w:r w:rsidRPr="00D46867">
        <w:rPr>
          <w:color w:val="000000"/>
        </w:rPr>
        <w:t>transfer limits</w:t>
      </w:r>
      <w:r>
        <w:rPr>
          <w:color w:val="000000"/>
        </w:rPr>
        <w:t xml:space="preserve"> that may be employed as SOLs/IROLs</w:t>
      </w:r>
      <w:r w:rsidR="007C79BB">
        <w:rPr>
          <w:color w:val="000000"/>
        </w:rPr>
        <w:t xml:space="preserve"> based on “</w:t>
      </w:r>
      <w:r w:rsidR="007C79BB" w:rsidRPr="00D65C51">
        <w:rPr>
          <w:i/>
          <w:szCs w:val="21"/>
        </w:rPr>
        <w:t>System Oper</w:t>
      </w:r>
      <w:r w:rsidR="00E103D7">
        <w:rPr>
          <w:i/>
          <w:szCs w:val="21"/>
        </w:rPr>
        <w:t>ating Limit</w:t>
      </w:r>
      <w:r w:rsidR="007C79BB" w:rsidRPr="00D65C51">
        <w:rPr>
          <w:i/>
          <w:szCs w:val="21"/>
        </w:rPr>
        <w:t xml:space="preserve"> Methodology for Planning </w:t>
      </w:r>
      <w:r w:rsidR="00E103D7">
        <w:rPr>
          <w:i/>
          <w:szCs w:val="21"/>
        </w:rPr>
        <w:t xml:space="preserve">and Operations </w:t>
      </w:r>
      <w:r w:rsidR="007C79BB" w:rsidRPr="00D65C51">
        <w:rPr>
          <w:i/>
          <w:szCs w:val="21"/>
        </w:rPr>
        <w:t>Horizon</w:t>
      </w:r>
      <w:r w:rsidR="007C79BB">
        <w:rPr>
          <w:i/>
          <w:szCs w:val="21"/>
        </w:rPr>
        <w:t>”</w:t>
      </w:r>
      <w:r w:rsidR="00F76E82">
        <w:rPr>
          <w:color w:val="000000"/>
        </w:rPr>
        <w:t>.</w:t>
      </w:r>
    </w:p>
    <w:p w:rsidR="00703F7D" w:rsidRDefault="00703F7D" w:rsidP="00DE6FC6">
      <w:pPr>
        <w:pStyle w:val="body2"/>
        <w:ind w:left="900"/>
        <w:jc w:val="both"/>
        <w:rPr>
          <w:color w:val="000000"/>
        </w:rPr>
      </w:pPr>
    </w:p>
    <w:p w:rsidR="00F76E82" w:rsidRPr="002951E3" w:rsidRDefault="00F76E82" w:rsidP="00F76E82">
      <w:pPr>
        <w:pStyle w:val="Heading2"/>
        <w:tabs>
          <w:tab w:val="num" w:pos="720"/>
        </w:tabs>
        <w:spacing w:after="60"/>
        <w:ind w:left="720" w:hanging="450"/>
        <w:rPr>
          <w:rFonts w:ascii="Times New Roman" w:hAnsi="Times New Roman" w:cs="Times New Roman"/>
        </w:rPr>
      </w:pPr>
      <w:bookmarkStart w:id="258" w:name="_Toc405824473"/>
      <w:r w:rsidRPr="002951E3">
        <w:rPr>
          <w:rFonts w:ascii="Times New Roman" w:hAnsi="Times New Roman" w:cs="Times New Roman"/>
        </w:rPr>
        <w:t>Transient Stability</w:t>
      </w:r>
      <w:bookmarkEnd w:id="258"/>
    </w:p>
    <w:p w:rsidR="00D0149E" w:rsidRPr="00D65C51" w:rsidRDefault="00233845" w:rsidP="00F76E82">
      <w:pPr>
        <w:pStyle w:val="BodyText"/>
        <w:ind w:left="900"/>
        <w:jc w:val="both"/>
        <w:rPr>
          <w:szCs w:val="21"/>
        </w:rPr>
      </w:pPr>
      <w:r>
        <w:rPr>
          <w:szCs w:val="21"/>
        </w:rPr>
        <w:t>For the region under study, a</w:t>
      </w:r>
      <w:r w:rsidR="00D0149E" w:rsidRPr="00D65C51">
        <w:rPr>
          <w:szCs w:val="21"/>
        </w:rPr>
        <w:t xml:space="preserve">ll network elements </w:t>
      </w:r>
      <w:r w:rsidR="00367469">
        <w:rPr>
          <w:szCs w:val="21"/>
        </w:rPr>
        <w:t xml:space="preserve">that significantly affect </w:t>
      </w:r>
      <w:r w:rsidR="00D0149E" w:rsidRPr="00D65C51">
        <w:rPr>
          <w:szCs w:val="21"/>
        </w:rPr>
        <w:t xml:space="preserve">dynamic </w:t>
      </w:r>
      <w:r>
        <w:rPr>
          <w:szCs w:val="21"/>
        </w:rPr>
        <w:t>response</w:t>
      </w:r>
      <w:r w:rsidRPr="0039638F">
        <w:rPr>
          <w:szCs w:val="21"/>
        </w:rPr>
        <w:t xml:space="preserve"> </w:t>
      </w:r>
      <w:r w:rsidR="003F1418">
        <w:rPr>
          <w:szCs w:val="21"/>
        </w:rPr>
        <w:t>will be</w:t>
      </w:r>
      <w:r w:rsidR="00D0149E" w:rsidRPr="00D65C51">
        <w:rPr>
          <w:szCs w:val="21"/>
        </w:rPr>
        <w:t xml:space="preserve"> </w:t>
      </w:r>
      <w:r w:rsidR="0039638F">
        <w:rPr>
          <w:szCs w:val="21"/>
        </w:rPr>
        <w:t>represent</w:t>
      </w:r>
      <w:r w:rsidR="00367469">
        <w:rPr>
          <w:szCs w:val="21"/>
        </w:rPr>
        <w:t xml:space="preserve">ed with dynamic models </w:t>
      </w:r>
      <w:r w:rsidR="00974B63">
        <w:rPr>
          <w:szCs w:val="21"/>
        </w:rPr>
        <w:t xml:space="preserve">(provided by the equipment owner) </w:t>
      </w:r>
      <w:r w:rsidR="00367469">
        <w:rPr>
          <w:szCs w:val="21"/>
        </w:rPr>
        <w:t>that accurately reflect</w:t>
      </w:r>
      <w:r w:rsidRPr="00D65C51">
        <w:rPr>
          <w:szCs w:val="21"/>
        </w:rPr>
        <w:t xml:space="preserve"> </w:t>
      </w:r>
      <w:r w:rsidR="00367469">
        <w:rPr>
          <w:szCs w:val="21"/>
        </w:rPr>
        <w:t xml:space="preserve">the behavior of the element during the </w:t>
      </w:r>
      <w:r w:rsidR="00D0149E" w:rsidRPr="00D65C51">
        <w:rPr>
          <w:szCs w:val="21"/>
        </w:rPr>
        <w:t>pre-disturbance, on-disturbance and post-disturbance</w:t>
      </w:r>
      <w:r w:rsidR="00367469">
        <w:rPr>
          <w:szCs w:val="21"/>
        </w:rPr>
        <w:t xml:space="preserve"> time periods</w:t>
      </w:r>
      <w:r>
        <w:rPr>
          <w:szCs w:val="21"/>
        </w:rPr>
        <w:t>.</w:t>
      </w:r>
      <w:r w:rsidR="00D0149E" w:rsidRPr="00D65C51">
        <w:rPr>
          <w:szCs w:val="21"/>
        </w:rPr>
        <w:t xml:space="preserve">  </w:t>
      </w:r>
    </w:p>
    <w:p w:rsidR="005F0364" w:rsidRPr="00D65C51" w:rsidRDefault="005F0364" w:rsidP="005F0364">
      <w:pPr>
        <w:pStyle w:val="BodyText"/>
        <w:ind w:left="900"/>
        <w:jc w:val="both"/>
        <w:rPr>
          <w:szCs w:val="21"/>
        </w:rPr>
      </w:pPr>
      <w:r>
        <w:rPr>
          <w:szCs w:val="21"/>
        </w:rPr>
        <w:t xml:space="preserve">Undervoltage load shedding (UVLS) dynamic models </w:t>
      </w:r>
      <w:r w:rsidR="00DE0116">
        <w:rPr>
          <w:szCs w:val="21"/>
        </w:rPr>
        <w:t>are</w:t>
      </w:r>
      <w:r>
        <w:rPr>
          <w:szCs w:val="21"/>
        </w:rPr>
        <w:t xml:space="preserve"> included for regional studies as ne</w:t>
      </w:r>
      <w:r w:rsidR="00974B63">
        <w:rPr>
          <w:szCs w:val="21"/>
        </w:rPr>
        <w:t>cessary</w:t>
      </w:r>
      <w:r>
        <w:rPr>
          <w:szCs w:val="21"/>
        </w:rPr>
        <w:t xml:space="preserve"> and will be represented with appropriate parameters as dete</w:t>
      </w:r>
      <w:r w:rsidR="00974B63">
        <w:rPr>
          <w:szCs w:val="21"/>
        </w:rPr>
        <w:t>rmined by the corresponding TSP</w:t>
      </w:r>
      <w:r>
        <w:rPr>
          <w:szCs w:val="21"/>
        </w:rPr>
        <w:t>.</w:t>
      </w:r>
    </w:p>
    <w:p w:rsidR="00D0149E" w:rsidRDefault="00D0149E" w:rsidP="00F76E82">
      <w:pPr>
        <w:pStyle w:val="BodyText"/>
        <w:ind w:left="900"/>
        <w:jc w:val="both"/>
        <w:rPr>
          <w:szCs w:val="21"/>
        </w:rPr>
      </w:pPr>
      <w:r w:rsidRPr="00D65C51">
        <w:rPr>
          <w:szCs w:val="21"/>
        </w:rPr>
        <w:lastRenderedPageBreak/>
        <w:t>In the ERCOT network, frequency excursions below 59.7</w:t>
      </w:r>
      <w:r w:rsidR="00367469">
        <w:rPr>
          <w:szCs w:val="21"/>
        </w:rPr>
        <w:t xml:space="preserve"> Hz</w:t>
      </w:r>
      <w:r w:rsidRPr="00D65C51">
        <w:rPr>
          <w:szCs w:val="21"/>
        </w:rPr>
        <w:t xml:space="preserve"> for more than 20 cycles may activate Load Resource (LR</w:t>
      </w:r>
      <w:r w:rsidR="00974B63">
        <w:rPr>
          <w:szCs w:val="21"/>
        </w:rPr>
        <w:t xml:space="preserve">) </w:t>
      </w:r>
      <w:r w:rsidR="00A36150">
        <w:rPr>
          <w:szCs w:val="21"/>
        </w:rPr>
        <w:t>that providing ERCOT Responsive Reserve Service (RRS) support disconnecting or reducing their load consumption</w:t>
      </w:r>
      <w:r w:rsidRPr="00D65C51">
        <w:rPr>
          <w:szCs w:val="21"/>
        </w:rPr>
        <w:t xml:space="preserve">. </w:t>
      </w:r>
      <w:r w:rsidR="00DE0116">
        <w:rPr>
          <w:szCs w:val="21"/>
        </w:rPr>
        <w:t xml:space="preserve"> </w:t>
      </w:r>
      <w:r w:rsidRPr="00D65C51">
        <w:rPr>
          <w:szCs w:val="21"/>
        </w:rPr>
        <w:t>Frequency excursions below 59.3</w:t>
      </w:r>
      <w:r w:rsidR="00367469">
        <w:rPr>
          <w:szCs w:val="21"/>
        </w:rPr>
        <w:t xml:space="preserve"> Hz</w:t>
      </w:r>
      <w:r w:rsidRPr="00D65C51">
        <w:rPr>
          <w:szCs w:val="21"/>
        </w:rPr>
        <w:t xml:space="preserve"> for more than 20 cy</w:t>
      </w:r>
      <w:r w:rsidR="001A29B1">
        <w:rPr>
          <w:szCs w:val="21"/>
        </w:rPr>
        <w:t xml:space="preserve">cles may activate </w:t>
      </w:r>
      <w:r w:rsidR="00A36150">
        <w:rPr>
          <w:szCs w:val="21"/>
        </w:rPr>
        <w:t xml:space="preserve">ERCOT </w:t>
      </w:r>
      <w:r w:rsidR="00974B63">
        <w:rPr>
          <w:szCs w:val="21"/>
        </w:rPr>
        <w:t>underfrequency load shedding (</w:t>
      </w:r>
      <w:r w:rsidR="001A29B1">
        <w:rPr>
          <w:szCs w:val="21"/>
        </w:rPr>
        <w:t>UFLS</w:t>
      </w:r>
      <w:r w:rsidR="00974B63">
        <w:rPr>
          <w:szCs w:val="21"/>
        </w:rPr>
        <w:t>)</w:t>
      </w:r>
      <w:r w:rsidR="001A29B1">
        <w:rPr>
          <w:szCs w:val="21"/>
        </w:rPr>
        <w:t xml:space="preserve"> schemes.</w:t>
      </w:r>
    </w:p>
    <w:p w:rsidR="003F1418" w:rsidRPr="00A66C01" w:rsidRDefault="003F1418" w:rsidP="006742D0">
      <w:pPr>
        <w:pStyle w:val="Heading1"/>
        <w:tabs>
          <w:tab w:val="num" w:pos="180"/>
        </w:tabs>
        <w:spacing w:after="120"/>
        <w:ind w:left="187" w:hanging="547"/>
        <w:rPr>
          <w:rFonts w:ascii="Times New Roman" w:hAnsi="Times New Roman" w:cs="Times New Roman"/>
        </w:rPr>
      </w:pPr>
      <w:bookmarkStart w:id="259" w:name="_Toc405824474"/>
      <w:r w:rsidRPr="00A66C01">
        <w:rPr>
          <w:rFonts w:ascii="Times New Roman" w:hAnsi="Times New Roman" w:cs="Times New Roman"/>
        </w:rPr>
        <w:t>Study Process</w:t>
      </w:r>
      <w:bookmarkEnd w:id="259"/>
    </w:p>
    <w:p w:rsidR="00D0149E" w:rsidRPr="002951E3" w:rsidRDefault="00D0149E" w:rsidP="003F1418">
      <w:pPr>
        <w:pStyle w:val="Heading2"/>
        <w:tabs>
          <w:tab w:val="num" w:pos="720"/>
        </w:tabs>
        <w:spacing w:after="60"/>
        <w:ind w:left="720" w:hanging="446"/>
        <w:rPr>
          <w:rFonts w:ascii="Times New Roman" w:hAnsi="Times New Roman" w:cs="Times New Roman"/>
        </w:rPr>
      </w:pPr>
      <w:bookmarkStart w:id="260" w:name="_Toc405824475"/>
      <w:r w:rsidRPr="002951E3">
        <w:rPr>
          <w:rFonts w:ascii="Times New Roman" w:hAnsi="Times New Roman" w:cs="Times New Roman"/>
        </w:rPr>
        <w:t>Contingenc</w:t>
      </w:r>
      <w:r w:rsidR="002951E3" w:rsidRPr="002951E3">
        <w:rPr>
          <w:rFonts w:ascii="Times New Roman" w:hAnsi="Times New Roman" w:cs="Times New Roman"/>
        </w:rPr>
        <w:t xml:space="preserve">y </w:t>
      </w:r>
      <w:r w:rsidR="00DE0116">
        <w:rPr>
          <w:rFonts w:ascii="Times New Roman" w:hAnsi="Times New Roman" w:cs="Times New Roman"/>
        </w:rPr>
        <w:t>Definition and A</w:t>
      </w:r>
      <w:r w:rsidR="002951E3" w:rsidRPr="002951E3">
        <w:rPr>
          <w:rFonts w:ascii="Times New Roman" w:hAnsi="Times New Roman" w:cs="Times New Roman"/>
        </w:rPr>
        <w:t>pplication</w:t>
      </w:r>
      <w:bookmarkEnd w:id="260"/>
    </w:p>
    <w:p w:rsidR="00462F7F" w:rsidRDefault="00462F7F" w:rsidP="00462F7F">
      <w:pPr>
        <w:pStyle w:val="body2"/>
        <w:spacing w:before="120"/>
        <w:ind w:left="810"/>
        <w:jc w:val="both"/>
      </w:pPr>
      <w:r>
        <w:t>Contingency sets</w:t>
      </w:r>
      <w:r w:rsidR="002068C3">
        <w:t xml:space="preserve"> </w:t>
      </w:r>
      <w:r w:rsidR="004B6E9B">
        <w:t>will</w:t>
      </w:r>
      <w:r>
        <w:t xml:space="preserve"> include contingency definitions for the NERC </w:t>
      </w:r>
      <w:r w:rsidR="00D16B26">
        <w:t>planning events P1 through P7 and extreme events as defined in NERC Standard TPL-001-4</w:t>
      </w:r>
      <w:r>
        <w:t>.</w:t>
      </w:r>
    </w:p>
    <w:p w:rsidR="004C42ED" w:rsidRDefault="00462F7F" w:rsidP="004C42ED">
      <w:pPr>
        <w:pStyle w:val="body2"/>
        <w:spacing w:before="120"/>
        <w:ind w:left="810"/>
        <w:jc w:val="both"/>
      </w:pPr>
      <w:r>
        <w:t xml:space="preserve">For the steady-state </w:t>
      </w:r>
      <w:r w:rsidR="008B4F13">
        <w:t xml:space="preserve">voltage </w:t>
      </w:r>
      <w:r>
        <w:t xml:space="preserve">stability assessment, </w:t>
      </w:r>
      <w:r w:rsidR="00995C3A" w:rsidRPr="00995C3A">
        <w:t>the full database of contingencies defined, and annually reviewed, by the SSWG will be tested.</w:t>
      </w:r>
      <w:r>
        <w:t xml:space="preserve"> </w:t>
      </w:r>
      <w:r w:rsidR="00AB0BD6">
        <w:t xml:space="preserve"> </w:t>
      </w:r>
      <w:r>
        <w:t>In addition,</w:t>
      </w:r>
      <w:r w:rsidR="00995C3A">
        <w:t xml:space="preserve"> </w:t>
      </w:r>
      <w:r w:rsidR="00995C3A" w:rsidRPr="00995C3A">
        <w:t>all single</w:t>
      </w:r>
      <w:r w:rsidR="001A651F">
        <w:t xml:space="preserve"> contingencies (generator</w:t>
      </w:r>
      <w:r w:rsidR="00995C3A" w:rsidRPr="00995C3A">
        <w:t>, transformer</w:t>
      </w:r>
      <w:r w:rsidR="001A651F">
        <w:t>,</w:t>
      </w:r>
      <w:r w:rsidR="00995C3A" w:rsidRPr="00995C3A">
        <w:t xml:space="preserve"> shunt device</w:t>
      </w:r>
      <w:r w:rsidR="001A651F">
        <w:t xml:space="preserve">, </w:t>
      </w:r>
      <w:r w:rsidR="00E94317">
        <w:t>power-flow-case-defined</w:t>
      </w:r>
      <w:r w:rsidR="001A651F">
        <w:t xml:space="preserve"> branch and </w:t>
      </w:r>
      <w:r w:rsidR="00E94317" w:rsidRPr="00E94317">
        <w:t xml:space="preserve">power-flow-case-defined </w:t>
      </w:r>
      <w:r w:rsidR="001A651F">
        <w:t>bus</w:t>
      </w:r>
      <w:r w:rsidR="00995C3A" w:rsidRPr="00995C3A">
        <w:t>) will be tested.</w:t>
      </w:r>
      <w:r w:rsidR="004C42ED">
        <w:t xml:space="preserve">  </w:t>
      </w:r>
      <w:r w:rsidR="00E94317">
        <w:t xml:space="preserve">It is expected </w:t>
      </w:r>
      <w:r w:rsidR="00E94317" w:rsidRPr="00E94317">
        <w:t>that the</w:t>
      </w:r>
      <w:r w:rsidR="004C42ED">
        <w:t>se</w:t>
      </w:r>
      <w:r w:rsidR="00E94317" w:rsidRPr="00E94317">
        <w:t xml:space="preserve"> contingency sets will </w:t>
      </w:r>
      <w:r w:rsidR="004C42ED">
        <w:t xml:space="preserve">satisfy contingency analysis requirements for </w:t>
      </w:r>
      <w:r w:rsidR="00E94317">
        <w:t>NERC planning events P1, P2 (with respect to straight bus configurations)</w:t>
      </w:r>
      <w:r w:rsidR="004C42ED">
        <w:t>, and P7.</w:t>
      </w:r>
    </w:p>
    <w:p w:rsidR="00FE3B3E" w:rsidRDefault="00E94317" w:rsidP="004C42ED">
      <w:pPr>
        <w:pStyle w:val="body2"/>
        <w:spacing w:before="120"/>
        <w:ind w:left="810"/>
        <w:jc w:val="both"/>
      </w:pPr>
      <w:r>
        <w:t>T</w:t>
      </w:r>
      <w:r w:rsidRPr="00E94317">
        <w:t xml:space="preserve">he most </w:t>
      </w:r>
      <w:r>
        <w:t>severe/limiting contingencies f</w:t>
      </w:r>
      <w:r w:rsidRPr="00E94317">
        <w:t>r</w:t>
      </w:r>
      <w:r>
        <w:t>om the</w:t>
      </w:r>
      <w:r w:rsidR="004C42ED">
        <w:t xml:space="preserve"> above</w:t>
      </w:r>
      <w:r>
        <w:t xml:space="preserve"> </w:t>
      </w:r>
      <w:r w:rsidR="004C42ED">
        <w:t>contingency sets</w:t>
      </w:r>
      <w:r w:rsidRPr="00E94317">
        <w:t xml:space="preserve"> </w:t>
      </w:r>
      <w:r w:rsidR="004C42ED" w:rsidRPr="004C42ED">
        <w:t>will be combined to produce additional contin</w:t>
      </w:r>
      <w:r w:rsidR="004C42ED">
        <w:t xml:space="preserve">gency definitions for testing.  </w:t>
      </w:r>
      <w:r w:rsidR="004C42ED" w:rsidRPr="004C42ED">
        <w:t xml:space="preserve">It is expected that </w:t>
      </w:r>
      <w:r w:rsidR="004C42ED">
        <w:t>this contingency set</w:t>
      </w:r>
      <w:r w:rsidR="004C42ED" w:rsidRPr="004C42ED">
        <w:t xml:space="preserve"> </w:t>
      </w:r>
      <w:r w:rsidR="00FE3B3E" w:rsidRPr="00FE3B3E">
        <w:t xml:space="preserve">will </w:t>
      </w:r>
      <w:r w:rsidR="00FE3B3E">
        <w:t xml:space="preserve">produce the most severe set of multiple element contingencies and </w:t>
      </w:r>
      <w:r w:rsidR="00FE3B3E" w:rsidRPr="00FE3B3E">
        <w:t xml:space="preserve">satisfy contingency analysis requirements for </w:t>
      </w:r>
      <w:r w:rsidR="004C42ED">
        <w:t>NERC planning events P2</w:t>
      </w:r>
      <w:r w:rsidR="00FE3B3E">
        <w:t xml:space="preserve"> </w:t>
      </w:r>
      <w:r w:rsidR="00FE3B3E" w:rsidRPr="00FE3B3E">
        <w:t xml:space="preserve">(with respect to </w:t>
      </w:r>
      <w:r w:rsidR="00FE3B3E">
        <w:t>ring or breaker-and-a-half</w:t>
      </w:r>
      <w:r w:rsidR="00FE3B3E" w:rsidRPr="00FE3B3E">
        <w:t xml:space="preserve"> bus configurations)</w:t>
      </w:r>
      <w:r w:rsidR="00FE3B3E">
        <w:t>,</w:t>
      </w:r>
      <w:r w:rsidR="004C42ED">
        <w:t xml:space="preserve"> P3, P4,</w:t>
      </w:r>
      <w:r w:rsidR="00FE3B3E">
        <w:t xml:space="preserve"> </w:t>
      </w:r>
      <w:r w:rsidR="004C42ED">
        <w:t>P5</w:t>
      </w:r>
      <w:r w:rsidR="00FE3B3E">
        <w:t xml:space="preserve">, </w:t>
      </w:r>
      <w:r w:rsidR="004C42ED">
        <w:t>P6</w:t>
      </w:r>
      <w:r w:rsidR="00FE3B3E">
        <w:t>, and extreme events</w:t>
      </w:r>
      <w:r w:rsidR="004C42ED" w:rsidRPr="004C42ED">
        <w:t>.</w:t>
      </w:r>
    </w:p>
    <w:p w:rsidR="00A10E50" w:rsidRDefault="004969AE" w:rsidP="00462F7F">
      <w:pPr>
        <w:pStyle w:val="body2"/>
        <w:ind w:left="806"/>
        <w:jc w:val="both"/>
      </w:pPr>
      <w:r>
        <w:t>T</w:t>
      </w:r>
      <w:r w:rsidR="00A10E50">
        <w:t xml:space="preserve">he most severe/limiting contingencies </w:t>
      </w:r>
      <w:r>
        <w:t xml:space="preserve">determined from the </w:t>
      </w:r>
      <w:r w:rsidRPr="004969AE">
        <w:t>steady-state voltage stability assessment</w:t>
      </w:r>
      <w:r>
        <w:t xml:space="preserve"> will be simulated with time domain analysis</w:t>
      </w:r>
      <w:r w:rsidRPr="004969AE">
        <w:t xml:space="preserve"> </w:t>
      </w:r>
      <w:r>
        <w:t>t</w:t>
      </w:r>
      <w:r w:rsidRPr="004969AE">
        <w:t>o ensure that the most severe contingencies are included in the</w:t>
      </w:r>
      <w:r>
        <w:t xml:space="preserve"> transient stability assessment.  Additional contingencies may be selected based on engineering judgment and/or </w:t>
      </w:r>
      <w:r w:rsidR="00423B62">
        <w:t>compliance need.</w:t>
      </w:r>
    </w:p>
    <w:p w:rsidR="00F74B50" w:rsidRPr="00F74B50" w:rsidRDefault="004969AE" w:rsidP="007C6875">
      <w:pPr>
        <w:pStyle w:val="body2"/>
        <w:ind w:left="806"/>
        <w:jc w:val="both"/>
      </w:pPr>
      <w:r>
        <w:t>Fault clearing times will be simulated per TSP recommendations for the location and event (</w:t>
      </w:r>
      <w:r w:rsidR="007C6875">
        <w:t xml:space="preserve">including </w:t>
      </w:r>
      <w:r>
        <w:t xml:space="preserve">normal clearing, delayed clearing due to breaker </w:t>
      </w:r>
      <w:r w:rsidR="007C6875">
        <w:t>failure, and</w:t>
      </w:r>
      <w:r>
        <w:t xml:space="preserve"> delayed clearing due to relay failure).</w:t>
      </w:r>
      <w:r w:rsidR="007C6875">
        <w:t xml:space="preserve">  The impact of high-speed r</w:t>
      </w:r>
      <w:r w:rsidR="00D16B26">
        <w:t>eclosing</w:t>
      </w:r>
      <w:r w:rsidR="007C6875">
        <w:t xml:space="preserve"> will be evaluated</w:t>
      </w:r>
      <w:r w:rsidR="007C6875" w:rsidRPr="007C6875">
        <w:t xml:space="preserve"> per TPL-001-4 R4 4.3.1.1</w:t>
      </w:r>
      <w:r w:rsidR="007C6875">
        <w:t>.</w:t>
      </w:r>
      <w:r w:rsidR="007C6875" w:rsidRPr="007C6875">
        <w:t xml:space="preserve"> </w:t>
      </w:r>
      <w:r w:rsidR="007C6875">
        <w:t xml:space="preserve"> A</w:t>
      </w:r>
      <w:r w:rsidR="007C6875" w:rsidRPr="007C6875">
        <w:t>ssistance will be solicited from the TSPs for determining</w:t>
      </w:r>
      <w:r w:rsidR="007C6875">
        <w:t xml:space="preserve"> locations where high-speed reclosing is applied </w:t>
      </w:r>
      <w:r w:rsidR="00220F55">
        <w:t>and properly simulating reclosing schemes.</w:t>
      </w:r>
    </w:p>
    <w:p w:rsidR="00F74B50" w:rsidRDefault="007C6875" w:rsidP="002951E3">
      <w:pPr>
        <w:pStyle w:val="body2"/>
        <w:ind w:left="806"/>
        <w:jc w:val="both"/>
      </w:pPr>
      <w:r w:rsidRPr="007C6875">
        <w:t xml:space="preserve">The simulation </w:t>
      </w:r>
      <w:r w:rsidR="00220F55">
        <w:t xml:space="preserve">duration should allow </w:t>
      </w:r>
      <w:r w:rsidRPr="007C6875">
        <w:t xml:space="preserve">for </w:t>
      </w:r>
      <w:r w:rsidR="00220F55">
        <w:t xml:space="preserve">the proper evaluation of system performance with respect to </w:t>
      </w:r>
      <w:r w:rsidR="00220F55" w:rsidRPr="00220F55">
        <w:t>angular, voltage, and oscillatory stability</w:t>
      </w:r>
      <w:r w:rsidR="00220F55">
        <w:t>.</w:t>
      </w:r>
      <w:r w:rsidR="00220F55" w:rsidRPr="00220F55">
        <w:t xml:space="preserve"> </w:t>
      </w:r>
      <w:r w:rsidR="00220F55">
        <w:t xml:space="preserve"> Typically, continuing the simulation </w:t>
      </w:r>
      <w:r w:rsidR="00220F55" w:rsidRPr="00220F55">
        <w:t xml:space="preserve">without any other disturbance </w:t>
      </w:r>
      <w:r w:rsidR="00220F55">
        <w:t>for approximately</w:t>
      </w:r>
      <w:r w:rsidRPr="007C6875">
        <w:t xml:space="preserve"> 10 seconds after fault clearing</w:t>
      </w:r>
      <w:r w:rsidR="00220F55">
        <w:t xml:space="preserve"> is sufficient</w:t>
      </w:r>
      <w:r w:rsidRPr="007C6875">
        <w:t>.</w:t>
      </w:r>
    </w:p>
    <w:p w:rsidR="00462F7F" w:rsidRDefault="004128A3" w:rsidP="00462F7F">
      <w:pPr>
        <w:pStyle w:val="body2"/>
        <w:ind w:left="806"/>
        <w:jc w:val="both"/>
        <w:rPr>
          <w:szCs w:val="21"/>
        </w:rPr>
      </w:pPr>
      <w:r>
        <w:t xml:space="preserve">If the system response to a contingency is deemed to be unacceptable then </w:t>
      </w:r>
      <w:r w:rsidR="0031549B">
        <w:t xml:space="preserve">a corrective action plan will be </w:t>
      </w:r>
      <w:r w:rsidR="00995C3A">
        <w:t>developed</w:t>
      </w:r>
      <w:r>
        <w:rPr>
          <w:szCs w:val="21"/>
        </w:rPr>
        <w:t>.</w:t>
      </w:r>
    </w:p>
    <w:p w:rsidR="00D0149E" w:rsidRPr="002951E3" w:rsidRDefault="00D0149E" w:rsidP="003F1418">
      <w:pPr>
        <w:pStyle w:val="Heading2"/>
        <w:tabs>
          <w:tab w:val="num" w:pos="720"/>
        </w:tabs>
        <w:spacing w:after="60"/>
        <w:ind w:left="720" w:hanging="446"/>
        <w:rPr>
          <w:rFonts w:ascii="Times New Roman" w:hAnsi="Times New Roman" w:cs="Times New Roman"/>
        </w:rPr>
      </w:pPr>
      <w:bookmarkStart w:id="261" w:name="_Toc405824476"/>
      <w:r w:rsidRPr="002951E3">
        <w:rPr>
          <w:rFonts w:ascii="Times New Roman" w:hAnsi="Times New Roman" w:cs="Times New Roman"/>
        </w:rPr>
        <w:t>Monitored Elements</w:t>
      </w:r>
      <w:bookmarkEnd w:id="261"/>
    </w:p>
    <w:p w:rsidR="002951E3" w:rsidRDefault="005B3C64" w:rsidP="003F1418">
      <w:pPr>
        <w:pStyle w:val="BodyText"/>
        <w:ind w:left="810"/>
        <w:jc w:val="both"/>
        <w:rPr>
          <w:szCs w:val="21"/>
        </w:rPr>
      </w:pPr>
      <w:r>
        <w:rPr>
          <w:szCs w:val="21"/>
        </w:rPr>
        <w:t xml:space="preserve">For </w:t>
      </w:r>
      <w:r w:rsidR="004128A3" w:rsidRPr="004128A3">
        <w:rPr>
          <w:szCs w:val="21"/>
        </w:rPr>
        <w:t xml:space="preserve">steady-state </w:t>
      </w:r>
      <w:r w:rsidR="00694C98">
        <w:rPr>
          <w:szCs w:val="21"/>
        </w:rPr>
        <w:t xml:space="preserve">voltage </w:t>
      </w:r>
      <w:r w:rsidR="004128A3" w:rsidRPr="004128A3">
        <w:rPr>
          <w:szCs w:val="21"/>
        </w:rPr>
        <w:t xml:space="preserve">stability analysis, all </w:t>
      </w:r>
      <w:r w:rsidR="00694C98">
        <w:rPr>
          <w:szCs w:val="21"/>
        </w:rPr>
        <w:t xml:space="preserve">345 kV and 138 kV </w:t>
      </w:r>
      <w:r w:rsidR="004128A3" w:rsidRPr="004128A3">
        <w:rPr>
          <w:szCs w:val="21"/>
        </w:rPr>
        <w:t>transmission buses</w:t>
      </w:r>
      <w:r w:rsidR="00694C98">
        <w:rPr>
          <w:szCs w:val="21"/>
        </w:rPr>
        <w:t xml:space="preserve"> </w:t>
      </w:r>
      <w:r w:rsidR="004128A3" w:rsidRPr="004128A3">
        <w:rPr>
          <w:szCs w:val="21"/>
        </w:rPr>
        <w:t xml:space="preserve">will be monitored for voltage violations. </w:t>
      </w:r>
      <w:r w:rsidR="00694C98">
        <w:rPr>
          <w:szCs w:val="21"/>
        </w:rPr>
        <w:t xml:space="preserve"> It may be necessary to define transmission interfaces and monitor interface flow</w:t>
      </w:r>
      <w:r>
        <w:rPr>
          <w:szCs w:val="21"/>
        </w:rPr>
        <w:t>s</w:t>
      </w:r>
      <w:r w:rsidR="00694C98">
        <w:rPr>
          <w:szCs w:val="21"/>
        </w:rPr>
        <w:t xml:space="preserve"> to establish power transfer limits.</w:t>
      </w:r>
    </w:p>
    <w:p w:rsidR="00810C39" w:rsidRDefault="005B3C64" w:rsidP="003F1418">
      <w:pPr>
        <w:pStyle w:val="BodyText"/>
        <w:ind w:left="810"/>
        <w:jc w:val="both"/>
        <w:rPr>
          <w:szCs w:val="21"/>
        </w:rPr>
      </w:pPr>
      <w:r>
        <w:rPr>
          <w:szCs w:val="21"/>
        </w:rPr>
        <w:t>For transient stability analysis, s</w:t>
      </w:r>
      <w:r w:rsidR="00D0149E" w:rsidRPr="004128A3">
        <w:rPr>
          <w:szCs w:val="21"/>
        </w:rPr>
        <w:t xml:space="preserve">elected transmission lines, buses and generators </w:t>
      </w:r>
      <w:r>
        <w:rPr>
          <w:szCs w:val="21"/>
        </w:rPr>
        <w:t xml:space="preserve">within the study region </w:t>
      </w:r>
      <w:r w:rsidR="00D0149E" w:rsidRPr="004128A3">
        <w:rPr>
          <w:szCs w:val="21"/>
        </w:rPr>
        <w:t>will be monitored for frequency, voltage, power flow and angular separation.</w:t>
      </w:r>
    </w:p>
    <w:p w:rsidR="00D0149E" w:rsidRPr="002951E3" w:rsidRDefault="00D0149E" w:rsidP="005B3C64">
      <w:pPr>
        <w:pStyle w:val="Heading2"/>
        <w:tabs>
          <w:tab w:val="num" w:pos="720"/>
        </w:tabs>
        <w:spacing w:after="60"/>
        <w:ind w:left="720" w:hanging="446"/>
        <w:rPr>
          <w:rFonts w:ascii="Times New Roman" w:hAnsi="Times New Roman" w:cs="Times New Roman"/>
        </w:rPr>
      </w:pPr>
      <w:bookmarkStart w:id="262" w:name="_Toc405824477"/>
      <w:r w:rsidRPr="002951E3">
        <w:rPr>
          <w:rFonts w:ascii="Times New Roman" w:hAnsi="Times New Roman" w:cs="Times New Roman"/>
        </w:rPr>
        <w:t>Load Models</w:t>
      </w:r>
      <w:bookmarkEnd w:id="262"/>
    </w:p>
    <w:p w:rsidR="00D0149E" w:rsidRPr="004128A3" w:rsidRDefault="000106FC" w:rsidP="003F1418">
      <w:pPr>
        <w:pStyle w:val="BodyText"/>
        <w:ind w:left="806"/>
        <w:jc w:val="both"/>
        <w:rPr>
          <w:szCs w:val="21"/>
        </w:rPr>
      </w:pPr>
      <w:r w:rsidRPr="000106FC">
        <w:rPr>
          <w:szCs w:val="21"/>
        </w:rPr>
        <w:t xml:space="preserve">Load model </w:t>
      </w:r>
      <w:r w:rsidR="003C1611">
        <w:rPr>
          <w:szCs w:val="21"/>
        </w:rPr>
        <w:t xml:space="preserve">provided by TSPs </w:t>
      </w:r>
      <w:r w:rsidRPr="000106FC">
        <w:rPr>
          <w:szCs w:val="21"/>
        </w:rPr>
        <w:t xml:space="preserve">will be applied to the study case based on the load levels and conditions specific to the region of interest. </w:t>
      </w:r>
      <w:r w:rsidR="003C1611">
        <w:rPr>
          <w:szCs w:val="21"/>
        </w:rPr>
        <w:t>S</w:t>
      </w:r>
      <w:r w:rsidRPr="000106FC">
        <w:rPr>
          <w:szCs w:val="21"/>
        </w:rPr>
        <w:t xml:space="preserve">ensitivity analysis will be performed with varying motor load levels to obtain an understanding of the impact of load modeling on system response. </w:t>
      </w:r>
    </w:p>
    <w:p w:rsidR="00D0149E" w:rsidRDefault="00D0149E" w:rsidP="005B3C64">
      <w:pPr>
        <w:pStyle w:val="Heading2"/>
        <w:tabs>
          <w:tab w:val="num" w:pos="720"/>
        </w:tabs>
        <w:spacing w:after="60"/>
        <w:ind w:left="720" w:hanging="446"/>
        <w:rPr>
          <w:rFonts w:ascii="Times New Roman" w:hAnsi="Times New Roman" w:cs="Times New Roman"/>
        </w:rPr>
      </w:pPr>
      <w:bookmarkStart w:id="263" w:name="_Toc405824478"/>
      <w:bookmarkEnd w:id="249"/>
      <w:r w:rsidRPr="002951E3">
        <w:rPr>
          <w:rFonts w:ascii="Times New Roman" w:hAnsi="Times New Roman" w:cs="Times New Roman"/>
        </w:rPr>
        <w:lastRenderedPageBreak/>
        <w:t>Performance Criteria</w:t>
      </w:r>
      <w:bookmarkEnd w:id="263"/>
    </w:p>
    <w:p w:rsidR="000106FC" w:rsidRDefault="00923133" w:rsidP="000106FC">
      <w:pPr>
        <w:pStyle w:val="BodyText"/>
        <w:ind w:left="806"/>
        <w:jc w:val="both"/>
        <w:rPr>
          <w:szCs w:val="21"/>
        </w:rPr>
      </w:pPr>
      <w:r>
        <w:rPr>
          <w:szCs w:val="21"/>
        </w:rPr>
        <w:t>T</w:t>
      </w:r>
      <w:r w:rsidR="002068C3" w:rsidRPr="0096775C">
        <w:rPr>
          <w:szCs w:val="21"/>
        </w:rPr>
        <w:t>he performance criteria are as defined in the</w:t>
      </w:r>
      <w:r w:rsidR="000106FC" w:rsidRPr="000106FC">
        <w:rPr>
          <w:szCs w:val="21"/>
        </w:rPr>
        <w:t xml:space="preserve"> </w:t>
      </w:r>
      <w:r w:rsidR="0031549B">
        <w:rPr>
          <w:color w:val="000000"/>
        </w:rPr>
        <w:t xml:space="preserve">NERC </w:t>
      </w:r>
      <w:r w:rsidR="00A73779">
        <w:rPr>
          <w:color w:val="000000"/>
        </w:rPr>
        <w:t xml:space="preserve">Standard </w:t>
      </w:r>
      <w:r w:rsidR="0031549B">
        <w:rPr>
          <w:color w:val="000000"/>
        </w:rPr>
        <w:t>TPL</w:t>
      </w:r>
      <w:r w:rsidR="00A73779">
        <w:rPr>
          <w:color w:val="000000"/>
        </w:rPr>
        <w:t>-001-4</w:t>
      </w:r>
      <w:r w:rsidR="0031549B">
        <w:rPr>
          <w:color w:val="000000"/>
        </w:rPr>
        <w:t xml:space="preserve"> and ERCOT Planning Guide Section 4</w:t>
      </w:r>
      <w:r w:rsidR="007B6752">
        <w:rPr>
          <w:szCs w:val="21"/>
        </w:rPr>
        <w:t>.</w:t>
      </w:r>
    </w:p>
    <w:p w:rsidR="000106FC" w:rsidRDefault="000106FC" w:rsidP="000106FC">
      <w:pPr>
        <w:pStyle w:val="Heading2"/>
        <w:tabs>
          <w:tab w:val="clear" w:pos="792"/>
        </w:tabs>
        <w:spacing w:after="60"/>
        <w:ind w:left="720" w:hanging="446"/>
        <w:rPr>
          <w:rFonts w:ascii="Times New Roman" w:hAnsi="Times New Roman" w:cs="Times New Roman"/>
          <w:szCs w:val="21"/>
        </w:rPr>
      </w:pPr>
      <w:bookmarkStart w:id="264" w:name="_Toc405824479"/>
      <w:r w:rsidRPr="000106FC">
        <w:rPr>
          <w:rFonts w:ascii="Times New Roman" w:hAnsi="Times New Roman" w:cs="Times New Roman"/>
        </w:rPr>
        <w:t>Software</w:t>
      </w:r>
      <w:r w:rsidRPr="000106FC">
        <w:rPr>
          <w:rFonts w:ascii="Times New Roman" w:hAnsi="Times New Roman" w:cs="Times New Roman"/>
          <w:szCs w:val="21"/>
        </w:rPr>
        <w:t xml:space="preserve"> and Parameters</w:t>
      </w:r>
      <w:bookmarkEnd w:id="264"/>
    </w:p>
    <w:p w:rsidR="00BC560C" w:rsidRPr="00BC560C" w:rsidRDefault="00BC560C" w:rsidP="00321321">
      <w:pPr>
        <w:spacing w:after="60" w:line="280" w:lineRule="exact"/>
        <w:ind w:left="806"/>
        <w:jc w:val="both"/>
        <w:rPr>
          <w:sz w:val="21"/>
          <w:szCs w:val="21"/>
        </w:rPr>
      </w:pPr>
      <w:r>
        <w:rPr>
          <w:sz w:val="21"/>
          <w:szCs w:val="21"/>
        </w:rPr>
        <w:t>For the steady-state</w:t>
      </w:r>
      <w:r w:rsidR="009236F0">
        <w:rPr>
          <w:sz w:val="21"/>
          <w:szCs w:val="21"/>
        </w:rPr>
        <w:t xml:space="preserve"> voltage</w:t>
      </w:r>
      <w:r>
        <w:rPr>
          <w:sz w:val="21"/>
          <w:szCs w:val="21"/>
        </w:rPr>
        <w:t xml:space="preserve"> stability assessment, </w:t>
      </w:r>
      <w:r w:rsidR="00694C98">
        <w:rPr>
          <w:sz w:val="21"/>
          <w:szCs w:val="21"/>
        </w:rPr>
        <w:t>Siemens PTI’s</w:t>
      </w:r>
      <w:r w:rsidR="00694C98" w:rsidRPr="00EA1C6F">
        <w:rPr>
          <w:sz w:val="21"/>
          <w:szCs w:val="21"/>
        </w:rPr>
        <w:t xml:space="preserve"> PSS</w:t>
      </w:r>
      <w:r w:rsidR="00694C98" w:rsidRPr="00EA1C6F">
        <w:rPr>
          <w:sz w:val="21"/>
          <w:szCs w:val="21"/>
          <w:vertAlign w:val="superscript"/>
        </w:rPr>
        <w:t>®</w:t>
      </w:r>
      <w:r w:rsidR="00694C98" w:rsidRPr="00EA1C6F">
        <w:rPr>
          <w:sz w:val="21"/>
          <w:szCs w:val="21"/>
        </w:rPr>
        <w:t>E and</w:t>
      </w:r>
      <w:r w:rsidR="00694C98">
        <w:rPr>
          <w:sz w:val="21"/>
          <w:szCs w:val="21"/>
        </w:rPr>
        <w:t>/or</w:t>
      </w:r>
      <w:r w:rsidR="00694C98" w:rsidRPr="00EA1C6F">
        <w:rPr>
          <w:sz w:val="21"/>
          <w:szCs w:val="21"/>
        </w:rPr>
        <w:t xml:space="preserve"> </w:t>
      </w:r>
      <w:r w:rsidRPr="00BC560C">
        <w:rPr>
          <w:color w:val="000000"/>
          <w:sz w:val="21"/>
          <w:szCs w:val="21"/>
        </w:rPr>
        <w:t>Powertech™ VSAT program</w:t>
      </w:r>
      <w:r>
        <w:rPr>
          <w:color w:val="000000"/>
          <w:sz w:val="21"/>
          <w:szCs w:val="21"/>
        </w:rPr>
        <w:t xml:space="preserve"> will be used. </w:t>
      </w:r>
      <w:r w:rsidRPr="00BC560C">
        <w:rPr>
          <w:sz w:val="21"/>
          <w:szCs w:val="21"/>
        </w:rPr>
        <w:t xml:space="preserve">The </w:t>
      </w:r>
      <w:r>
        <w:rPr>
          <w:sz w:val="21"/>
          <w:szCs w:val="21"/>
        </w:rPr>
        <w:t xml:space="preserve">following </w:t>
      </w:r>
      <w:r w:rsidRPr="00BC560C">
        <w:rPr>
          <w:sz w:val="21"/>
          <w:szCs w:val="21"/>
        </w:rPr>
        <w:t>solution settings</w:t>
      </w:r>
      <w:r>
        <w:rPr>
          <w:sz w:val="21"/>
          <w:szCs w:val="21"/>
        </w:rPr>
        <w:t xml:space="preserve"> will be employed</w:t>
      </w:r>
      <w:r w:rsidRPr="00BC560C">
        <w:rPr>
          <w:sz w:val="21"/>
          <w:szCs w:val="21"/>
        </w:rPr>
        <w:t>:</w:t>
      </w:r>
    </w:p>
    <w:p w:rsidR="00BC560C" w:rsidRPr="00D46867" w:rsidRDefault="00BC560C" w:rsidP="005A135E">
      <w:pPr>
        <w:pStyle w:val="bulletlevel1"/>
        <w:tabs>
          <w:tab w:val="clear" w:pos="1872"/>
          <w:tab w:val="num" w:pos="1984"/>
        </w:tabs>
        <w:spacing w:after="0" w:line="280" w:lineRule="exact"/>
        <w:ind w:left="1260"/>
        <w:jc w:val="both"/>
      </w:pPr>
      <w:r>
        <w:t>A</w:t>
      </w:r>
      <w:r w:rsidRPr="00D46867">
        <w:t>rea control</w:t>
      </w:r>
      <w:r>
        <w:t xml:space="preserve"> set to off</w:t>
      </w:r>
      <w:r w:rsidRPr="00D46867">
        <w:t xml:space="preserve"> – ERCOT operates as a single control area, single swing bus.</w:t>
      </w:r>
    </w:p>
    <w:p w:rsidR="00BC560C" w:rsidRDefault="00BC560C" w:rsidP="005A135E">
      <w:pPr>
        <w:pStyle w:val="bulletlevel1"/>
        <w:tabs>
          <w:tab w:val="clear" w:pos="1872"/>
          <w:tab w:val="num" w:pos="1984"/>
        </w:tabs>
        <w:spacing w:after="0" w:line="280" w:lineRule="exact"/>
        <w:ind w:left="1260"/>
        <w:jc w:val="both"/>
      </w:pPr>
      <w:r w:rsidRPr="00D46867">
        <w:t>T</w:t>
      </w:r>
      <w:r>
        <w:t>ransformer taps</w:t>
      </w:r>
      <w:r w:rsidR="002068C3">
        <w:t xml:space="preserve"> (when ULTCs are present)</w:t>
      </w:r>
      <w:r>
        <w:t xml:space="preserve"> are </w:t>
      </w:r>
      <w:r w:rsidRPr="00D46867">
        <w:t xml:space="preserve">allowed to </w:t>
      </w:r>
      <w:r>
        <w:t>move</w:t>
      </w:r>
      <w:r w:rsidRPr="00D46867">
        <w:t xml:space="preserve"> </w:t>
      </w:r>
      <w:r>
        <w:t>in post-contingency.</w:t>
      </w:r>
    </w:p>
    <w:p w:rsidR="00157525" w:rsidRDefault="00BC560C" w:rsidP="005A135E">
      <w:pPr>
        <w:pStyle w:val="bulletlevel1"/>
        <w:tabs>
          <w:tab w:val="clear" w:pos="1872"/>
          <w:tab w:val="num" w:pos="1984"/>
        </w:tabs>
        <w:spacing w:after="0" w:line="280" w:lineRule="exact"/>
        <w:ind w:left="1260"/>
        <w:jc w:val="both"/>
      </w:pPr>
      <w:r>
        <w:t>Discrete s</w:t>
      </w:r>
      <w:r w:rsidRPr="00D46867">
        <w:t>witchable</w:t>
      </w:r>
      <w:r>
        <w:t xml:space="preserve"> </w:t>
      </w:r>
      <w:r w:rsidRPr="00D46867">
        <w:t xml:space="preserve">shunts </w:t>
      </w:r>
      <w:r>
        <w:t xml:space="preserve">are </w:t>
      </w:r>
      <w:r w:rsidRPr="00D46867">
        <w:t>allowed to switch</w:t>
      </w:r>
      <w:r>
        <w:t xml:space="preserve">. </w:t>
      </w:r>
    </w:p>
    <w:p w:rsidR="00BC560C" w:rsidRDefault="002068C3" w:rsidP="005A135E">
      <w:pPr>
        <w:pStyle w:val="bulletlevel1"/>
        <w:tabs>
          <w:tab w:val="clear" w:pos="1872"/>
          <w:tab w:val="num" w:pos="1984"/>
        </w:tabs>
        <w:spacing w:after="0" w:line="280" w:lineRule="exact"/>
        <w:ind w:left="1260"/>
        <w:jc w:val="both"/>
      </w:pPr>
      <w:r>
        <w:t xml:space="preserve">Dynamic </w:t>
      </w:r>
      <w:r w:rsidR="00BC560C">
        <w:t>reactive devices (SVCs, STATCOMs etc.) are held fixed at their pre-contingency states</w:t>
      </w:r>
      <w:r w:rsidR="00157525">
        <w:t xml:space="preserve"> during screening but allow</w:t>
      </w:r>
      <w:r w:rsidR="00727242">
        <w:t>ed</w:t>
      </w:r>
      <w:r w:rsidR="00157525">
        <w:t xml:space="preserve"> to participate during re-run of a voltage collapse event</w:t>
      </w:r>
      <w:r w:rsidR="00BC560C">
        <w:t>.</w:t>
      </w:r>
    </w:p>
    <w:p w:rsidR="00BC560C" w:rsidRDefault="00BC560C" w:rsidP="005A135E">
      <w:pPr>
        <w:pStyle w:val="bulletlevel1"/>
        <w:tabs>
          <w:tab w:val="clear" w:pos="1872"/>
          <w:tab w:val="num" w:pos="1984"/>
        </w:tabs>
        <w:spacing w:after="0" w:line="280" w:lineRule="exact"/>
        <w:ind w:left="1260"/>
        <w:jc w:val="both"/>
      </w:pPr>
      <w:r w:rsidRPr="00D46867">
        <w:t xml:space="preserve">Generation </w:t>
      </w:r>
      <w:r>
        <w:t xml:space="preserve">limits </w:t>
      </w:r>
      <w:r w:rsidRPr="00D46867">
        <w:t xml:space="preserve">enforced – </w:t>
      </w:r>
      <w:r>
        <w:t xml:space="preserve">export </w:t>
      </w:r>
      <w:r w:rsidRPr="00D46867">
        <w:t>transfers are limited by generation capability.</w:t>
      </w:r>
    </w:p>
    <w:p w:rsidR="00EA1C6F" w:rsidRPr="00EA1C6F" w:rsidRDefault="00EA1C6F" w:rsidP="005A135E">
      <w:pPr>
        <w:spacing w:before="120"/>
        <w:ind w:left="806"/>
        <w:jc w:val="both"/>
        <w:rPr>
          <w:sz w:val="21"/>
          <w:szCs w:val="21"/>
        </w:rPr>
      </w:pPr>
      <w:r w:rsidRPr="00EA1C6F">
        <w:rPr>
          <w:sz w:val="21"/>
          <w:szCs w:val="21"/>
        </w:rPr>
        <w:t>For the transient assessment Siemens PTI’s PSS</w:t>
      </w:r>
      <w:r w:rsidRPr="00EA1C6F">
        <w:rPr>
          <w:sz w:val="21"/>
          <w:szCs w:val="21"/>
          <w:vertAlign w:val="superscript"/>
        </w:rPr>
        <w:t>®</w:t>
      </w:r>
      <w:r w:rsidRPr="00EA1C6F">
        <w:rPr>
          <w:sz w:val="21"/>
          <w:szCs w:val="21"/>
        </w:rPr>
        <w:t>E and</w:t>
      </w:r>
      <w:r>
        <w:rPr>
          <w:sz w:val="21"/>
          <w:szCs w:val="21"/>
        </w:rPr>
        <w:t>/or</w:t>
      </w:r>
      <w:r w:rsidRPr="00EA1C6F">
        <w:rPr>
          <w:sz w:val="21"/>
          <w:szCs w:val="21"/>
        </w:rPr>
        <w:t xml:space="preserve"> Powertech™ TSAT will be used as determined by the Dynamic Studies Group.</w:t>
      </w:r>
    </w:p>
    <w:p w:rsidR="00D0149E" w:rsidRPr="00BC560C" w:rsidRDefault="00824A36" w:rsidP="00462F7F">
      <w:pPr>
        <w:pStyle w:val="Heading2"/>
        <w:tabs>
          <w:tab w:val="num" w:pos="720"/>
        </w:tabs>
        <w:spacing w:after="60"/>
        <w:ind w:left="720"/>
        <w:rPr>
          <w:rFonts w:ascii="Times New Roman" w:hAnsi="Times New Roman" w:cs="Times New Roman"/>
          <w:szCs w:val="22"/>
        </w:rPr>
      </w:pPr>
      <w:bookmarkStart w:id="265" w:name="_Toc259179954"/>
      <w:bookmarkStart w:id="266" w:name="_Toc405824480"/>
      <w:r>
        <w:rPr>
          <w:rFonts w:ascii="Times New Roman" w:hAnsi="Times New Roman" w:cs="Times New Roman"/>
          <w:szCs w:val="22"/>
        </w:rPr>
        <w:t>Sensitivity Analysis</w:t>
      </w:r>
      <w:bookmarkEnd w:id="265"/>
      <w:bookmarkEnd w:id="266"/>
    </w:p>
    <w:p w:rsidR="009125ED" w:rsidRDefault="00824A36" w:rsidP="002E0B66">
      <w:pPr>
        <w:pStyle w:val="BodyText"/>
        <w:ind w:left="806"/>
        <w:jc w:val="both"/>
        <w:rPr>
          <w:szCs w:val="21"/>
        </w:rPr>
      </w:pPr>
      <w:r>
        <w:rPr>
          <w:szCs w:val="21"/>
        </w:rPr>
        <w:t>Additional</w:t>
      </w:r>
      <w:r w:rsidR="00D0149E" w:rsidRPr="005A135E">
        <w:rPr>
          <w:szCs w:val="21"/>
        </w:rPr>
        <w:t xml:space="preserve"> </w:t>
      </w:r>
      <w:r>
        <w:rPr>
          <w:szCs w:val="21"/>
        </w:rPr>
        <w:t xml:space="preserve">sensitivity analysis </w:t>
      </w:r>
      <w:r w:rsidR="009125ED">
        <w:rPr>
          <w:szCs w:val="21"/>
        </w:rPr>
        <w:t>for</w:t>
      </w:r>
      <w:r>
        <w:rPr>
          <w:szCs w:val="21"/>
        </w:rPr>
        <w:t xml:space="preserve"> study cases will be performed </w:t>
      </w:r>
      <w:r w:rsidR="009125ED">
        <w:rPr>
          <w:szCs w:val="21"/>
        </w:rPr>
        <w:t xml:space="preserve">for the Near Term Transmission Planning Horizon </w:t>
      </w:r>
      <w:r>
        <w:rPr>
          <w:szCs w:val="21"/>
        </w:rPr>
        <w:t xml:space="preserve">to vary one or more of the following conditions </w:t>
      </w:r>
      <w:r w:rsidRPr="002E0B66">
        <w:rPr>
          <w:szCs w:val="21"/>
        </w:rPr>
        <w:t>by a sufficient amount to stress the System within a range of</w:t>
      </w:r>
      <w:r>
        <w:rPr>
          <w:szCs w:val="21"/>
        </w:rPr>
        <w:t xml:space="preserve"> </w:t>
      </w:r>
      <w:r w:rsidRPr="002E0B66">
        <w:rPr>
          <w:szCs w:val="21"/>
        </w:rPr>
        <w:t xml:space="preserve">credible conditions that demonstrate a measurable change in </w:t>
      </w:r>
      <w:r w:rsidR="009125ED">
        <w:rPr>
          <w:szCs w:val="21"/>
        </w:rPr>
        <w:t xml:space="preserve">performance. </w:t>
      </w:r>
    </w:p>
    <w:p w:rsidR="009125ED" w:rsidRPr="00650612" w:rsidRDefault="009125ED" w:rsidP="002E0B66">
      <w:pPr>
        <w:pStyle w:val="bulletlevel1"/>
        <w:tabs>
          <w:tab w:val="clear" w:pos="1872"/>
          <w:tab w:val="num" w:pos="1984"/>
        </w:tabs>
        <w:spacing w:after="0" w:line="280" w:lineRule="exact"/>
        <w:ind w:left="1260"/>
        <w:jc w:val="both"/>
      </w:pPr>
      <w:r w:rsidRPr="00650612">
        <w:t xml:space="preserve">Load level, Load </w:t>
      </w:r>
      <w:r w:rsidRPr="00F3279C">
        <w:t>forecast</w:t>
      </w:r>
      <w:r w:rsidRPr="00650612">
        <w:t>, or dynamic Load model assumptions.</w:t>
      </w:r>
    </w:p>
    <w:p w:rsidR="009125ED" w:rsidRPr="00650612" w:rsidRDefault="009125ED" w:rsidP="002E0B66">
      <w:pPr>
        <w:pStyle w:val="bulletlevel1"/>
        <w:tabs>
          <w:tab w:val="clear" w:pos="1872"/>
          <w:tab w:val="num" w:pos="1984"/>
        </w:tabs>
        <w:spacing w:after="0" w:line="280" w:lineRule="exact"/>
        <w:ind w:left="1260"/>
        <w:jc w:val="both"/>
      </w:pPr>
      <w:r w:rsidRPr="00650612">
        <w:t xml:space="preserve">Expected </w:t>
      </w:r>
      <w:r w:rsidRPr="00F3279C">
        <w:t>transfers</w:t>
      </w:r>
      <w:r w:rsidRPr="00650612">
        <w:t>.</w:t>
      </w:r>
    </w:p>
    <w:p w:rsidR="009125ED" w:rsidRDefault="009125ED" w:rsidP="002E0B66">
      <w:pPr>
        <w:pStyle w:val="bulletlevel1"/>
        <w:tabs>
          <w:tab w:val="clear" w:pos="1872"/>
          <w:tab w:val="num" w:pos="1984"/>
        </w:tabs>
        <w:spacing w:after="0" w:line="280" w:lineRule="exact"/>
        <w:ind w:left="1260"/>
        <w:jc w:val="both"/>
      </w:pPr>
      <w:r w:rsidRPr="00650612">
        <w:t xml:space="preserve">Expected in </w:t>
      </w:r>
      <w:r w:rsidRPr="00F3279C">
        <w:t>service</w:t>
      </w:r>
      <w:r w:rsidRPr="00650612">
        <w:t xml:space="preserve"> dates of new or modified Transmission Facilities.</w:t>
      </w:r>
    </w:p>
    <w:p w:rsidR="009125ED" w:rsidRPr="00650612" w:rsidRDefault="009125ED" w:rsidP="002E0B66">
      <w:pPr>
        <w:pStyle w:val="bulletlevel1"/>
        <w:tabs>
          <w:tab w:val="clear" w:pos="1872"/>
          <w:tab w:val="num" w:pos="1984"/>
        </w:tabs>
        <w:spacing w:after="0" w:line="280" w:lineRule="exact"/>
        <w:ind w:left="1260"/>
        <w:jc w:val="both"/>
      </w:pPr>
      <w:r w:rsidRPr="00650612">
        <w:t>Reactive resource capability.</w:t>
      </w:r>
      <w:r w:rsidRPr="00650612">
        <w:tab/>
      </w:r>
    </w:p>
    <w:p w:rsidR="00824A36" w:rsidRPr="002E0B66" w:rsidRDefault="009125ED" w:rsidP="002E0B66">
      <w:pPr>
        <w:pStyle w:val="bulletlevel1"/>
        <w:tabs>
          <w:tab w:val="clear" w:pos="1872"/>
          <w:tab w:val="num" w:pos="1984"/>
        </w:tabs>
        <w:spacing w:after="0" w:line="280" w:lineRule="exact"/>
        <w:ind w:left="1260"/>
        <w:jc w:val="both"/>
        <w:rPr>
          <w:szCs w:val="21"/>
        </w:rPr>
      </w:pPr>
      <w:r w:rsidRPr="00650612">
        <w:t xml:space="preserve">Generation </w:t>
      </w:r>
      <w:r w:rsidRPr="00F3279C">
        <w:t>additions</w:t>
      </w:r>
      <w:r w:rsidRPr="00650612">
        <w:t>, retirements, or other dispatch scenarios.</w:t>
      </w:r>
    </w:p>
    <w:p w:rsidR="009125ED" w:rsidRDefault="009125ED" w:rsidP="009125ED">
      <w:pPr>
        <w:pStyle w:val="Heading2"/>
        <w:tabs>
          <w:tab w:val="num" w:pos="720"/>
        </w:tabs>
        <w:spacing w:after="60"/>
        <w:ind w:left="720" w:hanging="446"/>
        <w:rPr>
          <w:rFonts w:ascii="Times New Roman" w:hAnsi="Times New Roman" w:cs="Times New Roman"/>
        </w:rPr>
      </w:pPr>
      <w:bookmarkStart w:id="267" w:name="_Toc405824481"/>
      <w:r>
        <w:rPr>
          <w:rFonts w:ascii="Times New Roman" w:hAnsi="Times New Roman" w:cs="Times New Roman"/>
        </w:rPr>
        <w:t>Scenarios</w:t>
      </w:r>
      <w:bookmarkEnd w:id="267"/>
    </w:p>
    <w:p w:rsidR="009125ED" w:rsidRPr="00E67C5A" w:rsidRDefault="009125ED" w:rsidP="009125ED">
      <w:pPr>
        <w:pStyle w:val="BodyText"/>
        <w:ind w:left="900"/>
        <w:jc w:val="both"/>
      </w:pPr>
      <w:r>
        <w:t>Table1 includes the planned study scenarios and estimated study schedules for all three study cases described in section 2 and sensitivity analysis described in section 4.6.</w:t>
      </w:r>
    </w:p>
    <w:tbl>
      <w:tblPr>
        <w:tblW w:w="6120" w:type="dxa"/>
        <w:jc w:val="center"/>
        <w:tblInd w:w="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0"/>
        <w:gridCol w:w="2250"/>
      </w:tblGrid>
      <w:tr w:rsidR="00004B3D" w:rsidRPr="00A74193" w:rsidTr="00004B3D">
        <w:trPr>
          <w:trHeight w:val="300"/>
          <w:jc w:val="center"/>
        </w:trPr>
        <w:tc>
          <w:tcPr>
            <w:tcW w:w="38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4B3D" w:rsidRPr="00A74193" w:rsidRDefault="00004B3D" w:rsidP="00DD7F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7419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Region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04B3D" w:rsidRPr="00A74193" w:rsidRDefault="00004B3D" w:rsidP="00DD7FAF">
            <w:p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A74193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Analysis</w:t>
            </w:r>
          </w:p>
        </w:tc>
      </w:tr>
      <w:tr w:rsidR="00004B3D" w:rsidRPr="00A74193" w:rsidTr="00004B3D">
        <w:trPr>
          <w:trHeight w:val="300"/>
          <w:jc w:val="center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4B3D" w:rsidRPr="00A74193" w:rsidRDefault="00004B3D" w:rsidP="00DD7F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193">
              <w:rPr>
                <w:rFonts w:ascii="Calibri" w:hAnsi="Calibri" w:cs="Calibri"/>
                <w:color w:val="000000"/>
                <w:sz w:val="20"/>
                <w:szCs w:val="20"/>
              </w:rPr>
              <w:t>Houston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4B3D" w:rsidRPr="00A74193" w:rsidRDefault="00004B3D" w:rsidP="00DD7F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193">
              <w:rPr>
                <w:rFonts w:ascii="Calibri" w:hAnsi="Calibri" w:cs="Calibri"/>
                <w:color w:val="000000"/>
                <w:sz w:val="20"/>
                <w:szCs w:val="20"/>
              </w:rPr>
              <w:t>PV - Import</w:t>
            </w:r>
          </w:p>
          <w:p w:rsidR="00004B3D" w:rsidRPr="00A74193" w:rsidRDefault="00004B3D" w:rsidP="00DD7F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193">
              <w:rPr>
                <w:rFonts w:ascii="Calibri" w:hAnsi="Calibri" w:cs="Calibri"/>
                <w:color w:val="000000"/>
                <w:sz w:val="20"/>
                <w:szCs w:val="20"/>
              </w:rPr>
              <w:t>Transient Stability</w:t>
            </w:r>
          </w:p>
        </w:tc>
      </w:tr>
      <w:tr w:rsidR="00004B3D" w:rsidRPr="00A74193" w:rsidTr="00004B3D">
        <w:trPr>
          <w:trHeight w:val="300"/>
          <w:jc w:val="center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4B3D" w:rsidRPr="00A74193" w:rsidRDefault="00004B3D" w:rsidP="00DD7F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193">
              <w:rPr>
                <w:rFonts w:ascii="Calibri" w:hAnsi="Calibri" w:cs="Calibri"/>
                <w:color w:val="000000"/>
                <w:sz w:val="20"/>
                <w:szCs w:val="20"/>
              </w:rPr>
              <w:t>West Texas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(including Panhandle region)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4B3D" w:rsidRPr="00A74193" w:rsidRDefault="00004B3D" w:rsidP="00DD7F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193">
              <w:rPr>
                <w:rFonts w:ascii="Calibri" w:hAnsi="Calibri" w:cs="Calibri"/>
                <w:color w:val="000000"/>
                <w:sz w:val="20"/>
                <w:szCs w:val="20"/>
              </w:rPr>
              <w:t>PV - Import</w:t>
            </w:r>
          </w:p>
          <w:p w:rsidR="00004B3D" w:rsidRPr="00A74193" w:rsidRDefault="00004B3D" w:rsidP="00DD7F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193">
              <w:rPr>
                <w:rFonts w:ascii="Calibri" w:hAnsi="Calibri" w:cs="Calibri"/>
                <w:color w:val="000000"/>
                <w:sz w:val="20"/>
                <w:szCs w:val="20"/>
              </w:rPr>
              <w:t>PV - Export</w:t>
            </w:r>
          </w:p>
          <w:p w:rsidR="00004B3D" w:rsidRPr="00A74193" w:rsidRDefault="00004B3D" w:rsidP="00DD7F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193">
              <w:rPr>
                <w:rFonts w:ascii="Calibri" w:hAnsi="Calibri" w:cs="Calibri"/>
                <w:color w:val="000000"/>
                <w:sz w:val="20"/>
                <w:szCs w:val="20"/>
              </w:rPr>
              <w:t>Transient Stability</w:t>
            </w:r>
          </w:p>
        </w:tc>
      </w:tr>
      <w:tr w:rsidR="00004B3D" w:rsidRPr="00A74193" w:rsidTr="00004B3D">
        <w:trPr>
          <w:trHeight w:val="300"/>
          <w:jc w:val="center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4B3D" w:rsidRPr="00A74193" w:rsidRDefault="00004B3D" w:rsidP="00DD7F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193">
              <w:rPr>
                <w:rFonts w:ascii="Calibri" w:hAnsi="Calibri" w:cs="Calibri"/>
                <w:color w:val="000000"/>
                <w:sz w:val="20"/>
                <w:szCs w:val="20"/>
              </w:rPr>
              <w:t>DFW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4B3D" w:rsidRPr="00A74193" w:rsidRDefault="00004B3D" w:rsidP="00DD7F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193">
              <w:rPr>
                <w:rFonts w:ascii="Calibri" w:hAnsi="Calibri" w:cs="Calibri"/>
                <w:color w:val="000000"/>
                <w:sz w:val="20"/>
                <w:szCs w:val="20"/>
              </w:rPr>
              <w:t>PV - Import</w:t>
            </w:r>
          </w:p>
          <w:p w:rsidR="00004B3D" w:rsidRPr="00A74193" w:rsidRDefault="00004B3D" w:rsidP="00DD7F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193">
              <w:rPr>
                <w:rFonts w:ascii="Calibri" w:hAnsi="Calibri" w:cs="Calibri"/>
                <w:color w:val="000000"/>
                <w:sz w:val="20"/>
                <w:szCs w:val="20"/>
              </w:rPr>
              <w:t>Transient Stability</w:t>
            </w:r>
          </w:p>
        </w:tc>
      </w:tr>
      <w:tr w:rsidR="00004B3D" w:rsidRPr="00A74193" w:rsidTr="00004B3D">
        <w:trPr>
          <w:trHeight w:val="300"/>
          <w:jc w:val="center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4B3D" w:rsidRPr="00A74193" w:rsidRDefault="00004B3D" w:rsidP="00DD7F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19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South Texas (Valley, Laredo, Corpus Christi)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4B3D" w:rsidRPr="00A74193" w:rsidRDefault="00004B3D" w:rsidP="00DD7F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193">
              <w:rPr>
                <w:rFonts w:ascii="Calibri" w:hAnsi="Calibri" w:cs="Calibri"/>
                <w:color w:val="000000"/>
                <w:sz w:val="20"/>
                <w:szCs w:val="20"/>
              </w:rPr>
              <w:t>PV - Import</w:t>
            </w:r>
          </w:p>
          <w:p w:rsidR="00004B3D" w:rsidRPr="00A74193" w:rsidRDefault="00004B3D" w:rsidP="00DD7F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193">
              <w:rPr>
                <w:rFonts w:ascii="Calibri" w:hAnsi="Calibri" w:cs="Calibri"/>
                <w:color w:val="000000"/>
                <w:sz w:val="20"/>
                <w:szCs w:val="20"/>
              </w:rPr>
              <w:t>Transient Stability</w:t>
            </w:r>
          </w:p>
        </w:tc>
      </w:tr>
      <w:tr w:rsidR="00004B3D" w:rsidRPr="00A74193" w:rsidTr="00004B3D">
        <w:trPr>
          <w:trHeight w:val="300"/>
          <w:jc w:val="center"/>
        </w:trPr>
        <w:tc>
          <w:tcPr>
            <w:tcW w:w="387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4B3D" w:rsidRPr="00A74193" w:rsidRDefault="00004B3D" w:rsidP="00DD7F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193">
              <w:rPr>
                <w:rFonts w:ascii="Calibri" w:hAnsi="Calibri" w:cs="Calibri"/>
                <w:color w:val="000000"/>
                <w:sz w:val="20"/>
                <w:szCs w:val="20"/>
              </w:rPr>
              <w:t>Central Texas (Austin, San Antonio)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4B3D" w:rsidRPr="00A74193" w:rsidRDefault="00004B3D" w:rsidP="00DD7F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193">
              <w:rPr>
                <w:rFonts w:ascii="Calibri" w:hAnsi="Calibri" w:cs="Calibri"/>
                <w:color w:val="000000"/>
                <w:sz w:val="20"/>
                <w:szCs w:val="20"/>
              </w:rPr>
              <w:t>PV - Import</w:t>
            </w:r>
          </w:p>
          <w:p w:rsidR="00004B3D" w:rsidRPr="00A74193" w:rsidRDefault="00004B3D" w:rsidP="00DD7F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193">
              <w:rPr>
                <w:rFonts w:ascii="Calibri" w:hAnsi="Calibri" w:cs="Calibri"/>
                <w:color w:val="000000"/>
                <w:sz w:val="20"/>
                <w:szCs w:val="20"/>
              </w:rPr>
              <w:t>Transient Stability</w:t>
            </w:r>
          </w:p>
        </w:tc>
      </w:tr>
      <w:tr w:rsidR="00004B3D" w:rsidRPr="00A74193" w:rsidTr="00004B3D">
        <w:trPr>
          <w:trHeight w:val="300"/>
          <w:jc w:val="center"/>
        </w:trPr>
        <w:tc>
          <w:tcPr>
            <w:tcW w:w="387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4B3D" w:rsidRPr="00A74193" w:rsidRDefault="00004B3D" w:rsidP="00DD7F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Entire System for Large Plants with Synchronous Generation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04B3D" w:rsidRPr="00A74193" w:rsidRDefault="00004B3D" w:rsidP="00DD7F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74193">
              <w:rPr>
                <w:rFonts w:ascii="Calibri" w:hAnsi="Calibri" w:cs="Calibri"/>
                <w:color w:val="000000"/>
                <w:sz w:val="20"/>
                <w:szCs w:val="20"/>
              </w:rPr>
              <w:t>Transient Stability</w:t>
            </w:r>
          </w:p>
        </w:tc>
      </w:tr>
    </w:tbl>
    <w:p w:rsidR="009125ED" w:rsidRDefault="009125ED" w:rsidP="00004B3D">
      <w:pPr>
        <w:pStyle w:val="body2"/>
        <w:ind w:left="806"/>
        <w:jc w:val="center"/>
      </w:pPr>
      <w:r>
        <w:t xml:space="preserve">Table 1: </w:t>
      </w:r>
      <w:r w:rsidR="00004B3D">
        <w:t xml:space="preserve">Planned </w:t>
      </w:r>
      <w:r>
        <w:t>Stability Assessment Study Scenarios</w:t>
      </w:r>
    </w:p>
    <w:p w:rsidR="009125ED" w:rsidRDefault="009125ED" w:rsidP="009125ED">
      <w:pPr>
        <w:pStyle w:val="body2"/>
        <w:spacing w:before="120"/>
        <w:ind w:left="810"/>
        <w:jc w:val="both"/>
      </w:pPr>
      <w:r>
        <w:t>The stability assessment will include analysis of regions within the ERCOT system as noted in Table 1.  PV analysis will test the capability to import</w:t>
      </w:r>
      <w:bookmarkStart w:id="268" w:name="_GoBack"/>
      <w:bookmarkEnd w:id="268"/>
      <w:r>
        <w:t xml:space="preserve"> and/or export power from a specific geographical region.  Transient stability analysis will test transient response to disturbances within the study region </w:t>
      </w:r>
      <w:r>
        <w:lastRenderedPageBreak/>
        <w:t xml:space="preserve">and may require that more detailed models (e.g. dynamic motor load models) be added to the base case.  </w:t>
      </w:r>
      <w:r w:rsidRPr="006E49BE">
        <w:t xml:space="preserve">Large synchronous generators have the greatest potential </w:t>
      </w:r>
      <w:r>
        <w:t>to impact system operations should an instability event occur.  Therefore, large plants (with capacity greater than 1000 MW) will be assessed for transient stability.</w:t>
      </w:r>
    </w:p>
    <w:p w:rsidR="009125ED" w:rsidRDefault="009125ED" w:rsidP="009125ED">
      <w:pPr>
        <w:pStyle w:val="body2"/>
        <w:spacing w:before="120"/>
        <w:ind w:left="810"/>
        <w:jc w:val="both"/>
      </w:pPr>
      <w:r>
        <w:t xml:space="preserve">The stability assessment will also include sensitivity analysis in accordance with </w:t>
      </w:r>
      <w:r w:rsidRPr="00F74B50">
        <w:t xml:space="preserve">NERC Standard TPL-001-4 </w:t>
      </w:r>
      <w:r>
        <w:t xml:space="preserve">R2 2.4.3.  </w:t>
      </w:r>
      <w:r w:rsidRPr="00810C39">
        <w:t xml:space="preserve">Additionally, the impact </w:t>
      </w:r>
      <w:r>
        <w:t xml:space="preserve">of </w:t>
      </w:r>
      <w:r w:rsidRPr="00810C39">
        <w:t xml:space="preserve">protective relay operation </w:t>
      </w:r>
      <w:r>
        <w:t xml:space="preserve">pursuant to NERC Standard TPL-001-4 R4 4.1.2 and 4.3.1.3 will be incorporated into the assessment analyses through either modeling relays directly within simulations or comparing simulation results with relay settings.  </w:t>
      </w:r>
      <w:r w:rsidRPr="00810C39">
        <w:t>Assistance will be solicited from the TSPs for determining appropriate relay model</w:t>
      </w:r>
      <w:r>
        <w:t>s and/or</w:t>
      </w:r>
      <w:r w:rsidRPr="00810C39">
        <w:t xml:space="preserve"> assumptions.</w:t>
      </w:r>
      <w:r w:rsidR="003C1611">
        <w:t xml:space="preserve">  </w:t>
      </w:r>
    </w:p>
    <w:p w:rsidR="00A1631B" w:rsidRDefault="0012310F" w:rsidP="00321321">
      <w:pPr>
        <w:pStyle w:val="Heading1"/>
        <w:tabs>
          <w:tab w:val="num" w:pos="180"/>
        </w:tabs>
        <w:spacing w:after="120"/>
        <w:ind w:left="180" w:hanging="547"/>
      </w:pPr>
      <w:bookmarkStart w:id="269" w:name="_Toc405824482"/>
      <w:r>
        <w:rPr>
          <w:rFonts w:ascii="Times New Roman" w:hAnsi="Times New Roman" w:cs="Times New Roman"/>
        </w:rPr>
        <w:t>Deliverables</w:t>
      </w:r>
      <w:bookmarkEnd w:id="269"/>
    </w:p>
    <w:p w:rsidR="0012310F" w:rsidRPr="0012310F" w:rsidRDefault="00A55639" w:rsidP="0012310F">
      <w:pPr>
        <w:pStyle w:val="BodyText"/>
        <w:ind w:left="270"/>
        <w:jc w:val="both"/>
      </w:pPr>
      <w:r>
        <w:t xml:space="preserve">An assessment report </w:t>
      </w:r>
      <w:r w:rsidR="0012310F" w:rsidRPr="0012310F">
        <w:t>docume</w:t>
      </w:r>
      <w:r w:rsidR="0012310F">
        <w:t>nting:</w:t>
      </w:r>
    </w:p>
    <w:p w:rsidR="0012310F" w:rsidRPr="0012310F" w:rsidRDefault="0012310F" w:rsidP="0012310F">
      <w:pPr>
        <w:pStyle w:val="BodyText"/>
        <w:numPr>
          <w:ilvl w:val="0"/>
          <w:numId w:val="19"/>
        </w:numPr>
        <w:spacing w:before="120"/>
        <w:jc w:val="both"/>
        <w:rPr>
          <w:szCs w:val="21"/>
        </w:rPr>
      </w:pPr>
      <w:r>
        <w:rPr>
          <w:szCs w:val="21"/>
        </w:rPr>
        <w:t>Scenarios and a</w:t>
      </w:r>
      <w:r w:rsidRPr="0012310F">
        <w:rPr>
          <w:szCs w:val="21"/>
        </w:rPr>
        <w:t>ssumptions</w:t>
      </w:r>
    </w:p>
    <w:p w:rsidR="0012310F" w:rsidRPr="0012310F" w:rsidRDefault="0012310F" w:rsidP="0012310F">
      <w:pPr>
        <w:pStyle w:val="BodyText"/>
        <w:numPr>
          <w:ilvl w:val="0"/>
          <w:numId w:val="19"/>
        </w:numPr>
        <w:spacing w:before="120"/>
        <w:jc w:val="both"/>
        <w:rPr>
          <w:szCs w:val="21"/>
        </w:rPr>
      </w:pPr>
      <w:r w:rsidRPr="0012310F">
        <w:rPr>
          <w:szCs w:val="21"/>
        </w:rPr>
        <w:t>Contingency definitions</w:t>
      </w:r>
    </w:p>
    <w:p w:rsidR="0012310F" w:rsidRPr="0012310F" w:rsidRDefault="0012310F" w:rsidP="0012310F">
      <w:pPr>
        <w:pStyle w:val="BodyText"/>
        <w:numPr>
          <w:ilvl w:val="0"/>
          <w:numId w:val="19"/>
        </w:numPr>
        <w:spacing w:before="120"/>
        <w:jc w:val="both"/>
        <w:rPr>
          <w:szCs w:val="21"/>
        </w:rPr>
      </w:pPr>
      <w:r>
        <w:rPr>
          <w:szCs w:val="21"/>
        </w:rPr>
        <w:t>Study process and case d</w:t>
      </w:r>
      <w:r w:rsidRPr="0012310F">
        <w:rPr>
          <w:szCs w:val="21"/>
        </w:rPr>
        <w:t>evelopment</w:t>
      </w:r>
    </w:p>
    <w:p w:rsidR="0012310F" w:rsidRPr="0012310F" w:rsidRDefault="00A55639" w:rsidP="0012310F">
      <w:pPr>
        <w:pStyle w:val="BodyText"/>
        <w:numPr>
          <w:ilvl w:val="0"/>
          <w:numId w:val="19"/>
        </w:numPr>
        <w:spacing w:before="120"/>
        <w:jc w:val="both"/>
        <w:rPr>
          <w:szCs w:val="21"/>
        </w:rPr>
      </w:pPr>
      <w:r>
        <w:rPr>
          <w:szCs w:val="21"/>
        </w:rPr>
        <w:t>A</w:t>
      </w:r>
      <w:r w:rsidR="0012310F">
        <w:rPr>
          <w:szCs w:val="21"/>
        </w:rPr>
        <w:t>nalysis</w:t>
      </w:r>
      <w:r>
        <w:rPr>
          <w:szCs w:val="21"/>
        </w:rPr>
        <w:t>, results</w:t>
      </w:r>
      <w:r w:rsidR="0012310F">
        <w:rPr>
          <w:szCs w:val="21"/>
        </w:rPr>
        <w:t xml:space="preserve"> and corrective action</w:t>
      </w:r>
      <w:r w:rsidR="0012310F" w:rsidRPr="0012310F">
        <w:rPr>
          <w:szCs w:val="21"/>
        </w:rPr>
        <w:t xml:space="preserve"> plans</w:t>
      </w:r>
      <w:r w:rsidR="0012310F">
        <w:rPr>
          <w:szCs w:val="21"/>
        </w:rPr>
        <w:t>, if necessary</w:t>
      </w:r>
      <w:r w:rsidR="0012310F" w:rsidRPr="0012310F">
        <w:rPr>
          <w:szCs w:val="21"/>
        </w:rPr>
        <w:t xml:space="preserve"> </w:t>
      </w:r>
    </w:p>
    <w:p w:rsidR="0012310F" w:rsidRPr="0012310F" w:rsidRDefault="00A55639" w:rsidP="0012310F">
      <w:pPr>
        <w:pStyle w:val="BodyText"/>
        <w:numPr>
          <w:ilvl w:val="0"/>
          <w:numId w:val="19"/>
        </w:numPr>
        <w:spacing w:before="120"/>
        <w:jc w:val="both"/>
        <w:rPr>
          <w:szCs w:val="21"/>
        </w:rPr>
      </w:pPr>
      <w:r>
        <w:rPr>
          <w:szCs w:val="21"/>
        </w:rPr>
        <w:t xml:space="preserve">Identified </w:t>
      </w:r>
      <w:r w:rsidR="0012310F" w:rsidRPr="0012310F">
        <w:rPr>
          <w:szCs w:val="21"/>
        </w:rPr>
        <w:t>SOLs and/or IROLs as defined by</w:t>
      </w:r>
      <w:r w:rsidR="0012310F">
        <w:rPr>
          <w:szCs w:val="21"/>
        </w:rPr>
        <w:t xml:space="preserve"> the</w:t>
      </w:r>
      <w:r w:rsidR="0012310F" w:rsidRPr="0012310F">
        <w:rPr>
          <w:szCs w:val="21"/>
        </w:rPr>
        <w:t xml:space="preserve"> </w:t>
      </w:r>
      <w:r w:rsidR="0012310F">
        <w:rPr>
          <w:color w:val="000000"/>
        </w:rPr>
        <w:t>“</w:t>
      </w:r>
      <w:r w:rsidR="0012310F" w:rsidRPr="00D65C51">
        <w:rPr>
          <w:i/>
          <w:szCs w:val="21"/>
        </w:rPr>
        <w:t>System Oper</w:t>
      </w:r>
      <w:r w:rsidR="0012310F">
        <w:rPr>
          <w:i/>
          <w:szCs w:val="21"/>
        </w:rPr>
        <w:t>ating Limit</w:t>
      </w:r>
      <w:r w:rsidR="0012310F" w:rsidRPr="00D65C51">
        <w:rPr>
          <w:i/>
          <w:szCs w:val="21"/>
        </w:rPr>
        <w:t xml:space="preserve"> Methodology for Planning </w:t>
      </w:r>
      <w:r w:rsidR="0012310F">
        <w:rPr>
          <w:i/>
          <w:szCs w:val="21"/>
        </w:rPr>
        <w:t xml:space="preserve">and Operations </w:t>
      </w:r>
      <w:r w:rsidR="0012310F" w:rsidRPr="00D65C51">
        <w:rPr>
          <w:i/>
          <w:szCs w:val="21"/>
        </w:rPr>
        <w:t>Horizon</w:t>
      </w:r>
      <w:r w:rsidR="0012310F">
        <w:rPr>
          <w:i/>
          <w:szCs w:val="21"/>
        </w:rPr>
        <w:t>”</w:t>
      </w:r>
      <w:r w:rsidR="0012310F" w:rsidRPr="0012310F">
        <w:rPr>
          <w:szCs w:val="21"/>
        </w:rPr>
        <w:t>.</w:t>
      </w:r>
    </w:p>
    <w:p w:rsidR="0012310F" w:rsidRPr="0012310F" w:rsidRDefault="0012310F" w:rsidP="0012310F">
      <w:pPr>
        <w:pStyle w:val="BodyText"/>
        <w:ind w:left="270"/>
        <w:jc w:val="both"/>
      </w:pPr>
      <w:r w:rsidRPr="0012310F">
        <w:t xml:space="preserve">The report </w:t>
      </w:r>
      <w:r w:rsidR="00A55639">
        <w:t>will document compliance with:</w:t>
      </w:r>
    </w:p>
    <w:p w:rsidR="0012310F" w:rsidRPr="0012310F" w:rsidRDefault="0012310F" w:rsidP="0012310F">
      <w:pPr>
        <w:pStyle w:val="BodyText"/>
        <w:numPr>
          <w:ilvl w:val="0"/>
          <w:numId w:val="19"/>
        </w:numPr>
        <w:spacing w:before="120"/>
        <w:jc w:val="both"/>
        <w:rPr>
          <w:szCs w:val="21"/>
        </w:rPr>
      </w:pPr>
      <w:r w:rsidRPr="0012310F">
        <w:rPr>
          <w:szCs w:val="21"/>
        </w:rPr>
        <w:t>ERCOT Protocols</w:t>
      </w:r>
    </w:p>
    <w:p w:rsidR="0012310F" w:rsidRPr="0012310F" w:rsidRDefault="0012310F" w:rsidP="0012310F">
      <w:pPr>
        <w:pStyle w:val="BodyText"/>
        <w:numPr>
          <w:ilvl w:val="0"/>
          <w:numId w:val="19"/>
        </w:numPr>
        <w:spacing w:before="120"/>
        <w:jc w:val="both"/>
        <w:rPr>
          <w:szCs w:val="21"/>
        </w:rPr>
      </w:pPr>
      <w:r w:rsidRPr="0012310F">
        <w:rPr>
          <w:szCs w:val="21"/>
        </w:rPr>
        <w:t>ERCOT Planning Guides</w:t>
      </w:r>
    </w:p>
    <w:p w:rsidR="0012310F" w:rsidRDefault="0012310F" w:rsidP="0012310F">
      <w:pPr>
        <w:pStyle w:val="BodyText"/>
        <w:numPr>
          <w:ilvl w:val="0"/>
          <w:numId w:val="19"/>
        </w:numPr>
        <w:spacing w:before="120"/>
        <w:jc w:val="both"/>
        <w:rPr>
          <w:szCs w:val="21"/>
        </w:rPr>
      </w:pPr>
      <w:r w:rsidRPr="0012310F">
        <w:rPr>
          <w:szCs w:val="21"/>
        </w:rPr>
        <w:t xml:space="preserve">NERC </w:t>
      </w:r>
      <w:r w:rsidR="00A55639">
        <w:rPr>
          <w:szCs w:val="21"/>
        </w:rPr>
        <w:t xml:space="preserve">Standard </w:t>
      </w:r>
      <w:r w:rsidRPr="0012310F">
        <w:rPr>
          <w:szCs w:val="21"/>
        </w:rPr>
        <w:t>TPL-001-</w:t>
      </w:r>
      <w:r w:rsidR="00DE0116">
        <w:rPr>
          <w:szCs w:val="21"/>
        </w:rPr>
        <w:t>4</w:t>
      </w:r>
    </w:p>
    <w:p w:rsidR="00A55639" w:rsidRPr="0012310F" w:rsidRDefault="00A55639" w:rsidP="00A55639">
      <w:pPr>
        <w:pStyle w:val="BodyText"/>
        <w:spacing w:before="120"/>
        <w:jc w:val="both"/>
        <w:rPr>
          <w:szCs w:val="21"/>
        </w:rPr>
      </w:pPr>
    </w:p>
    <w:sectPr w:rsidR="00A55639" w:rsidRPr="0012310F" w:rsidSect="00A55639">
      <w:footerReference w:type="default" r:id="rId1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98D" w:rsidRDefault="00B4798D" w:rsidP="004D2F73">
      <w:r>
        <w:separator/>
      </w:r>
    </w:p>
  </w:endnote>
  <w:endnote w:type="continuationSeparator" w:id="0">
    <w:p w:rsidR="00B4798D" w:rsidRDefault="00B4798D" w:rsidP="004D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44" w:rsidRPr="00400806" w:rsidRDefault="00DD3744" w:rsidP="00530A0D">
    <w:pPr>
      <w:pStyle w:val="table"/>
      <w:tabs>
        <w:tab w:val="right" w:pos="8460"/>
      </w:tabs>
      <w:rPr>
        <w:sz w:val="16"/>
        <w:szCs w:val="16"/>
      </w:rPr>
    </w:pPr>
    <w:r w:rsidRPr="00400806">
      <w:rPr>
        <w:rStyle w:val="PageNumber"/>
        <w:sz w:val="16"/>
        <w:szCs w:val="16"/>
      </w:rPr>
      <w:t>© 20</w:t>
    </w:r>
    <w:r>
      <w:rPr>
        <w:rStyle w:val="PageNumber"/>
        <w:sz w:val="16"/>
        <w:szCs w:val="16"/>
      </w:rPr>
      <w:t>14</w:t>
    </w:r>
    <w:r w:rsidRPr="00400806">
      <w:rPr>
        <w:rStyle w:val="PageNumber"/>
        <w:sz w:val="16"/>
        <w:szCs w:val="16"/>
      </w:rPr>
      <w:t xml:space="preserve"> Electric Reliability Council of Texas, Inc. All rights reserved.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35608F"/>
      <w:tblLook w:val="01E0" w:firstRow="1" w:lastRow="1" w:firstColumn="1" w:lastColumn="1" w:noHBand="0" w:noVBand="0"/>
    </w:tblPr>
    <w:tblGrid>
      <w:gridCol w:w="4788"/>
      <w:gridCol w:w="4788"/>
    </w:tblGrid>
    <w:tr w:rsidR="00DD3744" w:rsidTr="00530A0D">
      <w:tc>
        <w:tcPr>
          <w:tcW w:w="2500" w:type="pct"/>
          <w:shd w:val="clear" w:color="auto" w:fill="35608F"/>
          <w:vAlign w:val="center"/>
        </w:tcPr>
        <w:p w:rsidR="00DD3744" w:rsidRPr="001E4041" w:rsidRDefault="00DD3744" w:rsidP="00CF42FA">
          <w:pPr>
            <w:pStyle w:val="table"/>
            <w:tabs>
              <w:tab w:val="right" w:pos="8460"/>
            </w:tabs>
            <w:rPr>
              <w:i/>
              <w:iCs/>
              <w:color w:val="FFFFFF"/>
              <w:sz w:val="16"/>
              <w:szCs w:val="16"/>
            </w:rPr>
          </w:pPr>
          <w:r w:rsidRPr="001E4041">
            <w:rPr>
              <w:rStyle w:val="PageNumber"/>
              <w:i/>
              <w:iCs/>
              <w:color w:val="FFFFFF"/>
              <w:sz w:val="16"/>
              <w:szCs w:val="16"/>
            </w:rPr>
            <w:t>© 201</w:t>
          </w:r>
          <w:r>
            <w:rPr>
              <w:rStyle w:val="PageNumber"/>
              <w:i/>
              <w:iCs/>
              <w:color w:val="FFFFFF"/>
              <w:sz w:val="16"/>
              <w:szCs w:val="16"/>
            </w:rPr>
            <w:t>4</w:t>
          </w:r>
          <w:r w:rsidRPr="001E4041">
            <w:rPr>
              <w:rStyle w:val="PageNumber"/>
              <w:i/>
              <w:iCs/>
              <w:color w:val="FFFFFF"/>
              <w:sz w:val="16"/>
              <w:szCs w:val="16"/>
            </w:rPr>
            <w:t xml:space="preserve"> Electric Reliability Council of Texas, Inc.</w:t>
          </w:r>
        </w:p>
      </w:tc>
      <w:tc>
        <w:tcPr>
          <w:tcW w:w="2500" w:type="pct"/>
          <w:shd w:val="clear" w:color="auto" w:fill="35608F"/>
          <w:vAlign w:val="center"/>
        </w:tcPr>
        <w:p w:rsidR="00DD3744" w:rsidRPr="001E4041" w:rsidRDefault="00DD3744" w:rsidP="00530A0D">
          <w:pPr>
            <w:spacing w:before="40" w:after="40"/>
            <w:jc w:val="right"/>
            <w:rPr>
              <w:rFonts w:ascii="Arial" w:hAnsi="Arial" w:cs="Arial"/>
              <w:i/>
              <w:iCs/>
              <w:color w:val="FFFFFF"/>
              <w:sz w:val="18"/>
            </w:rPr>
          </w:pPr>
          <w:r>
            <w:rPr>
              <w:rFonts w:ascii="Arial" w:hAnsi="Arial" w:cs="Arial"/>
              <w:i/>
              <w:iCs/>
              <w:color w:val="FFFFFF"/>
              <w:sz w:val="18"/>
            </w:rPr>
            <w:t>System Planning</w:t>
          </w:r>
        </w:p>
      </w:tc>
    </w:tr>
  </w:tbl>
  <w:p w:rsidR="00DD3744" w:rsidRDefault="00DD37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44" w:rsidRPr="001F7C8D" w:rsidRDefault="00DD3744" w:rsidP="00530A0D">
    <w:pPr>
      <w:pStyle w:val="table"/>
      <w:tabs>
        <w:tab w:val="right" w:pos="9360"/>
      </w:tabs>
      <w:rPr>
        <w:sz w:val="21"/>
        <w:szCs w:val="21"/>
      </w:rPr>
    </w:pPr>
    <w:r w:rsidRPr="00400806">
      <w:rPr>
        <w:rStyle w:val="PageNumber"/>
        <w:sz w:val="16"/>
        <w:szCs w:val="16"/>
      </w:rPr>
      <w:t>© 20</w:t>
    </w:r>
    <w:r>
      <w:rPr>
        <w:rStyle w:val="PageNumber"/>
        <w:sz w:val="16"/>
        <w:szCs w:val="16"/>
      </w:rPr>
      <w:t>14</w:t>
    </w:r>
    <w:r w:rsidRPr="00400806">
      <w:rPr>
        <w:rStyle w:val="PageNumber"/>
        <w:sz w:val="16"/>
        <w:szCs w:val="16"/>
      </w:rPr>
      <w:t xml:space="preserve"> Electric Reliability Council of Texas, Inc. All rights reserved.</w:t>
    </w:r>
    <w:r>
      <w:rPr>
        <w:rStyle w:val="PageNumber"/>
        <w:rFonts w:ascii="Times New Roman" w:hAnsi="Times New Roman"/>
        <w:sz w:val="24"/>
      </w:rPr>
      <w:tab/>
    </w:r>
    <w:r>
      <w:rPr>
        <w:rStyle w:val="PageNumber"/>
        <w:rFonts w:ascii="Times New Roman" w:hAnsi="Times New Roman"/>
        <w:sz w:val="24"/>
      </w:rPr>
      <w:fldChar w:fldCharType="begin"/>
    </w:r>
    <w:r>
      <w:rPr>
        <w:rStyle w:val="PageNumber"/>
        <w:rFonts w:ascii="Times New Roman" w:hAnsi="Times New Roman"/>
        <w:sz w:val="24"/>
      </w:rPr>
      <w:instrText xml:space="preserve"> PAGE </w:instrText>
    </w:r>
    <w:r>
      <w:rPr>
        <w:rStyle w:val="PageNumber"/>
        <w:rFonts w:ascii="Times New Roman" w:hAnsi="Times New Roman"/>
        <w:sz w:val="24"/>
      </w:rPr>
      <w:fldChar w:fldCharType="separate"/>
    </w:r>
    <w:r w:rsidR="00004B3D">
      <w:rPr>
        <w:rStyle w:val="PageNumber"/>
        <w:rFonts w:ascii="Times New Roman" w:hAnsi="Times New Roman"/>
        <w:noProof/>
        <w:sz w:val="24"/>
      </w:rPr>
      <w:t>i</w:t>
    </w:r>
    <w:r>
      <w:rPr>
        <w:rStyle w:val="PageNumber"/>
        <w:rFonts w:ascii="Times New Roman" w:hAnsi="Times New Roman"/>
        <w:sz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44" w:rsidRDefault="00DD3744" w:rsidP="00163C62">
    <w:pPr>
      <w:pStyle w:val="table"/>
      <w:tabs>
        <w:tab w:val="left" w:pos="9120"/>
        <w:tab w:val="right" w:pos="9360"/>
      </w:tabs>
      <w:rPr>
        <w:sz w:val="20"/>
        <w:szCs w:val="20"/>
      </w:rPr>
    </w:pPr>
    <w:r w:rsidRPr="00400806">
      <w:rPr>
        <w:rStyle w:val="PageNumber"/>
        <w:sz w:val="16"/>
        <w:szCs w:val="16"/>
      </w:rPr>
      <w:t>© 20</w:t>
    </w:r>
    <w:r>
      <w:rPr>
        <w:rStyle w:val="PageNumber"/>
        <w:sz w:val="16"/>
        <w:szCs w:val="16"/>
      </w:rPr>
      <w:t>14</w:t>
    </w:r>
    <w:r w:rsidRPr="00400806">
      <w:rPr>
        <w:rStyle w:val="PageNumber"/>
        <w:sz w:val="16"/>
        <w:szCs w:val="16"/>
      </w:rPr>
      <w:t xml:space="preserve"> Electric Reliability Council of Texas, Inc. All rights reserved.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004B3D">
      <w:rPr>
        <w:rStyle w:val="PageNumber"/>
        <w:noProof/>
        <w:sz w:val="20"/>
        <w:szCs w:val="20"/>
      </w:rPr>
      <w:t>4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98D" w:rsidRDefault="00B4798D" w:rsidP="004D2F73">
      <w:r>
        <w:separator/>
      </w:r>
    </w:p>
  </w:footnote>
  <w:footnote w:type="continuationSeparator" w:id="0">
    <w:p w:rsidR="00B4798D" w:rsidRDefault="00B4798D" w:rsidP="004D2F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44" w:rsidRPr="00400806" w:rsidRDefault="00DD3744" w:rsidP="00530A0D">
    <w:pPr>
      <w:pStyle w:val="Header"/>
      <w:tabs>
        <w:tab w:val="clear" w:pos="4320"/>
        <w:tab w:val="clear" w:pos="864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2015 Transmission Planning Stability Assessment</w:t>
    </w:r>
    <w:r w:rsidRPr="009477A7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Study Scope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shd w:val="clear" w:color="auto" w:fill="1F497D"/>
      <w:tblLook w:val="01E0" w:firstRow="1" w:lastRow="1" w:firstColumn="1" w:lastColumn="1" w:noHBand="0" w:noVBand="0"/>
    </w:tblPr>
    <w:tblGrid>
      <w:gridCol w:w="4788"/>
      <w:gridCol w:w="4788"/>
    </w:tblGrid>
    <w:tr w:rsidR="00DD3744" w:rsidRPr="0005493A" w:rsidTr="00530A0D">
      <w:tc>
        <w:tcPr>
          <w:tcW w:w="2500" w:type="pct"/>
          <w:shd w:val="clear" w:color="auto" w:fill="1F497D"/>
          <w:vAlign w:val="center"/>
        </w:tcPr>
        <w:p w:rsidR="00DD3744" w:rsidRPr="0005493A" w:rsidRDefault="00DD3744" w:rsidP="00530A0D">
          <w:pPr>
            <w:pStyle w:val="Header"/>
            <w:spacing w:before="40" w:after="40"/>
            <w:rPr>
              <w:rFonts w:ascii="Arial" w:hAnsi="Arial" w:cs="Arial"/>
              <w:i/>
              <w:iCs/>
              <w:color w:val="FFFFFF"/>
              <w:sz w:val="16"/>
              <w:szCs w:val="16"/>
            </w:rPr>
          </w:pPr>
          <w:r w:rsidRPr="0005493A">
            <w:rPr>
              <w:rFonts w:ascii="Arial Black" w:hAnsi="Arial Black"/>
              <w:i/>
              <w:iCs/>
              <w:color w:val="FFFFFF"/>
              <w:sz w:val="18"/>
            </w:rPr>
            <w:t>ERCOT Confidential</w:t>
          </w:r>
        </w:p>
      </w:tc>
      <w:tc>
        <w:tcPr>
          <w:tcW w:w="2500" w:type="pct"/>
          <w:shd w:val="clear" w:color="auto" w:fill="1F497D"/>
          <w:vAlign w:val="center"/>
        </w:tcPr>
        <w:p w:rsidR="00DD3744" w:rsidRPr="0005493A" w:rsidRDefault="00DD3744" w:rsidP="00530A0D">
          <w:pPr>
            <w:pStyle w:val="Header"/>
            <w:spacing w:before="40" w:after="40"/>
            <w:jc w:val="right"/>
            <w:rPr>
              <w:rFonts w:ascii="Arial Black" w:hAnsi="Arial Black"/>
              <w:b/>
              <w:i/>
              <w:iCs/>
              <w:color w:val="FFFFFF"/>
              <w:sz w:val="18"/>
            </w:rPr>
          </w:pPr>
          <w:r w:rsidRPr="0005493A">
            <w:rPr>
              <w:rFonts w:ascii="Arial Black" w:hAnsi="Arial Black"/>
              <w:b/>
              <w:i/>
              <w:iCs/>
              <w:color w:val="FFFFFF"/>
              <w:sz w:val="18"/>
            </w:rPr>
            <w:t>STUDY SCOPE</w:t>
          </w:r>
        </w:p>
      </w:tc>
    </w:tr>
  </w:tbl>
  <w:p w:rsidR="00DD3744" w:rsidRDefault="00DD37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44" w:rsidRDefault="00DD374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744" w:rsidRDefault="00DD37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5846"/>
    <w:multiLevelType w:val="hybridMultilevel"/>
    <w:tmpl w:val="8DB4B0D8"/>
    <w:lvl w:ilvl="0" w:tplc="26226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68B7DD9"/>
    <w:multiLevelType w:val="hybridMultilevel"/>
    <w:tmpl w:val="64DA9A9A"/>
    <w:lvl w:ilvl="0" w:tplc="606A3974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19F91FD2"/>
    <w:multiLevelType w:val="multilevel"/>
    <w:tmpl w:val="D07A4D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3">
    <w:nsid w:val="1C48354E"/>
    <w:multiLevelType w:val="hybridMultilevel"/>
    <w:tmpl w:val="7748A0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1CB33DDF"/>
    <w:multiLevelType w:val="hybridMultilevel"/>
    <w:tmpl w:val="60E82E44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5">
    <w:nsid w:val="1D8B23FF"/>
    <w:multiLevelType w:val="hybridMultilevel"/>
    <w:tmpl w:val="67F80490"/>
    <w:lvl w:ilvl="0" w:tplc="806AE6D0">
      <w:start w:val="1"/>
      <w:numFmt w:val="bullet"/>
      <w:pStyle w:val="bulletlevel1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6">
    <w:nsid w:val="1E125E93"/>
    <w:multiLevelType w:val="hybridMultilevel"/>
    <w:tmpl w:val="2D768422"/>
    <w:lvl w:ilvl="0" w:tplc="28687EB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8E76A61"/>
    <w:multiLevelType w:val="hybridMultilevel"/>
    <w:tmpl w:val="AAD069B6"/>
    <w:lvl w:ilvl="0" w:tplc="04188E32">
      <w:start w:val="1"/>
      <w:numFmt w:val="decimal"/>
      <w:lvlText w:val="%1."/>
      <w:lvlJc w:val="left"/>
      <w:pPr>
        <w:ind w:left="9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4" w:hanging="360"/>
      </w:pPr>
    </w:lvl>
    <w:lvl w:ilvl="2" w:tplc="0409001B" w:tentative="1">
      <w:start w:val="1"/>
      <w:numFmt w:val="lowerRoman"/>
      <w:lvlText w:val="%3."/>
      <w:lvlJc w:val="right"/>
      <w:pPr>
        <w:ind w:left="2434" w:hanging="180"/>
      </w:pPr>
    </w:lvl>
    <w:lvl w:ilvl="3" w:tplc="0409000F" w:tentative="1">
      <w:start w:val="1"/>
      <w:numFmt w:val="decimal"/>
      <w:lvlText w:val="%4."/>
      <w:lvlJc w:val="left"/>
      <w:pPr>
        <w:ind w:left="3154" w:hanging="360"/>
      </w:pPr>
    </w:lvl>
    <w:lvl w:ilvl="4" w:tplc="04090019" w:tentative="1">
      <w:start w:val="1"/>
      <w:numFmt w:val="lowerLetter"/>
      <w:lvlText w:val="%5."/>
      <w:lvlJc w:val="left"/>
      <w:pPr>
        <w:ind w:left="3874" w:hanging="360"/>
      </w:pPr>
    </w:lvl>
    <w:lvl w:ilvl="5" w:tplc="0409001B" w:tentative="1">
      <w:start w:val="1"/>
      <w:numFmt w:val="lowerRoman"/>
      <w:lvlText w:val="%6."/>
      <w:lvlJc w:val="right"/>
      <w:pPr>
        <w:ind w:left="4594" w:hanging="180"/>
      </w:pPr>
    </w:lvl>
    <w:lvl w:ilvl="6" w:tplc="0409000F" w:tentative="1">
      <w:start w:val="1"/>
      <w:numFmt w:val="decimal"/>
      <w:lvlText w:val="%7."/>
      <w:lvlJc w:val="left"/>
      <w:pPr>
        <w:ind w:left="5314" w:hanging="360"/>
      </w:pPr>
    </w:lvl>
    <w:lvl w:ilvl="7" w:tplc="04090019" w:tentative="1">
      <w:start w:val="1"/>
      <w:numFmt w:val="lowerLetter"/>
      <w:lvlText w:val="%8."/>
      <w:lvlJc w:val="left"/>
      <w:pPr>
        <w:ind w:left="6034" w:hanging="360"/>
      </w:pPr>
    </w:lvl>
    <w:lvl w:ilvl="8" w:tplc="0409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8">
    <w:nsid w:val="327C07AB"/>
    <w:multiLevelType w:val="hybridMultilevel"/>
    <w:tmpl w:val="D734842A"/>
    <w:lvl w:ilvl="0" w:tplc="7EA4B978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9">
    <w:nsid w:val="362A1D9B"/>
    <w:multiLevelType w:val="hybridMultilevel"/>
    <w:tmpl w:val="96386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4B3345"/>
    <w:multiLevelType w:val="hybridMultilevel"/>
    <w:tmpl w:val="963860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E170A"/>
    <w:multiLevelType w:val="hybridMultilevel"/>
    <w:tmpl w:val="3FD2DBB4"/>
    <w:lvl w:ilvl="0" w:tplc="4A483C74">
      <w:start w:val="1"/>
      <w:numFmt w:val="decimal"/>
      <w:lvlText w:val="%1."/>
      <w:lvlJc w:val="left"/>
      <w:pPr>
        <w:ind w:left="1080" w:hanging="360"/>
      </w:pPr>
      <w:rPr>
        <w:rFonts w:hint="default"/>
        <w:sz w:val="21"/>
        <w:szCs w:val="21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5F0384"/>
    <w:multiLevelType w:val="hybridMultilevel"/>
    <w:tmpl w:val="A998A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57C2C"/>
    <w:multiLevelType w:val="hybridMultilevel"/>
    <w:tmpl w:val="0616B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7F16A9"/>
    <w:multiLevelType w:val="hybridMultilevel"/>
    <w:tmpl w:val="EE5E2BBC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6DC84DBE"/>
    <w:multiLevelType w:val="hybridMultilevel"/>
    <w:tmpl w:val="50E6DB12"/>
    <w:lvl w:ilvl="0" w:tplc="04090001">
      <w:start w:val="1"/>
      <w:numFmt w:val="bullet"/>
      <w:lvlText w:val=""/>
      <w:lvlJc w:val="left"/>
      <w:pPr>
        <w:ind w:left="15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16">
    <w:nsid w:val="75AC1B03"/>
    <w:multiLevelType w:val="hybridMultilevel"/>
    <w:tmpl w:val="55B470AA"/>
    <w:lvl w:ilvl="0" w:tplc="4B3A779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>
    <w:nsid w:val="79C542C7"/>
    <w:multiLevelType w:val="hybridMultilevel"/>
    <w:tmpl w:val="3B44E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9"/>
  </w:num>
  <w:num w:numId="5">
    <w:abstractNumId w:val="5"/>
  </w:num>
  <w:num w:numId="6">
    <w:abstractNumId w:val="5"/>
  </w:num>
  <w:num w:numId="7">
    <w:abstractNumId w:val="12"/>
  </w:num>
  <w:num w:numId="8">
    <w:abstractNumId w:val="8"/>
  </w:num>
  <w:num w:numId="9">
    <w:abstractNumId w:val="16"/>
  </w:num>
  <w:num w:numId="10">
    <w:abstractNumId w:val="0"/>
  </w:num>
  <w:num w:numId="11">
    <w:abstractNumId w:val="6"/>
  </w:num>
  <w:num w:numId="12">
    <w:abstractNumId w:val="1"/>
  </w:num>
  <w:num w:numId="13">
    <w:abstractNumId w:val="11"/>
  </w:num>
  <w:num w:numId="14">
    <w:abstractNumId w:val="7"/>
  </w:num>
  <w:num w:numId="15">
    <w:abstractNumId w:val="14"/>
  </w:num>
  <w:num w:numId="16">
    <w:abstractNumId w:val="2"/>
  </w:num>
  <w:num w:numId="17">
    <w:abstractNumId w:val="15"/>
  </w:num>
  <w:num w:numId="18">
    <w:abstractNumId w:val="4"/>
  </w:num>
  <w:num w:numId="19">
    <w:abstractNumId w:val="3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13"/>
  </w:num>
  <w:num w:numId="23">
    <w:abstractNumId w:val="2"/>
  </w:num>
  <w:num w:numId="24">
    <w:abstractNumId w:val="2"/>
  </w:num>
  <w:num w:numId="25">
    <w:abstractNumId w:val="2"/>
  </w:num>
  <w:num w:numId="26">
    <w:abstractNumId w:val="17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5C7"/>
    <w:rsid w:val="00004B3D"/>
    <w:rsid w:val="00010194"/>
    <w:rsid w:val="000106FC"/>
    <w:rsid w:val="00022057"/>
    <w:rsid w:val="00033ABF"/>
    <w:rsid w:val="00041BAE"/>
    <w:rsid w:val="0005484A"/>
    <w:rsid w:val="00066400"/>
    <w:rsid w:val="00084A7C"/>
    <w:rsid w:val="000A09C0"/>
    <w:rsid w:val="000B1F0A"/>
    <w:rsid w:val="000C492A"/>
    <w:rsid w:val="000C60BC"/>
    <w:rsid w:val="000E2760"/>
    <w:rsid w:val="000E5A5B"/>
    <w:rsid w:val="00114496"/>
    <w:rsid w:val="0012310F"/>
    <w:rsid w:val="001304DC"/>
    <w:rsid w:val="00130744"/>
    <w:rsid w:val="00131EBF"/>
    <w:rsid w:val="0014222B"/>
    <w:rsid w:val="00145A17"/>
    <w:rsid w:val="00157525"/>
    <w:rsid w:val="001607F8"/>
    <w:rsid w:val="00163C62"/>
    <w:rsid w:val="00196471"/>
    <w:rsid w:val="00197A83"/>
    <w:rsid w:val="001A29B1"/>
    <w:rsid w:val="001A49BB"/>
    <w:rsid w:val="001A651F"/>
    <w:rsid w:val="001A6F1B"/>
    <w:rsid w:val="001B4FE2"/>
    <w:rsid w:val="001B7F98"/>
    <w:rsid w:val="001D371A"/>
    <w:rsid w:val="001D4843"/>
    <w:rsid w:val="001D7241"/>
    <w:rsid w:val="001E5907"/>
    <w:rsid w:val="001F0D96"/>
    <w:rsid w:val="0020047D"/>
    <w:rsid w:val="00203DBB"/>
    <w:rsid w:val="002068C3"/>
    <w:rsid w:val="00220F55"/>
    <w:rsid w:val="002267D8"/>
    <w:rsid w:val="00233845"/>
    <w:rsid w:val="00235E08"/>
    <w:rsid w:val="00242F3B"/>
    <w:rsid w:val="0024469D"/>
    <w:rsid w:val="00247D41"/>
    <w:rsid w:val="00253B3D"/>
    <w:rsid w:val="002579E9"/>
    <w:rsid w:val="00261CF9"/>
    <w:rsid w:val="00284F89"/>
    <w:rsid w:val="002951E3"/>
    <w:rsid w:val="002A7E2D"/>
    <w:rsid w:val="002D2D8E"/>
    <w:rsid w:val="002E0B66"/>
    <w:rsid w:val="002F6173"/>
    <w:rsid w:val="0031549B"/>
    <w:rsid w:val="00321321"/>
    <w:rsid w:val="00321700"/>
    <w:rsid w:val="003226B3"/>
    <w:rsid w:val="00322A7C"/>
    <w:rsid w:val="0033796C"/>
    <w:rsid w:val="0034481E"/>
    <w:rsid w:val="003521AA"/>
    <w:rsid w:val="00354382"/>
    <w:rsid w:val="00363DC1"/>
    <w:rsid w:val="00367469"/>
    <w:rsid w:val="00373B73"/>
    <w:rsid w:val="003752C3"/>
    <w:rsid w:val="00376D7F"/>
    <w:rsid w:val="0039101D"/>
    <w:rsid w:val="00391A19"/>
    <w:rsid w:val="00392D29"/>
    <w:rsid w:val="003932E6"/>
    <w:rsid w:val="0039638F"/>
    <w:rsid w:val="003B6C8D"/>
    <w:rsid w:val="003B77E8"/>
    <w:rsid w:val="003C1611"/>
    <w:rsid w:val="003D3F00"/>
    <w:rsid w:val="003F1418"/>
    <w:rsid w:val="004128A3"/>
    <w:rsid w:val="00423B62"/>
    <w:rsid w:val="00427B2D"/>
    <w:rsid w:val="00462F7F"/>
    <w:rsid w:val="004639A6"/>
    <w:rsid w:val="004804BF"/>
    <w:rsid w:val="00485155"/>
    <w:rsid w:val="004969AE"/>
    <w:rsid w:val="004B6E9B"/>
    <w:rsid w:val="004C42ED"/>
    <w:rsid w:val="004C6FD7"/>
    <w:rsid w:val="004D2F73"/>
    <w:rsid w:val="00522314"/>
    <w:rsid w:val="0052274C"/>
    <w:rsid w:val="00530A0D"/>
    <w:rsid w:val="00536691"/>
    <w:rsid w:val="00560300"/>
    <w:rsid w:val="005620E4"/>
    <w:rsid w:val="00566021"/>
    <w:rsid w:val="00571D1F"/>
    <w:rsid w:val="00580AAA"/>
    <w:rsid w:val="005A135E"/>
    <w:rsid w:val="005A1695"/>
    <w:rsid w:val="005B3C64"/>
    <w:rsid w:val="005D0073"/>
    <w:rsid w:val="005E3EA1"/>
    <w:rsid w:val="005F0364"/>
    <w:rsid w:val="005F34BD"/>
    <w:rsid w:val="00614560"/>
    <w:rsid w:val="00615251"/>
    <w:rsid w:val="00625EC2"/>
    <w:rsid w:val="006742D0"/>
    <w:rsid w:val="00677CDD"/>
    <w:rsid w:val="00684C6A"/>
    <w:rsid w:val="006913F1"/>
    <w:rsid w:val="00694C98"/>
    <w:rsid w:val="006E49BE"/>
    <w:rsid w:val="00703F7D"/>
    <w:rsid w:val="007129BE"/>
    <w:rsid w:val="007165F3"/>
    <w:rsid w:val="007214C8"/>
    <w:rsid w:val="00727242"/>
    <w:rsid w:val="007307EA"/>
    <w:rsid w:val="0075116C"/>
    <w:rsid w:val="007725A0"/>
    <w:rsid w:val="00776042"/>
    <w:rsid w:val="007927E9"/>
    <w:rsid w:val="007A3E56"/>
    <w:rsid w:val="007B4433"/>
    <w:rsid w:val="007B6752"/>
    <w:rsid w:val="007C6875"/>
    <w:rsid w:val="007C79BB"/>
    <w:rsid w:val="007D2FB7"/>
    <w:rsid w:val="007D6945"/>
    <w:rsid w:val="007E0022"/>
    <w:rsid w:val="00810C39"/>
    <w:rsid w:val="00814DCD"/>
    <w:rsid w:val="00824A36"/>
    <w:rsid w:val="00830E05"/>
    <w:rsid w:val="00836E46"/>
    <w:rsid w:val="0083708F"/>
    <w:rsid w:val="008538D9"/>
    <w:rsid w:val="00884B24"/>
    <w:rsid w:val="008870DC"/>
    <w:rsid w:val="00890631"/>
    <w:rsid w:val="0089684B"/>
    <w:rsid w:val="008B4F13"/>
    <w:rsid w:val="008C2DB0"/>
    <w:rsid w:val="008C3165"/>
    <w:rsid w:val="008D0EA7"/>
    <w:rsid w:val="008D237D"/>
    <w:rsid w:val="009007B6"/>
    <w:rsid w:val="00900893"/>
    <w:rsid w:val="009125ED"/>
    <w:rsid w:val="00923133"/>
    <w:rsid w:val="009236F0"/>
    <w:rsid w:val="00932851"/>
    <w:rsid w:val="00935934"/>
    <w:rsid w:val="00940FE3"/>
    <w:rsid w:val="009459D8"/>
    <w:rsid w:val="00947015"/>
    <w:rsid w:val="009531EB"/>
    <w:rsid w:val="0096775C"/>
    <w:rsid w:val="00974B63"/>
    <w:rsid w:val="00981477"/>
    <w:rsid w:val="00982E9C"/>
    <w:rsid w:val="00983DA1"/>
    <w:rsid w:val="00984CA1"/>
    <w:rsid w:val="009859FF"/>
    <w:rsid w:val="00986BD1"/>
    <w:rsid w:val="00993142"/>
    <w:rsid w:val="00995C3A"/>
    <w:rsid w:val="009C7CDC"/>
    <w:rsid w:val="009D6591"/>
    <w:rsid w:val="009E0CE2"/>
    <w:rsid w:val="009E142A"/>
    <w:rsid w:val="009F1B20"/>
    <w:rsid w:val="00A02109"/>
    <w:rsid w:val="00A10E50"/>
    <w:rsid w:val="00A11B1F"/>
    <w:rsid w:val="00A14911"/>
    <w:rsid w:val="00A1631B"/>
    <w:rsid w:val="00A178EA"/>
    <w:rsid w:val="00A26206"/>
    <w:rsid w:val="00A26EA6"/>
    <w:rsid w:val="00A36150"/>
    <w:rsid w:val="00A445BD"/>
    <w:rsid w:val="00A44E3E"/>
    <w:rsid w:val="00A55639"/>
    <w:rsid w:val="00A65D23"/>
    <w:rsid w:val="00A66C01"/>
    <w:rsid w:val="00A67EA1"/>
    <w:rsid w:val="00A70B30"/>
    <w:rsid w:val="00A73779"/>
    <w:rsid w:val="00A74193"/>
    <w:rsid w:val="00AA513C"/>
    <w:rsid w:val="00AB0BD6"/>
    <w:rsid w:val="00AB37D7"/>
    <w:rsid w:val="00AB5F42"/>
    <w:rsid w:val="00AC0E66"/>
    <w:rsid w:val="00AE6CEF"/>
    <w:rsid w:val="00AF3587"/>
    <w:rsid w:val="00B042E0"/>
    <w:rsid w:val="00B4798D"/>
    <w:rsid w:val="00B5406D"/>
    <w:rsid w:val="00B55B99"/>
    <w:rsid w:val="00B56985"/>
    <w:rsid w:val="00B66B61"/>
    <w:rsid w:val="00B81538"/>
    <w:rsid w:val="00B845CA"/>
    <w:rsid w:val="00B93618"/>
    <w:rsid w:val="00B93FD1"/>
    <w:rsid w:val="00BC1AE1"/>
    <w:rsid w:val="00BC2C14"/>
    <w:rsid w:val="00BC3C57"/>
    <w:rsid w:val="00BC560C"/>
    <w:rsid w:val="00BC767F"/>
    <w:rsid w:val="00BE2F15"/>
    <w:rsid w:val="00C20ED2"/>
    <w:rsid w:val="00C25677"/>
    <w:rsid w:val="00C45807"/>
    <w:rsid w:val="00C46744"/>
    <w:rsid w:val="00C46918"/>
    <w:rsid w:val="00C66AEF"/>
    <w:rsid w:val="00C73950"/>
    <w:rsid w:val="00C75F32"/>
    <w:rsid w:val="00C841C9"/>
    <w:rsid w:val="00CC04E6"/>
    <w:rsid w:val="00CC7926"/>
    <w:rsid w:val="00CD0481"/>
    <w:rsid w:val="00CD20A8"/>
    <w:rsid w:val="00CE2925"/>
    <w:rsid w:val="00CE74D2"/>
    <w:rsid w:val="00CF2E0C"/>
    <w:rsid w:val="00CF42FA"/>
    <w:rsid w:val="00D0149E"/>
    <w:rsid w:val="00D155A3"/>
    <w:rsid w:val="00D16B26"/>
    <w:rsid w:val="00D2241B"/>
    <w:rsid w:val="00D317A9"/>
    <w:rsid w:val="00D34979"/>
    <w:rsid w:val="00D54B4E"/>
    <w:rsid w:val="00D56F80"/>
    <w:rsid w:val="00D575C7"/>
    <w:rsid w:val="00D65C51"/>
    <w:rsid w:val="00D700E7"/>
    <w:rsid w:val="00D71914"/>
    <w:rsid w:val="00D821AF"/>
    <w:rsid w:val="00D92A4A"/>
    <w:rsid w:val="00DA2E79"/>
    <w:rsid w:val="00DA2F8C"/>
    <w:rsid w:val="00DA3E4F"/>
    <w:rsid w:val="00DA4DAD"/>
    <w:rsid w:val="00DA634A"/>
    <w:rsid w:val="00DA65C3"/>
    <w:rsid w:val="00DB1C15"/>
    <w:rsid w:val="00DC4AE7"/>
    <w:rsid w:val="00DC7F1E"/>
    <w:rsid w:val="00DD3744"/>
    <w:rsid w:val="00DE0116"/>
    <w:rsid w:val="00DE2F0D"/>
    <w:rsid w:val="00DE6FC6"/>
    <w:rsid w:val="00DF497A"/>
    <w:rsid w:val="00E03B59"/>
    <w:rsid w:val="00E103D7"/>
    <w:rsid w:val="00E40170"/>
    <w:rsid w:val="00E40BEA"/>
    <w:rsid w:val="00E53712"/>
    <w:rsid w:val="00E61228"/>
    <w:rsid w:val="00E62418"/>
    <w:rsid w:val="00E630A8"/>
    <w:rsid w:val="00E67C5A"/>
    <w:rsid w:val="00E76599"/>
    <w:rsid w:val="00E84394"/>
    <w:rsid w:val="00E84C2E"/>
    <w:rsid w:val="00E92DD1"/>
    <w:rsid w:val="00E94317"/>
    <w:rsid w:val="00EA0A16"/>
    <w:rsid w:val="00EA1C6F"/>
    <w:rsid w:val="00EC3666"/>
    <w:rsid w:val="00EC5363"/>
    <w:rsid w:val="00EC5CE0"/>
    <w:rsid w:val="00EF6808"/>
    <w:rsid w:val="00F125B1"/>
    <w:rsid w:val="00F41F53"/>
    <w:rsid w:val="00F524C3"/>
    <w:rsid w:val="00F567C2"/>
    <w:rsid w:val="00F74B50"/>
    <w:rsid w:val="00F76E82"/>
    <w:rsid w:val="00F83C90"/>
    <w:rsid w:val="00F93583"/>
    <w:rsid w:val="00F95501"/>
    <w:rsid w:val="00FB302E"/>
    <w:rsid w:val="00FC0004"/>
    <w:rsid w:val="00FC10F1"/>
    <w:rsid w:val="00FC493B"/>
    <w:rsid w:val="00FD5CF2"/>
    <w:rsid w:val="00FE3B3E"/>
    <w:rsid w:val="00FE5914"/>
    <w:rsid w:val="00FE7CB2"/>
    <w:rsid w:val="00FF5777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49E"/>
    <w:pPr>
      <w:keepNext/>
      <w:numPr>
        <w:numId w:val="2"/>
      </w:numPr>
      <w:spacing w:before="320" w:after="24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D0149E"/>
    <w:pPr>
      <w:keepNext/>
      <w:numPr>
        <w:ilvl w:val="1"/>
        <w:numId w:val="2"/>
      </w:numPr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D0149E"/>
    <w:pPr>
      <w:keepNext/>
      <w:numPr>
        <w:ilvl w:val="2"/>
        <w:numId w:val="2"/>
      </w:numPr>
      <w:spacing w:before="160" w:after="160"/>
      <w:outlineLvl w:val="2"/>
    </w:pPr>
    <w:rPr>
      <w:rFonts w:ascii="Arial" w:hAnsi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qFormat/>
    <w:rsid w:val="00D0149E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149E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D0149E"/>
    <w:rPr>
      <w:rFonts w:ascii="Arial" w:eastAsia="Times New Roman" w:hAnsi="Arial" w:cs="Arial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D0149E"/>
    <w:rPr>
      <w:rFonts w:ascii="Arial" w:eastAsia="Times New Roman" w:hAnsi="Arial" w:cs="Times New Roman"/>
      <w:b/>
      <w:bCs/>
      <w:sz w:val="20"/>
    </w:rPr>
  </w:style>
  <w:style w:type="character" w:customStyle="1" w:styleId="Heading4Char">
    <w:name w:val="Heading 4 Char"/>
    <w:basedOn w:val="DefaultParagraphFont"/>
    <w:link w:val="Heading4"/>
    <w:rsid w:val="00D0149E"/>
    <w:rPr>
      <w:rFonts w:ascii="Arial" w:eastAsia="Times New Roman" w:hAnsi="Arial" w:cs="Times New Roman"/>
      <w:b/>
      <w:sz w:val="18"/>
      <w:szCs w:val="21"/>
    </w:rPr>
  </w:style>
  <w:style w:type="character" w:styleId="Hyperlink">
    <w:name w:val="Hyperlink"/>
    <w:uiPriority w:val="99"/>
    <w:rsid w:val="00D0149E"/>
    <w:rPr>
      <w:color w:val="0000FF"/>
      <w:u w:val="single"/>
    </w:rPr>
  </w:style>
  <w:style w:type="paragraph" w:customStyle="1" w:styleId="bulletlevel1">
    <w:name w:val="bullet level 1"/>
    <w:basedOn w:val="BodyText"/>
    <w:link w:val="bulletlevel1Char1"/>
    <w:rsid w:val="00D0149E"/>
    <w:pPr>
      <w:numPr>
        <w:numId w:val="1"/>
      </w:numPr>
      <w:tabs>
        <w:tab w:val="left" w:pos="576"/>
      </w:tabs>
    </w:pPr>
  </w:style>
  <w:style w:type="paragraph" w:styleId="BodyText">
    <w:name w:val="Body Text"/>
    <w:basedOn w:val="Normal"/>
    <w:link w:val="BodyTextChar"/>
    <w:rsid w:val="00D0149E"/>
    <w:pPr>
      <w:spacing w:after="120" w:line="260" w:lineRule="exact"/>
    </w:pPr>
    <w:rPr>
      <w:sz w:val="21"/>
    </w:rPr>
  </w:style>
  <w:style w:type="character" w:customStyle="1" w:styleId="BodyTextChar">
    <w:name w:val="Body Text Char"/>
    <w:basedOn w:val="DefaultParagraphFont"/>
    <w:link w:val="BodyText"/>
    <w:rsid w:val="00D0149E"/>
    <w:rPr>
      <w:rFonts w:ascii="Times New Roman" w:eastAsia="Times New Roman" w:hAnsi="Times New Roman" w:cs="Times New Roman"/>
      <w:sz w:val="21"/>
      <w:szCs w:val="24"/>
    </w:rPr>
  </w:style>
  <w:style w:type="paragraph" w:styleId="Header">
    <w:name w:val="header"/>
    <w:basedOn w:val="Normal"/>
    <w:link w:val="HeaderChar"/>
    <w:rsid w:val="00D014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14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014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49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D0149E"/>
    <w:rPr>
      <w:rFonts w:ascii="Arial" w:hAnsi="Arial"/>
    </w:rPr>
  </w:style>
  <w:style w:type="paragraph" w:styleId="TOC1">
    <w:name w:val="toc 1"/>
    <w:basedOn w:val="BodyText"/>
    <w:next w:val="Normal"/>
    <w:autoRedefine/>
    <w:uiPriority w:val="39"/>
    <w:rsid w:val="00D0149E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uiPriority w:val="39"/>
    <w:rsid w:val="00D0149E"/>
    <w:pPr>
      <w:tabs>
        <w:tab w:val="left" w:pos="720"/>
        <w:tab w:val="right" w:leader="dot" w:pos="8630"/>
      </w:tabs>
      <w:ind w:left="180"/>
    </w:pPr>
  </w:style>
  <w:style w:type="paragraph" w:customStyle="1" w:styleId="tablehead">
    <w:name w:val="table head"/>
    <w:basedOn w:val="BodyText"/>
    <w:rsid w:val="00D0149E"/>
    <w:pPr>
      <w:spacing w:before="20" w:after="20" w:line="240" w:lineRule="exact"/>
    </w:pPr>
    <w:rPr>
      <w:rFonts w:ascii="Arial" w:hAnsi="Arial"/>
      <w:b/>
      <w:sz w:val="18"/>
    </w:rPr>
  </w:style>
  <w:style w:type="paragraph" w:customStyle="1" w:styleId="table">
    <w:name w:val="table"/>
    <w:basedOn w:val="BodyText"/>
    <w:rsid w:val="00D0149E"/>
    <w:pPr>
      <w:spacing w:before="20" w:after="20" w:line="240" w:lineRule="exact"/>
    </w:pPr>
    <w:rPr>
      <w:rFonts w:ascii="Arial" w:hAnsi="Arial"/>
      <w:sz w:val="18"/>
    </w:rPr>
  </w:style>
  <w:style w:type="paragraph" w:customStyle="1" w:styleId="spacer">
    <w:name w:val="spacer"/>
    <w:rsid w:val="00D0149E"/>
    <w:pPr>
      <w:spacing w:before="7200" w:after="0" w:line="240" w:lineRule="auto"/>
    </w:pPr>
    <w:rPr>
      <w:rFonts w:ascii="Arial" w:eastAsia="Times New Roman" w:hAnsi="Arial" w:cs="Arial"/>
      <w:bCs/>
      <w:kern w:val="32"/>
      <w:sz w:val="32"/>
      <w:szCs w:val="32"/>
    </w:rPr>
  </w:style>
  <w:style w:type="paragraph" w:customStyle="1" w:styleId="TOCHead">
    <w:name w:val="TOC Head"/>
    <w:rsid w:val="00D0149E"/>
    <w:pPr>
      <w:spacing w:before="320" w:after="240" w:line="240" w:lineRule="auto"/>
    </w:pPr>
    <w:rPr>
      <w:rFonts w:ascii="Arial" w:eastAsia="Times New Roman" w:hAnsi="Arial" w:cs="Arial"/>
      <w:b/>
      <w:bCs/>
      <w:kern w:val="32"/>
      <w:sz w:val="28"/>
      <w:szCs w:val="32"/>
    </w:rPr>
  </w:style>
  <w:style w:type="paragraph" w:customStyle="1" w:styleId="body2">
    <w:name w:val="body2"/>
    <w:basedOn w:val="BodyText"/>
    <w:link w:val="body2Char"/>
    <w:rsid w:val="00D0149E"/>
    <w:pPr>
      <w:ind w:left="1260"/>
    </w:pPr>
  </w:style>
  <w:style w:type="character" w:customStyle="1" w:styleId="body2Char">
    <w:name w:val="body2 Char"/>
    <w:basedOn w:val="BodyTextChar"/>
    <w:link w:val="body2"/>
    <w:rsid w:val="00D0149E"/>
    <w:rPr>
      <w:rFonts w:ascii="Times New Roman" w:eastAsia="Times New Roman" w:hAnsi="Times New Roman" w:cs="Times New Roman"/>
      <w:sz w:val="21"/>
      <w:szCs w:val="24"/>
    </w:rPr>
  </w:style>
  <w:style w:type="paragraph" w:customStyle="1" w:styleId="bullet2level1">
    <w:name w:val="bullet2 level1"/>
    <w:basedOn w:val="bulletlevel1"/>
    <w:rsid w:val="00D0149E"/>
    <w:pPr>
      <w:tabs>
        <w:tab w:val="clear" w:pos="576"/>
        <w:tab w:val="left" w:pos="1620"/>
      </w:tabs>
    </w:pPr>
  </w:style>
  <w:style w:type="paragraph" w:styleId="BalloonText">
    <w:name w:val="Balloon Text"/>
    <w:basedOn w:val="Normal"/>
    <w:link w:val="BalloonTextChar"/>
    <w:unhideWhenUsed/>
    <w:rsid w:val="00D01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149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62F7F"/>
    <w:rPr>
      <w:sz w:val="16"/>
    </w:rPr>
  </w:style>
  <w:style w:type="paragraph" w:styleId="CommentText">
    <w:name w:val="annotation text"/>
    <w:basedOn w:val="Normal"/>
    <w:link w:val="CommentTextChar"/>
    <w:rsid w:val="00462F7F"/>
    <w:pPr>
      <w:widowControl w:val="0"/>
      <w:spacing w:line="240" w:lineRule="atLeast"/>
    </w:pPr>
    <w:rPr>
      <w:rFonts w:ascii="Arial" w:hAnsi="Arial"/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rsid w:val="00462F7F"/>
    <w:rPr>
      <w:rFonts w:ascii="Arial" w:eastAsia="Times New Roman" w:hAnsi="Arial" w:cs="Times New Roman"/>
      <w:sz w:val="16"/>
      <w:szCs w:val="20"/>
    </w:rPr>
  </w:style>
  <w:style w:type="character" w:customStyle="1" w:styleId="bulletlevel1Char1">
    <w:name w:val="bullet level 1 Char1"/>
    <w:basedOn w:val="BodyTextChar"/>
    <w:link w:val="bulletlevel1"/>
    <w:rsid w:val="00BC560C"/>
    <w:rPr>
      <w:rFonts w:ascii="Times New Roman" w:eastAsia="Times New Roman" w:hAnsi="Times New Roman" w:cs="Times New Roman"/>
      <w:sz w:val="21"/>
      <w:szCs w:val="24"/>
    </w:rPr>
  </w:style>
  <w:style w:type="paragraph" w:styleId="ListParagraph">
    <w:name w:val="List Paragraph"/>
    <w:basedOn w:val="Normal"/>
    <w:uiPriority w:val="34"/>
    <w:qFormat/>
    <w:rsid w:val="00D71914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96775C"/>
    <w:pPr>
      <w:tabs>
        <w:tab w:val="left" w:pos="1320"/>
        <w:tab w:val="right" w:leader="dot" w:pos="8640"/>
      </w:tabs>
      <w:spacing w:after="100"/>
      <w:ind w:left="48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A16"/>
    <w:pPr>
      <w:widowControl/>
      <w:spacing w:line="240" w:lineRule="auto"/>
    </w:pPr>
    <w:rPr>
      <w:rFonts w:ascii="Times New Roman" w:hAnsi="Times New Roman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A1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4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Numbered">
    <w:name w:val="Body Text Numbered"/>
    <w:basedOn w:val="BodyText"/>
    <w:link w:val="BodyTextNumberedChar1"/>
    <w:rsid w:val="009125ED"/>
    <w:pPr>
      <w:spacing w:after="240" w:line="240" w:lineRule="auto"/>
      <w:ind w:left="720" w:hanging="720"/>
    </w:pPr>
    <w:rPr>
      <w:iCs/>
      <w:sz w:val="24"/>
      <w:szCs w:val="20"/>
      <w:lang w:val="x-none" w:eastAsia="x-none"/>
    </w:rPr>
  </w:style>
  <w:style w:type="character" w:customStyle="1" w:styleId="BodyTextNumberedChar1">
    <w:name w:val="Body Text Numbered Char1"/>
    <w:link w:val="BodyTextNumbered"/>
    <w:rsid w:val="009125ED"/>
    <w:rPr>
      <w:rFonts w:ascii="Times New Roman" w:eastAsia="Times New Roman" w:hAnsi="Times New Roman" w:cs="Times New Roman"/>
      <w:iCs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0149E"/>
    <w:pPr>
      <w:keepNext/>
      <w:numPr>
        <w:numId w:val="2"/>
      </w:numPr>
      <w:spacing w:before="320" w:after="24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D0149E"/>
    <w:pPr>
      <w:keepNext/>
      <w:numPr>
        <w:ilvl w:val="1"/>
        <w:numId w:val="2"/>
      </w:numPr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D0149E"/>
    <w:pPr>
      <w:keepNext/>
      <w:numPr>
        <w:ilvl w:val="2"/>
        <w:numId w:val="2"/>
      </w:numPr>
      <w:spacing w:before="160" w:after="160"/>
      <w:outlineLvl w:val="2"/>
    </w:pPr>
    <w:rPr>
      <w:rFonts w:ascii="Arial" w:hAnsi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qFormat/>
    <w:rsid w:val="00D0149E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149E"/>
    <w:rPr>
      <w:rFonts w:ascii="Arial" w:eastAsia="Times New Roman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basedOn w:val="DefaultParagraphFont"/>
    <w:link w:val="Heading2"/>
    <w:rsid w:val="00D0149E"/>
    <w:rPr>
      <w:rFonts w:ascii="Arial" w:eastAsia="Times New Roman" w:hAnsi="Arial" w:cs="Arial"/>
      <w:b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rsid w:val="00D0149E"/>
    <w:rPr>
      <w:rFonts w:ascii="Arial" w:eastAsia="Times New Roman" w:hAnsi="Arial" w:cs="Times New Roman"/>
      <w:b/>
      <w:bCs/>
      <w:sz w:val="20"/>
    </w:rPr>
  </w:style>
  <w:style w:type="character" w:customStyle="1" w:styleId="Heading4Char">
    <w:name w:val="Heading 4 Char"/>
    <w:basedOn w:val="DefaultParagraphFont"/>
    <w:link w:val="Heading4"/>
    <w:rsid w:val="00D0149E"/>
    <w:rPr>
      <w:rFonts w:ascii="Arial" w:eastAsia="Times New Roman" w:hAnsi="Arial" w:cs="Times New Roman"/>
      <w:b/>
      <w:sz w:val="18"/>
      <w:szCs w:val="21"/>
    </w:rPr>
  </w:style>
  <w:style w:type="character" w:styleId="Hyperlink">
    <w:name w:val="Hyperlink"/>
    <w:uiPriority w:val="99"/>
    <w:rsid w:val="00D0149E"/>
    <w:rPr>
      <w:color w:val="0000FF"/>
      <w:u w:val="single"/>
    </w:rPr>
  </w:style>
  <w:style w:type="paragraph" w:customStyle="1" w:styleId="bulletlevel1">
    <w:name w:val="bullet level 1"/>
    <w:basedOn w:val="BodyText"/>
    <w:link w:val="bulletlevel1Char1"/>
    <w:rsid w:val="00D0149E"/>
    <w:pPr>
      <w:numPr>
        <w:numId w:val="1"/>
      </w:numPr>
      <w:tabs>
        <w:tab w:val="left" w:pos="576"/>
      </w:tabs>
    </w:pPr>
  </w:style>
  <w:style w:type="paragraph" w:styleId="BodyText">
    <w:name w:val="Body Text"/>
    <w:basedOn w:val="Normal"/>
    <w:link w:val="BodyTextChar"/>
    <w:rsid w:val="00D0149E"/>
    <w:pPr>
      <w:spacing w:after="120" w:line="260" w:lineRule="exact"/>
    </w:pPr>
    <w:rPr>
      <w:sz w:val="21"/>
    </w:rPr>
  </w:style>
  <w:style w:type="character" w:customStyle="1" w:styleId="BodyTextChar">
    <w:name w:val="Body Text Char"/>
    <w:basedOn w:val="DefaultParagraphFont"/>
    <w:link w:val="BodyText"/>
    <w:rsid w:val="00D0149E"/>
    <w:rPr>
      <w:rFonts w:ascii="Times New Roman" w:eastAsia="Times New Roman" w:hAnsi="Times New Roman" w:cs="Times New Roman"/>
      <w:sz w:val="21"/>
      <w:szCs w:val="24"/>
    </w:rPr>
  </w:style>
  <w:style w:type="paragraph" w:styleId="Header">
    <w:name w:val="header"/>
    <w:basedOn w:val="Normal"/>
    <w:link w:val="HeaderChar"/>
    <w:rsid w:val="00D014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0149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014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49E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D0149E"/>
    <w:rPr>
      <w:rFonts w:ascii="Arial" w:hAnsi="Arial"/>
    </w:rPr>
  </w:style>
  <w:style w:type="paragraph" w:styleId="TOC1">
    <w:name w:val="toc 1"/>
    <w:basedOn w:val="BodyText"/>
    <w:next w:val="Normal"/>
    <w:autoRedefine/>
    <w:uiPriority w:val="39"/>
    <w:rsid w:val="00D0149E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uiPriority w:val="39"/>
    <w:rsid w:val="00D0149E"/>
    <w:pPr>
      <w:tabs>
        <w:tab w:val="left" w:pos="720"/>
        <w:tab w:val="right" w:leader="dot" w:pos="8630"/>
      </w:tabs>
      <w:ind w:left="180"/>
    </w:pPr>
  </w:style>
  <w:style w:type="paragraph" w:customStyle="1" w:styleId="tablehead">
    <w:name w:val="table head"/>
    <w:basedOn w:val="BodyText"/>
    <w:rsid w:val="00D0149E"/>
    <w:pPr>
      <w:spacing w:before="20" w:after="20" w:line="240" w:lineRule="exact"/>
    </w:pPr>
    <w:rPr>
      <w:rFonts w:ascii="Arial" w:hAnsi="Arial"/>
      <w:b/>
      <w:sz w:val="18"/>
    </w:rPr>
  </w:style>
  <w:style w:type="paragraph" w:customStyle="1" w:styleId="table">
    <w:name w:val="table"/>
    <w:basedOn w:val="BodyText"/>
    <w:rsid w:val="00D0149E"/>
    <w:pPr>
      <w:spacing w:before="20" w:after="20" w:line="240" w:lineRule="exact"/>
    </w:pPr>
    <w:rPr>
      <w:rFonts w:ascii="Arial" w:hAnsi="Arial"/>
      <w:sz w:val="18"/>
    </w:rPr>
  </w:style>
  <w:style w:type="paragraph" w:customStyle="1" w:styleId="spacer">
    <w:name w:val="spacer"/>
    <w:rsid w:val="00D0149E"/>
    <w:pPr>
      <w:spacing w:before="7200" w:after="0" w:line="240" w:lineRule="auto"/>
    </w:pPr>
    <w:rPr>
      <w:rFonts w:ascii="Arial" w:eastAsia="Times New Roman" w:hAnsi="Arial" w:cs="Arial"/>
      <w:bCs/>
      <w:kern w:val="32"/>
      <w:sz w:val="32"/>
      <w:szCs w:val="32"/>
    </w:rPr>
  </w:style>
  <w:style w:type="paragraph" w:customStyle="1" w:styleId="TOCHead">
    <w:name w:val="TOC Head"/>
    <w:rsid w:val="00D0149E"/>
    <w:pPr>
      <w:spacing w:before="320" w:after="240" w:line="240" w:lineRule="auto"/>
    </w:pPr>
    <w:rPr>
      <w:rFonts w:ascii="Arial" w:eastAsia="Times New Roman" w:hAnsi="Arial" w:cs="Arial"/>
      <w:b/>
      <w:bCs/>
      <w:kern w:val="32"/>
      <w:sz w:val="28"/>
      <w:szCs w:val="32"/>
    </w:rPr>
  </w:style>
  <w:style w:type="paragraph" w:customStyle="1" w:styleId="body2">
    <w:name w:val="body2"/>
    <w:basedOn w:val="BodyText"/>
    <w:link w:val="body2Char"/>
    <w:rsid w:val="00D0149E"/>
    <w:pPr>
      <w:ind w:left="1260"/>
    </w:pPr>
  </w:style>
  <w:style w:type="character" w:customStyle="1" w:styleId="body2Char">
    <w:name w:val="body2 Char"/>
    <w:basedOn w:val="BodyTextChar"/>
    <w:link w:val="body2"/>
    <w:rsid w:val="00D0149E"/>
    <w:rPr>
      <w:rFonts w:ascii="Times New Roman" w:eastAsia="Times New Roman" w:hAnsi="Times New Roman" w:cs="Times New Roman"/>
      <w:sz w:val="21"/>
      <w:szCs w:val="24"/>
    </w:rPr>
  </w:style>
  <w:style w:type="paragraph" w:customStyle="1" w:styleId="bullet2level1">
    <w:name w:val="bullet2 level1"/>
    <w:basedOn w:val="bulletlevel1"/>
    <w:rsid w:val="00D0149E"/>
    <w:pPr>
      <w:tabs>
        <w:tab w:val="clear" w:pos="576"/>
        <w:tab w:val="left" w:pos="1620"/>
      </w:tabs>
    </w:pPr>
  </w:style>
  <w:style w:type="paragraph" w:styleId="BalloonText">
    <w:name w:val="Balloon Text"/>
    <w:basedOn w:val="Normal"/>
    <w:link w:val="BalloonTextChar"/>
    <w:unhideWhenUsed/>
    <w:rsid w:val="00D014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149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462F7F"/>
    <w:rPr>
      <w:sz w:val="16"/>
    </w:rPr>
  </w:style>
  <w:style w:type="paragraph" w:styleId="CommentText">
    <w:name w:val="annotation text"/>
    <w:basedOn w:val="Normal"/>
    <w:link w:val="CommentTextChar"/>
    <w:rsid w:val="00462F7F"/>
    <w:pPr>
      <w:widowControl w:val="0"/>
      <w:spacing w:line="240" w:lineRule="atLeast"/>
    </w:pPr>
    <w:rPr>
      <w:rFonts w:ascii="Arial" w:hAnsi="Arial"/>
      <w:sz w:val="16"/>
      <w:szCs w:val="20"/>
    </w:rPr>
  </w:style>
  <w:style w:type="character" w:customStyle="1" w:styleId="CommentTextChar">
    <w:name w:val="Comment Text Char"/>
    <w:basedOn w:val="DefaultParagraphFont"/>
    <w:link w:val="CommentText"/>
    <w:rsid w:val="00462F7F"/>
    <w:rPr>
      <w:rFonts w:ascii="Arial" w:eastAsia="Times New Roman" w:hAnsi="Arial" w:cs="Times New Roman"/>
      <w:sz w:val="16"/>
      <w:szCs w:val="20"/>
    </w:rPr>
  </w:style>
  <w:style w:type="character" w:customStyle="1" w:styleId="bulletlevel1Char1">
    <w:name w:val="bullet level 1 Char1"/>
    <w:basedOn w:val="BodyTextChar"/>
    <w:link w:val="bulletlevel1"/>
    <w:rsid w:val="00BC560C"/>
    <w:rPr>
      <w:rFonts w:ascii="Times New Roman" w:eastAsia="Times New Roman" w:hAnsi="Times New Roman" w:cs="Times New Roman"/>
      <w:sz w:val="21"/>
      <w:szCs w:val="24"/>
    </w:rPr>
  </w:style>
  <w:style w:type="paragraph" w:styleId="ListParagraph">
    <w:name w:val="List Paragraph"/>
    <w:basedOn w:val="Normal"/>
    <w:uiPriority w:val="34"/>
    <w:qFormat/>
    <w:rsid w:val="00D71914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96775C"/>
    <w:pPr>
      <w:tabs>
        <w:tab w:val="left" w:pos="1320"/>
        <w:tab w:val="right" w:leader="dot" w:pos="8640"/>
      </w:tabs>
      <w:spacing w:after="100"/>
      <w:ind w:left="48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0A16"/>
    <w:pPr>
      <w:widowControl/>
      <w:spacing w:line="240" w:lineRule="auto"/>
    </w:pPr>
    <w:rPr>
      <w:rFonts w:ascii="Times New Roman" w:hAnsi="Times New Roman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0A16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C4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Numbered">
    <w:name w:val="Body Text Numbered"/>
    <w:basedOn w:val="BodyText"/>
    <w:link w:val="BodyTextNumberedChar1"/>
    <w:rsid w:val="009125ED"/>
    <w:pPr>
      <w:spacing w:after="240" w:line="240" w:lineRule="auto"/>
      <w:ind w:left="720" w:hanging="720"/>
    </w:pPr>
    <w:rPr>
      <w:iCs/>
      <w:sz w:val="24"/>
      <w:szCs w:val="20"/>
      <w:lang w:val="x-none" w:eastAsia="x-none"/>
    </w:rPr>
  </w:style>
  <w:style w:type="character" w:customStyle="1" w:styleId="BodyTextNumberedChar1">
    <w:name w:val="Body Text Numbered Char1"/>
    <w:link w:val="BodyTextNumbered"/>
    <w:rsid w:val="009125ED"/>
    <w:rPr>
      <w:rFonts w:ascii="Times New Roman" w:eastAsia="Times New Roman" w:hAnsi="Times New Roman" w:cs="Times New Roman"/>
      <w:iCs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0ECBC-06AB-4D52-8481-46739278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1714</Words>
  <Characters>9773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Rajagopalan, Sidharth</dc:creator>
  <cp:lastModifiedBy>Shun-Hsien (Fred) Huang</cp:lastModifiedBy>
  <cp:revision>2</cp:revision>
  <dcterms:created xsi:type="dcterms:W3CDTF">2015-01-19T16:46:00Z</dcterms:created>
  <dcterms:modified xsi:type="dcterms:W3CDTF">2015-01-19T16:46:00Z</dcterms:modified>
</cp:coreProperties>
</file>