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2266" w:rsidRPr="009B6AA6" w:rsidRDefault="00A0788C" w:rsidP="00A0788C">
      <w:pPr>
        <w:spacing w:after="0"/>
        <w:jc w:val="center"/>
        <w:rPr>
          <w:rFonts w:ascii="Times New Roman" w:hAnsi="Times New Roman" w:cs="Times New Roman"/>
          <w:sz w:val="28"/>
        </w:rPr>
      </w:pPr>
      <w:r w:rsidRPr="009B6AA6">
        <w:rPr>
          <w:rFonts w:ascii="Times New Roman" w:hAnsi="Times New Roman" w:cs="Times New Roman"/>
          <w:sz w:val="28"/>
        </w:rPr>
        <w:t>Operations Working Group Report</w:t>
      </w:r>
    </w:p>
    <w:p w:rsidR="00A0788C" w:rsidRPr="009B6AA6" w:rsidRDefault="003A24BE" w:rsidP="00A0788C">
      <w:pPr>
        <w:spacing w:after="0"/>
        <w:jc w:val="center"/>
        <w:rPr>
          <w:rFonts w:ascii="Times New Roman" w:hAnsi="Times New Roman" w:cs="Times New Roman"/>
        </w:rPr>
      </w:pPr>
      <w:r>
        <w:rPr>
          <w:rFonts w:ascii="Times New Roman" w:hAnsi="Times New Roman" w:cs="Times New Roman"/>
        </w:rPr>
        <w:t>Decem</w:t>
      </w:r>
      <w:r w:rsidR="00301F0C">
        <w:rPr>
          <w:rFonts w:ascii="Times New Roman" w:hAnsi="Times New Roman" w:cs="Times New Roman"/>
        </w:rPr>
        <w:t>ber</w:t>
      </w:r>
      <w:r w:rsidR="00CE2E3E">
        <w:rPr>
          <w:rFonts w:ascii="Times New Roman" w:hAnsi="Times New Roman" w:cs="Times New Roman"/>
        </w:rPr>
        <w:t>, 2014</w:t>
      </w:r>
    </w:p>
    <w:p w:rsidR="00A0788C" w:rsidRPr="009B6AA6" w:rsidRDefault="00A0788C" w:rsidP="00A0788C">
      <w:pPr>
        <w:spacing w:after="0"/>
        <w:jc w:val="center"/>
        <w:rPr>
          <w:rFonts w:ascii="Times New Roman" w:hAnsi="Times New Roman" w:cs="Times New Roman"/>
        </w:rPr>
      </w:pPr>
    </w:p>
    <w:p w:rsidR="00A0788C" w:rsidRPr="009B6AA6" w:rsidRDefault="00A0788C" w:rsidP="00A0788C">
      <w:pPr>
        <w:spacing w:after="0"/>
        <w:rPr>
          <w:rFonts w:ascii="Times New Roman" w:hAnsi="Times New Roman" w:cs="Times New Roman"/>
        </w:rPr>
      </w:pPr>
      <w:r w:rsidRPr="009B6AA6">
        <w:rPr>
          <w:rFonts w:ascii="Times New Roman" w:hAnsi="Times New Roman" w:cs="Times New Roman"/>
        </w:rPr>
        <w:t>The Operations Worki</w:t>
      </w:r>
      <w:r w:rsidR="00C46AA0" w:rsidRPr="009B6AA6">
        <w:rPr>
          <w:rFonts w:ascii="Times New Roman" w:hAnsi="Times New Roman" w:cs="Times New Roman"/>
        </w:rPr>
        <w:t>n</w:t>
      </w:r>
      <w:r w:rsidR="003A24BE">
        <w:rPr>
          <w:rFonts w:ascii="Times New Roman" w:hAnsi="Times New Roman" w:cs="Times New Roman"/>
        </w:rPr>
        <w:t>g Group (OWG) met on November 19</w:t>
      </w:r>
      <w:r w:rsidR="00615C41">
        <w:rPr>
          <w:rFonts w:ascii="Times New Roman" w:hAnsi="Times New Roman" w:cs="Times New Roman"/>
        </w:rPr>
        <w:t>, 2014</w:t>
      </w:r>
      <w:r w:rsidRPr="009B6AA6">
        <w:rPr>
          <w:rFonts w:ascii="Times New Roman" w:hAnsi="Times New Roman" w:cs="Times New Roman"/>
        </w:rPr>
        <w:t xml:space="preserve"> an</w:t>
      </w:r>
      <w:r w:rsidR="00BD3F7D" w:rsidRPr="009B6AA6">
        <w:rPr>
          <w:rFonts w:ascii="Times New Roman" w:hAnsi="Times New Roman" w:cs="Times New Roman"/>
        </w:rPr>
        <w:t>d considered the following</w:t>
      </w:r>
      <w:r w:rsidRPr="009B6AA6">
        <w:rPr>
          <w:rFonts w:ascii="Times New Roman" w:hAnsi="Times New Roman" w:cs="Times New Roman"/>
        </w:rPr>
        <w:t>:</w:t>
      </w:r>
    </w:p>
    <w:p w:rsidR="00A0788C" w:rsidRPr="009B6AA6" w:rsidRDefault="00A0788C" w:rsidP="00A0788C">
      <w:pPr>
        <w:spacing w:after="0"/>
        <w:rPr>
          <w:rFonts w:ascii="Times New Roman" w:hAnsi="Times New Roman" w:cs="Times New Roman"/>
        </w:rPr>
      </w:pPr>
    </w:p>
    <w:p w:rsidR="00A0788C" w:rsidRPr="009B6AA6" w:rsidRDefault="003F08E7" w:rsidP="00A0788C">
      <w:pPr>
        <w:spacing w:after="0"/>
        <w:rPr>
          <w:rFonts w:ascii="Times New Roman" w:hAnsi="Times New Roman" w:cs="Times New Roman"/>
          <w:b/>
          <w:sz w:val="24"/>
        </w:rPr>
      </w:pPr>
      <w:r>
        <w:rPr>
          <w:rFonts w:ascii="Times New Roman" w:hAnsi="Times New Roman" w:cs="Times New Roman"/>
          <w:b/>
          <w:sz w:val="24"/>
        </w:rPr>
        <w:t>OWG Meeting Notes</w:t>
      </w:r>
      <w:r w:rsidR="00DC08A7" w:rsidRPr="009B6AA6">
        <w:rPr>
          <w:rFonts w:ascii="Times New Roman" w:hAnsi="Times New Roman" w:cs="Times New Roman"/>
          <w:b/>
          <w:sz w:val="24"/>
        </w:rPr>
        <w:t xml:space="preserve"> Review – </w:t>
      </w:r>
    </w:p>
    <w:p w:rsidR="00DC08A7" w:rsidRPr="009B6AA6" w:rsidRDefault="00DC08A7" w:rsidP="00A0788C">
      <w:pPr>
        <w:spacing w:after="0"/>
        <w:rPr>
          <w:rFonts w:ascii="Times New Roman" w:hAnsi="Times New Roman" w:cs="Times New Roman"/>
        </w:rPr>
      </w:pPr>
      <w:r w:rsidRPr="009B6AA6">
        <w:rPr>
          <w:rFonts w:ascii="Times New Roman" w:hAnsi="Times New Roman" w:cs="Times New Roman"/>
        </w:rPr>
        <w:t>The working group re</w:t>
      </w:r>
      <w:r w:rsidR="003A24BE">
        <w:rPr>
          <w:rFonts w:ascii="Times New Roman" w:hAnsi="Times New Roman" w:cs="Times New Roman"/>
        </w:rPr>
        <w:t>viewed and approved the October</w:t>
      </w:r>
      <w:r w:rsidR="001D6CCA">
        <w:rPr>
          <w:rFonts w:ascii="Times New Roman" w:hAnsi="Times New Roman" w:cs="Times New Roman"/>
        </w:rPr>
        <w:t xml:space="preserve"> 2014</w:t>
      </w:r>
      <w:r w:rsidR="004F1D7B">
        <w:rPr>
          <w:rFonts w:ascii="Times New Roman" w:hAnsi="Times New Roman" w:cs="Times New Roman"/>
        </w:rPr>
        <w:t xml:space="preserve"> meeting notes</w:t>
      </w:r>
      <w:r w:rsidR="004E1087">
        <w:rPr>
          <w:rFonts w:ascii="Times New Roman" w:hAnsi="Times New Roman" w:cs="Times New Roman"/>
        </w:rPr>
        <w:t xml:space="preserve"> with </w:t>
      </w:r>
      <w:r w:rsidR="007F05A4">
        <w:rPr>
          <w:rFonts w:ascii="Times New Roman" w:hAnsi="Times New Roman" w:cs="Times New Roman"/>
        </w:rPr>
        <w:t xml:space="preserve">one </w:t>
      </w:r>
      <w:r w:rsidR="003A24BE">
        <w:rPr>
          <w:rFonts w:ascii="Times New Roman" w:hAnsi="Times New Roman" w:cs="Times New Roman"/>
        </w:rPr>
        <w:t xml:space="preserve">minor </w:t>
      </w:r>
      <w:r w:rsidR="007F05A4">
        <w:rPr>
          <w:rFonts w:ascii="Times New Roman" w:hAnsi="Times New Roman" w:cs="Times New Roman"/>
        </w:rPr>
        <w:t>change</w:t>
      </w:r>
      <w:r w:rsidRPr="009B6AA6">
        <w:rPr>
          <w:rFonts w:ascii="Times New Roman" w:hAnsi="Times New Roman" w:cs="Times New Roman"/>
        </w:rPr>
        <w:t>.</w:t>
      </w:r>
    </w:p>
    <w:p w:rsidR="00DC08A7" w:rsidRPr="009B6AA6" w:rsidRDefault="00DC08A7" w:rsidP="00A0788C">
      <w:pPr>
        <w:spacing w:after="0"/>
        <w:rPr>
          <w:rFonts w:ascii="Times New Roman" w:hAnsi="Times New Roman" w:cs="Times New Roman"/>
        </w:rPr>
      </w:pPr>
    </w:p>
    <w:p w:rsidR="00621007" w:rsidRDefault="00BD3F7D" w:rsidP="00A0788C">
      <w:pPr>
        <w:spacing w:after="0"/>
        <w:rPr>
          <w:rFonts w:ascii="Times New Roman" w:hAnsi="Times New Roman" w:cs="Times New Roman"/>
        </w:rPr>
      </w:pPr>
      <w:r w:rsidRPr="009B6AA6">
        <w:rPr>
          <w:rFonts w:ascii="Times New Roman" w:hAnsi="Times New Roman" w:cs="Times New Roman"/>
          <w:b/>
          <w:sz w:val="24"/>
        </w:rPr>
        <w:t>Revision Request R</w:t>
      </w:r>
      <w:r w:rsidR="00DC08A7" w:rsidRPr="009B6AA6">
        <w:rPr>
          <w:rFonts w:ascii="Times New Roman" w:hAnsi="Times New Roman" w:cs="Times New Roman"/>
          <w:b/>
          <w:sz w:val="24"/>
        </w:rPr>
        <w:t xml:space="preserve">eview – </w:t>
      </w:r>
      <w:r w:rsidR="00637621" w:rsidRPr="009B6AA6">
        <w:rPr>
          <w:rFonts w:ascii="Times New Roman" w:hAnsi="Times New Roman" w:cs="Times New Roman"/>
        </w:rPr>
        <w:tab/>
      </w:r>
      <w:r w:rsidR="00637621" w:rsidRPr="009B6AA6">
        <w:rPr>
          <w:rFonts w:ascii="Times New Roman" w:hAnsi="Times New Roman" w:cs="Times New Roman"/>
        </w:rPr>
        <w:tab/>
      </w:r>
    </w:p>
    <w:p w:rsidR="000C393F" w:rsidRDefault="000C393F" w:rsidP="00A0788C">
      <w:pPr>
        <w:spacing w:after="0"/>
        <w:rPr>
          <w:rFonts w:ascii="Times New Roman" w:hAnsi="Times New Roman" w:cs="Times New Roman"/>
        </w:rPr>
      </w:pPr>
    </w:p>
    <w:p w:rsidR="000C393F" w:rsidRPr="009B6AA6" w:rsidRDefault="000C393F" w:rsidP="00A0788C">
      <w:pPr>
        <w:spacing w:after="0"/>
        <w:rPr>
          <w:rFonts w:ascii="Times New Roman" w:hAnsi="Times New Roman" w:cs="Times New Roman"/>
        </w:rPr>
      </w:pPr>
    </w:p>
    <w:p w:rsidR="0086111A" w:rsidRDefault="0086111A" w:rsidP="00A0788C">
      <w:pPr>
        <w:spacing w:after="0"/>
        <w:rPr>
          <w:rFonts w:ascii="Times New Roman" w:hAnsi="Times New Roman" w:cs="Times New Roman"/>
        </w:rPr>
      </w:pPr>
    </w:p>
    <w:tbl>
      <w:tblPr>
        <w:tblStyle w:val="TableGrid"/>
        <w:tblW w:w="6390" w:type="dxa"/>
        <w:tblInd w:w="1638" w:type="dxa"/>
        <w:tblLook w:val="04A0" w:firstRow="1" w:lastRow="0" w:firstColumn="1" w:lastColumn="0" w:noHBand="0" w:noVBand="1"/>
      </w:tblPr>
      <w:tblGrid>
        <w:gridCol w:w="6390"/>
      </w:tblGrid>
      <w:tr w:rsidR="00E3174F" w:rsidTr="009E57FD">
        <w:tc>
          <w:tcPr>
            <w:tcW w:w="6390" w:type="dxa"/>
            <w:shd w:val="clear" w:color="auto" w:fill="000000" w:themeFill="text1"/>
          </w:tcPr>
          <w:p w:rsidR="00E3174F" w:rsidRDefault="00E3174F" w:rsidP="008D52AF">
            <w:pPr>
              <w:jc w:val="center"/>
              <w:rPr>
                <w:rFonts w:ascii="Times New Roman" w:hAnsi="Times New Roman" w:cs="Times New Roman"/>
                <w:b/>
                <w:color w:val="00B050"/>
              </w:rPr>
            </w:pPr>
          </w:p>
        </w:tc>
      </w:tr>
      <w:tr w:rsidR="005D15AC" w:rsidRPr="009B6AA6" w:rsidTr="009E57FD">
        <w:tc>
          <w:tcPr>
            <w:tcW w:w="6390" w:type="dxa"/>
          </w:tcPr>
          <w:p w:rsidR="005D15AC" w:rsidRPr="009B6AA6" w:rsidRDefault="007F05A4" w:rsidP="00FC31B5">
            <w:pPr>
              <w:jc w:val="center"/>
              <w:rPr>
                <w:rFonts w:ascii="Times New Roman" w:hAnsi="Times New Roman" w:cs="Times New Roman"/>
                <w:b/>
                <w:color w:val="00B050"/>
              </w:rPr>
            </w:pPr>
            <w:r>
              <w:rPr>
                <w:rFonts w:ascii="Times New Roman" w:hAnsi="Times New Roman" w:cs="Times New Roman"/>
                <w:b/>
                <w:color w:val="00B050"/>
              </w:rPr>
              <w:t>135</w:t>
            </w:r>
            <w:r w:rsidR="005D15AC" w:rsidRPr="002E0064">
              <w:rPr>
                <w:rFonts w:ascii="Times New Roman" w:hAnsi="Times New Roman" w:cs="Times New Roman"/>
                <w:b/>
                <w:color w:val="00B050"/>
              </w:rPr>
              <w:t xml:space="preserve">NOGRR </w:t>
            </w:r>
            <w:r w:rsidR="005D15AC" w:rsidRPr="0006701A">
              <w:rPr>
                <w:rFonts w:ascii="Times New Roman" w:hAnsi="Times New Roman" w:cs="Times New Roman"/>
                <w:b/>
                <w:noProof/>
                <w:color w:val="00B050"/>
              </w:rPr>
              <w:drawing>
                <wp:inline distT="0" distB="0" distL="0" distR="0" wp14:anchorId="0310758E" wp14:editId="297A7EB0">
                  <wp:extent cx="135456" cy="118652"/>
                  <wp:effectExtent l="19050" t="0" r="0" b="0"/>
                  <wp:docPr id="7"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9" cstate="print"/>
                          <a:stretch>
                            <a:fillRect/>
                          </a:stretch>
                        </pic:blipFill>
                        <pic:spPr>
                          <a:xfrm>
                            <a:off x="0" y="0"/>
                            <a:ext cx="135179" cy="118409"/>
                          </a:xfrm>
                          <a:prstGeom prst="rect">
                            <a:avLst/>
                          </a:prstGeom>
                        </pic:spPr>
                      </pic:pic>
                    </a:graphicData>
                  </a:graphic>
                </wp:inline>
              </w:drawing>
            </w:r>
          </w:p>
        </w:tc>
      </w:tr>
      <w:tr w:rsidR="005D15AC" w:rsidRPr="003600B6" w:rsidTr="009E57FD">
        <w:tc>
          <w:tcPr>
            <w:tcW w:w="6390" w:type="dxa"/>
          </w:tcPr>
          <w:p w:rsidR="005D15AC" w:rsidRPr="003600B6" w:rsidRDefault="007F05A4" w:rsidP="00FC31B5">
            <w:pPr>
              <w:jc w:val="center"/>
              <w:rPr>
                <w:rFonts w:ascii="Times New Roman" w:hAnsi="Times New Roman" w:cs="Times New Roman"/>
                <w:b/>
              </w:rPr>
            </w:pPr>
            <w:r w:rsidRPr="007F05A4">
              <w:rPr>
                <w:rFonts w:cs="Calibri"/>
                <w:b/>
                <w:bCs/>
              </w:rPr>
              <w:t>Constraint Management During Energy Emergency Alerts</w:t>
            </w:r>
          </w:p>
        </w:tc>
      </w:tr>
      <w:tr w:rsidR="00615C41" w:rsidRPr="009B6AA6" w:rsidTr="009E57FD">
        <w:tc>
          <w:tcPr>
            <w:tcW w:w="6390" w:type="dxa"/>
          </w:tcPr>
          <w:p w:rsidR="00615C41" w:rsidRPr="009B6AA6" w:rsidRDefault="007F05A4" w:rsidP="00E442B3">
            <w:pPr>
              <w:jc w:val="center"/>
              <w:rPr>
                <w:rFonts w:ascii="Times New Roman" w:hAnsi="Times New Roman" w:cs="Times New Roman"/>
              </w:rPr>
            </w:pPr>
            <w:r>
              <w:rPr>
                <w:rFonts w:ascii="Times New Roman" w:hAnsi="Times New Roman" w:cs="Times New Roman"/>
              </w:rPr>
              <w:t>Language</w:t>
            </w:r>
            <w:r w:rsidR="00615C41" w:rsidRPr="00127C45">
              <w:rPr>
                <w:rFonts w:ascii="Times New Roman" w:hAnsi="Times New Roman" w:cs="Times New Roman"/>
              </w:rPr>
              <w:t xml:space="preserve"> Review</w:t>
            </w:r>
          </w:p>
        </w:tc>
      </w:tr>
      <w:tr w:rsidR="00615C41" w:rsidRPr="009B6AA6" w:rsidTr="009E57FD">
        <w:tc>
          <w:tcPr>
            <w:tcW w:w="6390" w:type="dxa"/>
          </w:tcPr>
          <w:p w:rsidR="00615C41" w:rsidRPr="009B6AA6" w:rsidRDefault="00615C41" w:rsidP="00E442B3">
            <w:pPr>
              <w:jc w:val="center"/>
              <w:rPr>
                <w:rFonts w:ascii="Times New Roman" w:hAnsi="Times New Roman" w:cs="Times New Roman"/>
              </w:rPr>
            </w:pPr>
            <w:r w:rsidRPr="009B6AA6">
              <w:rPr>
                <w:rFonts w:ascii="Times New Roman" w:hAnsi="Times New Roman" w:cs="Times New Roman"/>
                <w:b/>
              </w:rPr>
              <w:t>OWG Action</w:t>
            </w:r>
            <w:r w:rsidRPr="009B6AA6">
              <w:rPr>
                <w:rFonts w:ascii="Times New Roman" w:hAnsi="Times New Roman" w:cs="Times New Roman"/>
              </w:rPr>
              <w:t xml:space="preserve">: </w:t>
            </w:r>
            <w:r w:rsidRPr="009B6AA6">
              <w:rPr>
                <w:rFonts w:ascii="Times New Roman" w:hAnsi="Times New Roman" w:cs="Times New Roman"/>
                <w:color w:val="FF0000"/>
              </w:rPr>
              <w:t xml:space="preserve"> </w:t>
            </w:r>
            <w:r w:rsidR="00DC19BA">
              <w:rPr>
                <w:rFonts w:ascii="Times New Roman" w:hAnsi="Times New Roman" w:cs="Times New Roman"/>
                <w:color w:val="00B050"/>
              </w:rPr>
              <w:t>OWG Recommend for IA</w:t>
            </w:r>
            <w:r w:rsidR="00301F0C" w:rsidRPr="009B6AA6">
              <w:rPr>
                <w:rFonts w:ascii="Times New Roman" w:hAnsi="Times New Roman" w:cs="Times New Roman"/>
                <w:noProof/>
                <w:color w:val="00B050"/>
              </w:rPr>
              <w:drawing>
                <wp:inline distT="0" distB="0" distL="0" distR="0" wp14:anchorId="5B5ADEF5" wp14:editId="4828569D">
                  <wp:extent cx="135456" cy="118652"/>
                  <wp:effectExtent l="19050" t="0" r="0" b="0"/>
                  <wp:docPr id="1" name="Picture 1"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9" cstate="print"/>
                          <a:stretch>
                            <a:fillRect/>
                          </a:stretch>
                        </pic:blipFill>
                        <pic:spPr>
                          <a:xfrm>
                            <a:off x="0" y="0"/>
                            <a:ext cx="135179" cy="118409"/>
                          </a:xfrm>
                          <a:prstGeom prst="rect">
                            <a:avLst/>
                          </a:prstGeom>
                        </pic:spPr>
                      </pic:pic>
                    </a:graphicData>
                  </a:graphic>
                </wp:inline>
              </w:drawing>
            </w:r>
          </w:p>
        </w:tc>
      </w:tr>
      <w:tr w:rsidR="00615C41" w:rsidRPr="009B6AA6" w:rsidTr="009E57FD">
        <w:tc>
          <w:tcPr>
            <w:tcW w:w="6390" w:type="dxa"/>
          </w:tcPr>
          <w:p w:rsidR="00615C41" w:rsidRPr="009B6AA6" w:rsidRDefault="00615C41" w:rsidP="00E442B3">
            <w:pPr>
              <w:jc w:val="center"/>
              <w:rPr>
                <w:rFonts w:ascii="Times New Roman" w:hAnsi="Times New Roman" w:cs="Times New Roman"/>
              </w:rPr>
            </w:pPr>
            <w:r w:rsidRPr="009B6AA6">
              <w:rPr>
                <w:rFonts w:ascii="Times New Roman" w:hAnsi="Times New Roman" w:cs="Times New Roman"/>
              </w:rPr>
              <w:t>Discussion:</w:t>
            </w:r>
          </w:p>
          <w:p w:rsidR="00452DAE" w:rsidRPr="00452DAE" w:rsidRDefault="00452DAE" w:rsidP="00452DAE">
            <w:pPr>
              <w:pStyle w:val="ListParagraph"/>
            </w:pPr>
            <w:r w:rsidRPr="00452DAE">
              <w:t xml:space="preserve">This Nodal Operating Guide Revision Request (NOGRR) seeks to improve management of congestion during an Energy Emergency Alert (EEA) by proposing: </w:t>
            </w:r>
          </w:p>
          <w:p w:rsidR="00452DAE" w:rsidRPr="00452DAE" w:rsidRDefault="00452DAE" w:rsidP="00452DAE">
            <w:pPr>
              <w:pStyle w:val="ListParagraph"/>
              <w:numPr>
                <w:ilvl w:val="0"/>
                <w:numId w:val="36"/>
              </w:numPr>
            </w:pPr>
            <w:r w:rsidRPr="00452DAE">
              <w:t>Language that provides a mechanism for ERCOT Operations to manage constraints in EEA 2 or 3 to higher Facility ratings when applicable for those constraints identified as limiting generation output; and</w:t>
            </w:r>
          </w:p>
          <w:p w:rsidR="00615C41" w:rsidRDefault="00452DAE" w:rsidP="00452DAE">
            <w:pPr>
              <w:pStyle w:val="ListParagraph"/>
              <w:rPr>
                <w:b/>
              </w:rPr>
            </w:pPr>
            <w:r w:rsidRPr="00452DAE">
              <w:t xml:space="preserve"> Language that reconsiders use of double-circuit contingencies during emergency operations based on Grid conditions [ERCOT] </w:t>
            </w:r>
            <w:r w:rsidR="00DC19BA" w:rsidRPr="00DC19BA">
              <w:rPr>
                <w:b/>
              </w:rPr>
              <w:t xml:space="preserve">Language review: recommended approval as amended by the 11/18/14 </w:t>
            </w:r>
            <w:proofErr w:type="spellStart"/>
            <w:r w:rsidR="00DC19BA" w:rsidRPr="00DC19BA">
              <w:rPr>
                <w:b/>
              </w:rPr>
              <w:t>CenterPoint</w:t>
            </w:r>
            <w:proofErr w:type="spellEnd"/>
            <w:r w:rsidR="00DC19BA" w:rsidRPr="00DC19BA">
              <w:rPr>
                <w:b/>
              </w:rPr>
              <w:t xml:space="preserve"> comments</w:t>
            </w:r>
            <w:r w:rsidR="00DC19BA">
              <w:rPr>
                <w:b/>
              </w:rPr>
              <w:t>. Will return with IA.</w:t>
            </w:r>
          </w:p>
          <w:p w:rsidR="0078554C" w:rsidRPr="009B6AA6" w:rsidRDefault="0078554C" w:rsidP="00452DAE">
            <w:pPr>
              <w:pStyle w:val="ListParagraph"/>
              <w:rPr>
                <w:rFonts w:ascii="Times New Roman" w:hAnsi="Times New Roman" w:cs="Times New Roman"/>
              </w:rPr>
            </w:pPr>
          </w:p>
        </w:tc>
      </w:tr>
      <w:tr w:rsidR="00615C41" w:rsidTr="009E57FD">
        <w:tc>
          <w:tcPr>
            <w:tcW w:w="6390" w:type="dxa"/>
            <w:shd w:val="clear" w:color="auto" w:fill="000000" w:themeFill="text1"/>
          </w:tcPr>
          <w:p w:rsidR="00615C41" w:rsidRDefault="00615C41" w:rsidP="008D52AF">
            <w:pPr>
              <w:jc w:val="center"/>
              <w:rPr>
                <w:rFonts w:ascii="Times New Roman" w:hAnsi="Times New Roman" w:cs="Times New Roman"/>
                <w:b/>
                <w:color w:val="00B050"/>
              </w:rPr>
            </w:pPr>
          </w:p>
        </w:tc>
      </w:tr>
      <w:tr w:rsidR="00ED2C5D" w:rsidRPr="009B6AA6" w:rsidTr="008479D7">
        <w:tc>
          <w:tcPr>
            <w:tcW w:w="6390" w:type="dxa"/>
          </w:tcPr>
          <w:p w:rsidR="00ED2C5D" w:rsidRPr="009B6AA6" w:rsidRDefault="00452DAE" w:rsidP="008479D7">
            <w:pPr>
              <w:jc w:val="center"/>
              <w:rPr>
                <w:rFonts w:ascii="Times New Roman" w:hAnsi="Times New Roman" w:cs="Times New Roman"/>
                <w:b/>
                <w:color w:val="00B050"/>
              </w:rPr>
            </w:pPr>
            <w:r>
              <w:rPr>
                <w:rFonts w:ascii="Times New Roman" w:hAnsi="Times New Roman" w:cs="Times New Roman"/>
                <w:b/>
                <w:color w:val="00B050"/>
              </w:rPr>
              <w:t>136</w:t>
            </w:r>
            <w:r w:rsidR="00ED2C5D" w:rsidRPr="002E0064">
              <w:rPr>
                <w:rFonts w:ascii="Times New Roman" w:hAnsi="Times New Roman" w:cs="Times New Roman"/>
                <w:b/>
                <w:color w:val="00B050"/>
              </w:rPr>
              <w:t xml:space="preserve">NOGRR </w:t>
            </w:r>
            <w:r w:rsidR="00ED2C5D" w:rsidRPr="0006701A">
              <w:rPr>
                <w:rFonts w:ascii="Times New Roman" w:hAnsi="Times New Roman" w:cs="Times New Roman"/>
                <w:b/>
                <w:noProof/>
                <w:color w:val="00B050"/>
              </w:rPr>
              <w:drawing>
                <wp:inline distT="0" distB="0" distL="0" distR="0" wp14:anchorId="4E8F974E" wp14:editId="75AC761B">
                  <wp:extent cx="135456" cy="118652"/>
                  <wp:effectExtent l="19050" t="0" r="0" b="0"/>
                  <wp:docPr id="5"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9" cstate="print"/>
                          <a:stretch>
                            <a:fillRect/>
                          </a:stretch>
                        </pic:blipFill>
                        <pic:spPr>
                          <a:xfrm>
                            <a:off x="0" y="0"/>
                            <a:ext cx="135179" cy="118409"/>
                          </a:xfrm>
                          <a:prstGeom prst="rect">
                            <a:avLst/>
                          </a:prstGeom>
                        </pic:spPr>
                      </pic:pic>
                    </a:graphicData>
                  </a:graphic>
                </wp:inline>
              </w:drawing>
            </w:r>
          </w:p>
        </w:tc>
      </w:tr>
      <w:tr w:rsidR="00ED2C5D" w:rsidRPr="003600B6" w:rsidTr="008479D7">
        <w:tc>
          <w:tcPr>
            <w:tcW w:w="6390" w:type="dxa"/>
          </w:tcPr>
          <w:p w:rsidR="00ED2C5D" w:rsidRPr="003600B6" w:rsidRDefault="00452DAE" w:rsidP="008479D7">
            <w:pPr>
              <w:jc w:val="center"/>
              <w:rPr>
                <w:rFonts w:ascii="Times New Roman" w:hAnsi="Times New Roman" w:cs="Times New Roman"/>
                <w:b/>
              </w:rPr>
            </w:pPr>
            <w:r w:rsidRPr="00452DAE">
              <w:rPr>
                <w:rFonts w:ascii="Times New Roman" w:hAnsi="Times New Roman" w:cs="Times New Roman"/>
                <w:b/>
                <w:bCs/>
              </w:rPr>
              <w:t>Verifying QSE Capability to Operate in CFC</w:t>
            </w:r>
          </w:p>
        </w:tc>
      </w:tr>
      <w:tr w:rsidR="00ED2C5D" w:rsidRPr="009B6AA6" w:rsidTr="008479D7">
        <w:tc>
          <w:tcPr>
            <w:tcW w:w="6390" w:type="dxa"/>
          </w:tcPr>
          <w:p w:rsidR="00ED2C5D" w:rsidRPr="009B6AA6" w:rsidRDefault="00540535" w:rsidP="008479D7">
            <w:pPr>
              <w:jc w:val="center"/>
              <w:rPr>
                <w:rFonts w:ascii="Times New Roman" w:hAnsi="Times New Roman" w:cs="Times New Roman"/>
              </w:rPr>
            </w:pPr>
            <w:r>
              <w:rPr>
                <w:rFonts w:ascii="Times New Roman" w:hAnsi="Times New Roman" w:cs="Times New Roman"/>
              </w:rPr>
              <w:t>Language</w:t>
            </w:r>
            <w:r w:rsidR="00ED2C5D" w:rsidRPr="00127C45">
              <w:rPr>
                <w:rFonts w:ascii="Times New Roman" w:hAnsi="Times New Roman" w:cs="Times New Roman"/>
              </w:rPr>
              <w:t xml:space="preserve"> Review</w:t>
            </w:r>
          </w:p>
        </w:tc>
      </w:tr>
      <w:tr w:rsidR="00ED2C5D" w:rsidRPr="009B6AA6" w:rsidTr="008479D7">
        <w:tc>
          <w:tcPr>
            <w:tcW w:w="6390" w:type="dxa"/>
          </w:tcPr>
          <w:p w:rsidR="00ED2C5D" w:rsidRPr="009B6AA6" w:rsidRDefault="00ED2C5D" w:rsidP="008479D7">
            <w:pPr>
              <w:jc w:val="center"/>
              <w:rPr>
                <w:rFonts w:ascii="Times New Roman" w:hAnsi="Times New Roman" w:cs="Times New Roman"/>
              </w:rPr>
            </w:pPr>
            <w:r w:rsidRPr="009B6AA6">
              <w:rPr>
                <w:rFonts w:ascii="Times New Roman" w:hAnsi="Times New Roman" w:cs="Times New Roman"/>
                <w:b/>
              </w:rPr>
              <w:t>OWG Action</w:t>
            </w:r>
            <w:r w:rsidRPr="009B6AA6">
              <w:rPr>
                <w:rFonts w:ascii="Times New Roman" w:hAnsi="Times New Roman" w:cs="Times New Roman"/>
              </w:rPr>
              <w:t xml:space="preserve">: </w:t>
            </w:r>
            <w:r w:rsidRPr="009B6AA6">
              <w:rPr>
                <w:rFonts w:ascii="Times New Roman" w:hAnsi="Times New Roman" w:cs="Times New Roman"/>
                <w:color w:val="FF0000"/>
              </w:rPr>
              <w:t xml:space="preserve"> </w:t>
            </w:r>
            <w:r w:rsidR="00DC19BA">
              <w:rPr>
                <w:rFonts w:ascii="Times New Roman" w:hAnsi="Times New Roman" w:cs="Times New Roman"/>
                <w:color w:val="00B050"/>
              </w:rPr>
              <w:t>OWG Recommend to ROS</w:t>
            </w:r>
            <w:r w:rsidRPr="009B6AA6">
              <w:rPr>
                <w:rFonts w:ascii="Times New Roman" w:hAnsi="Times New Roman" w:cs="Times New Roman"/>
                <w:noProof/>
                <w:color w:val="00B050"/>
              </w:rPr>
              <w:drawing>
                <wp:inline distT="0" distB="0" distL="0" distR="0" wp14:anchorId="743BE3CA" wp14:editId="389EB17F">
                  <wp:extent cx="135456" cy="118652"/>
                  <wp:effectExtent l="19050" t="0" r="0" b="0"/>
                  <wp:docPr id="6" name="Picture 6"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9" cstate="print"/>
                          <a:stretch>
                            <a:fillRect/>
                          </a:stretch>
                        </pic:blipFill>
                        <pic:spPr>
                          <a:xfrm>
                            <a:off x="0" y="0"/>
                            <a:ext cx="135179" cy="118409"/>
                          </a:xfrm>
                          <a:prstGeom prst="rect">
                            <a:avLst/>
                          </a:prstGeom>
                        </pic:spPr>
                      </pic:pic>
                    </a:graphicData>
                  </a:graphic>
                </wp:inline>
              </w:drawing>
            </w:r>
          </w:p>
        </w:tc>
      </w:tr>
      <w:tr w:rsidR="00ED2C5D" w:rsidRPr="009B6AA6" w:rsidTr="008479D7">
        <w:tc>
          <w:tcPr>
            <w:tcW w:w="6390" w:type="dxa"/>
          </w:tcPr>
          <w:p w:rsidR="00DC19BA" w:rsidRDefault="00452DAE" w:rsidP="00452DAE">
            <w:pPr>
              <w:rPr>
                <w:rFonts w:ascii="Times New Roman" w:hAnsi="Times New Roman" w:cs="Times New Roman"/>
              </w:rPr>
            </w:pPr>
            <w:r w:rsidRPr="00452DAE">
              <w:t>This Nodal Operating Guide Revision Request (NOGRR) establishes a process for ERCOT to conduct Constant Frequency Control (CFC) tests to ensure that Qualified Scheduling Entities (QSEs) can provide this service if ERCOT loses its ability to control system frequency; and removes the CFC definition from the Nodal Operating Guide due to the definition being incorporated into the Protocols via associated NPRR646. [ERCOT] Language Review.</w:t>
            </w:r>
            <w:r w:rsidRPr="000C393F">
              <w:rPr>
                <w:b/>
              </w:rPr>
              <w:t xml:space="preserve"> </w:t>
            </w:r>
            <w:r w:rsidR="00DC19BA" w:rsidRPr="00DC19BA">
              <w:rPr>
                <w:b/>
              </w:rPr>
              <w:t>IA Review:  OWG was in consensus to endorse and forward to ROS the 10/22/14 OWG Report and IA</w:t>
            </w:r>
            <w:r w:rsidR="00DC19BA">
              <w:rPr>
                <w:b/>
              </w:rPr>
              <w:t>.</w:t>
            </w:r>
            <w:r w:rsidR="00DC19BA" w:rsidRPr="00DC19BA">
              <w:rPr>
                <w:b/>
              </w:rPr>
              <w:t xml:space="preserve"> </w:t>
            </w:r>
          </w:p>
          <w:p w:rsidR="0078554C" w:rsidRPr="00452DAE" w:rsidRDefault="0078554C" w:rsidP="00452DAE">
            <w:pPr>
              <w:rPr>
                <w:rFonts w:ascii="Times New Roman" w:hAnsi="Times New Roman" w:cs="Times New Roman"/>
              </w:rPr>
            </w:pPr>
          </w:p>
        </w:tc>
      </w:tr>
      <w:tr w:rsidR="004D3740" w:rsidTr="00740557">
        <w:tc>
          <w:tcPr>
            <w:tcW w:w="6390" w:type="dxa"/>
            <w:tcBorders>
              <w:bottom w:val="single" w:sz="4" w:space="0" w:color="auto"/>
            </w:tcBorders>
            <w:shd w:val="clear" w:color="auto" w:fill="000000" w:themeFill="text1"/>
          </w:tcPr>
          <w:p w:rsidR="004D3740" w:rsidRDefault="004D3740" w:rsidP="00B40050">
            <w:pPr>
              <w:jc w:val="center"/>
              <w:rPr>
                <w:rFonts w:ascii="Times New Roman" w:hAnsi="Times New Roman" w:cs="Times New Roman"/>
                <w:b/>
                <w:color w:val="00B050"/>
              </w:rPr>
            </w:pPr>
          </w:p>
        </w:tc>
      </w:tr>
      <w:tr w:rsidR="00740557" w:rsidRPr="009B6AA6" w:rsidTr="00FC31B5">
        <w:tc>
          <w:tcPr>
            <w:tcW w:w="6390" w:type="dxa"/>
          </w:tcPr>
          <w:p w:rsidR="00740557" w:rsidRPr="009B6AA6" w:rsidRDefault="0078554C" w:rsidP="00CA7311">
            <w:pPr>
              <w:jc w:val="center"/>
              <w:rPr>
                <w:rFonts w:ascii="Times New Roman" w:hAnsi="Times New Roman" w:cs="Times New Roman"/>
                <w:b/>
                <w:color w:val="00B050"/>
              </w:rPr>
            </w:pPr>
            <w:r>
              <w:rPr>
                <w:rFonts w:ascii="Times New Roman" w:hAnsi="Times New Roman" w:cs="Times New Roman"/>
                <w:b/>
                <w:color w:val="00B050"/>
              </w:rPr>
              <w:t>138</w:t>
            </w:r>
            <w:r w:rsidR="00740557" w:rsidRPr="002E0064">
              <w:rPr>
                <w:rFonts w:ascii="Times New Roman" w:hAnsi="Times New Roman" w:cs="Times New Roman"/>
                <w:b/>
                <w:color w:val="00B050"/>
              </w:rPr>
              <w:t xml:space="preserve">NOGRR </w:t>
            </w:r>
            <w:r w:rsidR="00740557" w:rsidRPr="0006701A">
              <w:rPr>
                <w:rFonts w:ascii="Times New Roman" w:hAnsi="Times New Roman" w:cs="Times New Roman"/>
                <w:b/>
                <w:noProof/>
                <w:color w:val="00B050"/>
              </w:rPr>
              <w:drawing>
                <wp:inline distT="0" distB="0" distL="0" distR="0" wp14:anchorId="3B0C2B61" wp14:editId="5CE904B3">
                  <wp:extent cx="135456" cy="118652"/>
                  <wp:effectExtent l="19050" t="0" r="0" b="0"/>
                  <wp:docPr id="8"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9" cstate="print"/>
                          <a:stretch>
                            <a:fillRect/>
                          </a:stretch>
                        </pic:blipFill>
                        <pic:spPr>
                          <a:xfrm>
                            <a:off x="0" y="0"/>
                            <a:ext cx="135179" cy="118409"/>
                          </a:xfrm>
                          <a:prstGeom prst="rect">
                            <a:avLst/>
                          </a:prstGeom>
                        </pic:spPr>
                      </pic:pic>
                    </a:graphicData>
                  </a:graphic>
                </wp:inline>
              </w:drawing>
            </w:r>
          </w:p>
        </w:tc>
      </w:tr>
      <w:tr w:rsidR="00740557" w:rsidRPr="009B6AA6" w:rsidTr="00FC31B5">
        <w:tc>
          <w:tcPr>
            <w:tcW w:w="6390" w:type="dxa"/>
          </w:tcPr>
          <w:p w:rsidR="00740557" w:rsidRPr="003600B6" w:rsidRDefault="0078554C" w:rsidP="00CA7311">
            <w:pPr>
              <w:jc w:val="center"/>
              <w:rPr>
                <w:rFonts w:ascii="Times New Roman" w:hAnsi="Times New Roman" w:cs="Times New Roman"/>
                <w:b/>
              </w:rPr>
            </w:pPr>
            <w:r w:rsidRPr="0078554C">
              <w:rPr>
                <w:rFonts w:ascii="Times New Roman" w:hAnsi="Times New Roman" w:cs="Times New Roman"/>
                <w:b/>
                <w:bCs/>
              </w:rPr>
              <w:t>Delete Grey Box for Reporting of Back-up Control Plan Submittal</w:t>
            </w:r>
          </w:p>
        </w:tc>
      </w:tr>
      <w:tr w:rsidR="00740557" w:rsidRPr="009B6AA6" w:rsidTr="00FC31B5">
        <w:tc>
          <w:tcPr>
            <w:tcW w:w="6390" w:type="dxa"/>
          </w:tcPr>
          <w:p w:rsidR="00740557" w:rsidRPr="009B6AA6" w:rsidRDefault="00740557" w:rsidP="00CA7311">
            <w:pPr>
              <w:jc w:val="center"/>
              <w:rPr>
                <w:rFonts w:ascii="Times New Roman" w:hAnsi="Times New Roman" w:cs="Times New Roman"/>
              </w:rPr>
            </w:pPr>
            <w:r>
              <w:rPr>
                <w:rFonts w:ascii="Times New Roman" w:hAnsi="Times New Roman" w:cs="Times New Roman"/>
              </w:rPr>
              <w:t>Language</w:t>
            </w:r>
            <w:r w:rsidRPr="00127C45">
              <w:rPr>
                <w:rFonts w:ascii="Times New Roman" w:hAnsi="Times New Roman" w:cs="Times New Roman"/>
              </w:rPr>
              <w:t xml:space="preserve"> Review</w:t>
            </w:r>
          </w:p>
        </w:tc>
      </w:tr>
      <w:tr w:rsidR="00740557" w:rsidRPr="009B6AA6" w:rsidTr="00FC31B5">
        <w:tc>
          <w:tcPr>
            <w:tcW w:w="6390" w:type="dxa"/>
          </w:tcPr>
          <w:p w:rsidR="00740557" w:rsidRPr="009B6AA6" w:rsidRDefault="00740557" w:rsidP="00CA7311">
            <w:pPr>
              <w:jc w:val="center"/>
              <w:rPr>
                <w:rFonts w:ascii="Times New Roman" w:hAnsi="Times New Roman" w:cs="Times New Roman"/>
              </w:rPr>
            </w:pPr>
            <w:r w:rsidRPr="009B6AA6">
              <w:rPr>
                <w:rFonts w:ascii="Times New Roman" w:hAnsi="Times New Roman" w:cs="Times New Roman"/>
                <w:b/>
              </w:rPr>
              <w:t>OWG Action</w:t>
            </w:r>
            <w:r w:rsidRPr="009B6AA6">
              <w:rPr>
                <w:rFonts w:ascii="Times New Roman" w:hAnsi="Times New Roman" w:cs="Times New Roman"/>
              </w:rPr>
              <w:t xml:space="preserve">: </w:t>
            </w:r>
            <w:r w:rsidRPr="009B6AA6">
              <w:rPr>
                <w:rFonts w:ascii="Times New Roman" w:hAnsi="Times New Roman" w:cs="Times New Roman"/>
                <w:color w:val="FF0000"/>
              </w:rPr>
              <w:t xml:space="preserve"> </w:t>
            </w:r>
            <w:r w:rsidR="0078554C">
              <w:rPr>
                <w:rFonts w:ascii="Times New Roman" w:hAnsi="Times New Roman" w:cs="Times New Roman"/>
                <w:color w:val="00B050"/>
              </w:rPr>
              <w:t>OWG Tabled</w:t>
            </w:r>
            <w:r w:rsidRPr="009B6AA6">
              <w:rPr>
                <w:rFonts w:ascii="Times New Roman" w:hAnsi="Times New Roman" w:cs="Times New Roman"/>
                <w:noProof/>
                <w:color w:val="00B050"/>
              </w:rPr>
              <w:drawing>
                <wp:inline distT="0" distB="0" distL="0" distR="0" wp14:anchorId="72662669" wp14:editId="53DC6CC0">
                  <wp:extent cx="135456" cy="118652"/>
                  <wp:effectExtent l="19050" t="0" r="0" b="0"/>
                  <wp:docPr id="9" name="Picture 9"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9" cstate="print"/>
                          <a:stretch>
                            <a:fillRect/>
                          </a:stretch>
                        </pic:blipFill>
                        <pic:spPr>
                          <a:xfrm>
                            <a:off x="0" y="0"/>
                            <a:ext cx="135179" cy="118409"/>
                          </a:xfrm>
                          <a:prstGeom prst="rect">
                            <a:avLst/>
                          </a:prstGeom>
                        </pic:spPr>
                      </pic:pic>
                    </a:graphicData>
                  </a:graphic>
                </wp:inline>
              </w:drawing>
            </w:r>
          </w:p>
        </w:tc>
      </w:tr>
      <w:tr w:rsidR="00740557" w:rsidRPr="009B6AA6" w:rsidTr="00FC31B5">
        <w:tc>
          <w:tcPr>
            <w:tcW w:w="6390" w:type="dxa"/>
          </w:tcPr>
          <w:p w:rsidR="00740557" w:rsidRPr="009B6AA6" w:rsidRDefault="0078554C" w:rsidP="00F103F5">
            <w:pPr>
              <w:pStyle w:val="ListParagraph"/>
              <w:rPr>
                <w:rFonts w:ascii="Times New Roman" w:hAnsi="Times New Roman" w:cs="Times New Roman"/>
              </w:rPr>
            </w:pPr>
            <w:r w:rsidRPr="0078554C">
              <w:t xml:space="preserve">This Nodal Operating Guide Revision Request (NOGRR) proposes the discontinuation of the posting requirement for Discontinue Backup Control Plan Submittal Results, ERCOT Market Information List (EMIL) ID, NP8-510M and Backup Control Plan Test Dates and Results Summary Reports, EMIL ID NP8-922-M.  </w:t>
            </w:r>
            <w:r w:rsidRPr="0078554C">
              <w:rPr>
                <w:b/>
              </w:rPr>
              <w:t xml:space="preserve">Language review: no </w:t>
            </w:r>
            <w:proofErr w:type="gramStart"/>
            <w:r w:rsidRPr="0078554C">
              <w:rPr>
                <w:b/>
              </w:rPr>
              <w:t>action,</w:t>
            </w:r>
            <w:proofErr w:type="gramEnd"/>
            <w:r w:rsidRPr="0078554C">
              <w:rPr>
                <w:b/>
              </w:rPr>
              <w:t xml:space="preserve"> remains tabled.  OWG did review NPRR657, and took no action on this NOGRR to allow time for PRS to recommend approval of NPRR657</w:t>
            </w:r>
          </w:p>
        </w:tc>
      </w:tr>
      <w:tr w:rsidR="0078554C" w:rsidTr="00B83162">
        <w:tc>
          <w:tcPr>
            <w:tcW w:w="6390" w:type="dxa"/>
            <w:tcBorders>
              <w:bottom w:val="single" w:sz="4" w:space="0" w:color="auto"/>
            </w:tcBorders>
            <w:shd w:val="clear" w:color="auto" w:fill="000000" w:themeFill="text1"/>
          </w:tcPr>
          <w:p w:rsidR="0078554C" w:rsidRDefault="0078554C" w:rsidP="00B83162">
            <w:pPr>
              <w:jc w:val="center"/>
              <w:rPr>
                <w:rFonts w:ascii="Times New Roman" w:hAnsi="Times New Roman" w:cs="Times New Roman"/>
                <w:b/>
                <w:color w:val="00B050"/>
              </w:rPr>
            </w:pPr>
          </w:p>
        </w:tc>
      </w:tr>
      <w:tr w:rsidR="0078554C" w:rsidRPr="009B6AA6" w:rsidTr="00B83162">
        <w:tc>
          <w:tcPr>
            <w:tcW w:w="6390" w:type="dxa"/>
          </w:tcPr>
          <w:p w:rsidR="0078554C" w:rsidRPr="009B6AA6" w:rsidRDefault="0078554C" w:rsidP="00B83162">
            <w:pPr>
              <w:jc w:val="center"/>
              <w:rPr>
                <w:rFonts w:ascii="Times New Roman" w:hAnsi="Times New Roman" w:cs="Times New Roman"/>
                <w:b/>
                <w:color w:val="00B050"/>
              </w:rPr>
            </w:pPr>
            <w:r>
              <w:rPr>
                <w:rFonts w:ascii="Times New Roman" w:hAnsi="Times New Roman" w:cs="Times New Roman"/>
                <w:b/>
                <w:color w:val="00B050"/>
              </w:rPr>
              <w:t>139</w:t>
            </w:r>
            <w:r w:rsidRPr="002E0064">
              <w:rPr>
                <w:rFonts w:ascii="Times New Roman" w:hAnsi="Times New Roman" w:cs="Times New Roman"/>
                <w:b/>
                <w:color w:val="00B050"/>
              </w:rPr>
              <w:t xml:space="preserve">NOGRR </w:t>
            </w:r>
            <w:r w:rsidRPr="0006701A">
              <w:rPr>
                <w:rFonts w:ascii="Times New Roman" w:hAnsi="Times New Roman" w:cs="Times New Roman"/>
                <w:b/>
                <w:noProof/>
                <w:color w:val="00B050"/>
              </w:rPr>
              <w:drawing>
                <wp:inline distT="0" distB="0" distL="0" distR="0" wp14:anchorId="4A44DD16" wp14:editId="4EE27EF1">
                  <wp:extent cx="135456" cy="118652"/>
                  <wp:effectExtent l="19050" t="0" r="0" b="0"/>
                  <wp:docPr id="2" name="Picture 2"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9" cstate="print"/>
                          <a:stretch>
                            <a:fillRect/>
                          </a:stretch>
                        </pic:blipFill>
                        <pic:spPr>
                          <a:xfrm>
                            <a:off x="0" y="0"/>
                            <a:ext cx="135179" cy="118409"/>
                          </a:xfrm>
                          <a:prstGeom prst="rect">
                            <a:avLst/>
                          </a:prstGeom>
                        </pic:spPr>
                      </pic:pic>
                    </a:graphicData>
                  </a:graphic>
                </wp:inline>
              </w:drawing>
            </w:r>
          </w:p>
        </w:tc>
      </w:tr>
      <w:tr w:rsidR="0078554C" w:rsidRPr="003600B6" w:rsidTr="00B83162">
        <w:tc>
          <w:tcPr>
            <w:tcW w:w="6390" w:type="dxa"/>
          </w:tcPr>
          <w:p w:rsidR="0078554C" w:rsidRPr="003600B6" w:rsidRDefault="0078554C" w:rsidP="00B83162">
            <w:pPr>
              <w:jc w:val="center"/>
              <w:rPr>
                <w:rFonts w:ascii="Times New Roman" w:hAnsi="Times New Roman" w:cs="Times New Roman"/>
                <w:b/>
              </w:rPr>
            </w:pPr>
            <w:r w:rsidRPr="0078554C">
              <w:rPr>
                <w:rFonts w:ascii="Times New Roman" w:hAnsi="Times New Roman" w:cs="Times New Roman"/>
                <w:b/>
                <w:bCs/>
              </w:rPr>
              <w:t>Under/Over-Frequency Relaying Requirements</w:t>
            </w:r>
          </w:p>
        </w:tc>
      </w:tr>
      <w:tr w:rsidR="0078554C" w:rsidRPr="009B6AA6" w:rsidTr="00B83162">
        <w:tc>
          <w:tcPr>
            <w:tcW w:w="6390" w:type="dxa"/>
          </w:tcPr>
          <w:p w:rsidR="0078554C" w:rsidRPr="009B6AA6" w:rsidRDefault="0078554C" w:rsidP="00B83162">
            <w:pPr>
              <w:jc w:val="center"/>
              <w:rPr>
                <w:rFonts w:ascii="Times New Roman" w:hAnsi="Times New Roman" w:cs="Times New Roman"/>
              </w:rPr>
            </w:pPr>
            <w:r>
              <w:rPr>
                <w:rFonts w:ascii="Times New Roman" w:hAnsi="Times New Roman" w:cs="Times New Roman"/>
              </w:rPr>
              <w:t>Language</w:t>
            </w:r>
            <w:r w:rsidRPr="00127C45">
              <w:rPr>
                <w:rFonts w:ascii="Times New Roman" w:hAnsi="Times New Roman" w:cs="Times New Roman"/>
              </w:rPr>
              <w:t xml:space="preserve"> Review</w:t>
            </w:r>
          </w:p>
        </w:tc>
      </w:tr>
      <w:tr w:rsidR="0078554C" w:rsidRPr="009B6AA6" w:rsidTr="00B83162">
        <w:tc>
          <w:tcPr>
            <w:tcW w:w="6390" w:type="dxa"/>
          </w:tcPr>
          <w:p w:rsidR="0078554C" w:rsidRPr="009B6AA6" w:rsidRDefault="0078554C" w:rsidP="00B83162">
            <w:pPr>
              <w:jc w:val="center"/>
              <w:rPr>
                <w:rFonts w:ascii="Times New Roman" w:hAnsi="Times New Roman" w:cs="Times New Roman"/>
              </w:rPr>
            </w:pPr>
            <w:r w:rsidRPr="009B6AA6">
              <w:rPr>
                <w:rFonts w:ascii="Times New Roman" w:hAnsi="Times New Roman" w:cs="Times New Roman"/>
                <w:b/>
              </w:rPr>
              <w:t>OWG Action</w:t>
            </w:r>
            <w:r w:rsidRPr="009B6AA6">
              <w:rPr>
                <w:rFonts w:ascii="Times New Roman" w:hAnsi="Times New Roman" w:cs="Times New Roman"/>
              </w:rPr>
              <w:t xml:space="preserve">: </w:t>
            </w:r>
            <w:r w:rsidRPr="009B6AA6">
              <w:rPr>
                <w:rFonts w:ascii="Times New Roman" w:hAnsi="Times New Roman" w:cs="Times New Roman"/>
                <w:color w:val="FF0000"/>
              </w:rPr>
              <w:t xml:space="preserve"> </w:t>
            </w:r>
            <w:r>
              <w:rPr>
                <w:rFonts w:ascii="Times New Roman" w:hAnsi="Times New Roman" w:cs="Times New Roman"/>
                <w:color w:val="00B050"/>
              </w:rPr>
              <w:t>OWG Tabled</w:t>
            </w:r>
            <w:r w:rsidRPr="009B6AA6">
              <w:rPr>
                <w:rFonts w:ascii="Times New Roman" w:hAnsi="Times New Roman" w:cs="Times New Roman"/>
                <w:noProof/>
                <w:color w:val="00B050"/>
              </w:rPr>
              <w:drawing>
                <wp:inline distT="0" distB="0" distL="0" distR="0" wp14:anchorId="622CB73E" wp14:editId="687EC19A">
                  <wp:extent cx="135456" cy="118652"/>
                  <wp:effectExtent l="19050" t="0" r="0" b="0"/>
                  <wp:docPr id="3" name="Picture 3"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9" cstate="print"/>
                          <a:stretch>
                            <a:fillRect/>
                          </a:stretch>
                        </pic:blipFill>
                        <pic:spPr>
                          <a:xfrm>
                            <a:off x="0" y="0"/>
                            <a:ext cx="135179" cy="118409"/>
                          </a:xfrm>
                          <a:prstGeom prst="rect">
                            <a:avLst/>
                          </a:prstGeom>
                        </pic:spPr>
                      </pic:pic>
                    </a:graphicData>
                  </a:graphic>
                </wp:inline>
              </w:drawing>
            </w:r>
          </w:p>
        </w:tc>
      </w:tr>
      <w:tr w:rsidR="0078554C" w:rsidRPr="009B6AA6" w:rsidTr="00B83162">
        <w:tc>
          <w:tcPr>
            <w:tcW w:w="6390" w:type="dxa"/>
          </w:tcPr>
          <w:p w:rsidR="0078554C" w:rsidRPr="0078554C" w:rsidRDefault="0078554C" w:rsidP="00383A57">
            <w:pPr>
              <w:pStyle w:val="ListParagraph"/>
              <w:rPr>
                <w:b/>
              </w:rPr>
            </w:pPr>
            <w:r w:rsidRPr="0078554C">
              <w:t>This Nodal Operating Guide Revision Request (NOGRR) adds over-frequency relaying requirements and clarifies under-frequency and over-frequency relay set-points so that Generation Resources know what is expected.  Over-frequency relay set points criteria was approved by NERC in March 2014 under Standard PRC-024, Generator Frequency and Voltage Protective Relay Settings.</w:t>
            </w:r>
            <w:r w:rsidRPr="0078554C">
              <w:rPr>
                <w:b/>
              </w:rPr>
              <w:t xml:space="preserve">  Language review: No </w:t>
            </w:r>
            <w:proofErr w:type="gramStart"/>
            <w:r w:rsidRPr="0078554C">
              <w:rPr>
                <w:b/>
              </w:rPr>
              <w:t>action,</w:t>
            </w:r>
            <w:proofErr w:type="gramEnd"/>
            <w:r w:rsidRPr="0078554C">
              <w:rPr>
                <w:b/>
              </w:rPr>
              <w:t xml:space="preserve"> remains tabled.  ERCOT and Market Participants would like additional time to review and possibly submit changes/comments</w:t>
            </w:r>
          </w:p>
          <w:p w:rsidR="0078554C" w:rsidRPr="009B6AA6" w:rsidRDefault="0078554C" w:rsidP="00B83162">
            <w:pPr>
              <w:pStyle w:val="ListParagraph"/>
              <w:rPr>
                <w:rFonts w:ascii="Times New Roman" w:hAnsi="Times New Roman" w:cs="Times New Roman"/>
              </w:rPr>
            </w:pPr>
          </w:p>
        </w:tc>
      </w:tr>
    </w:tbl>
    <w:p w:rsidR="00606352" w:rsidRDefault="00606352" w:rsidP="00A0788C">
      <w:pPr>
        <w:spacing w:after="0"/>
        <w:rPr>
          <w:rFonts w:ascii="Times New Roman" w:hAnsi="Times New Roman" w:cs="Times New Roman"/>
        </w:rPr>
      </w:pPr>
    </w:p>
    <w:p w:rsidR="00383A57" w:rsidRPr="00383A57" w:rsidRDefault="00383A57" w:rsidP="00383A57">
      <w:pPr>
        <w:pStyle w:val="ListParagraph"/>
        <w:numPr>
          <w:ilvl w:val="0"/>
          <w:numId w:val="36"/>
        </w:numPr>
        <w:spacing w:after="0"/>
        <w:rPr>
          <w:rFonts w:ascii="Times New Roman" w:hAnsi="Times New Roman" w:cs="Times New Roman"/>
        </w:rPr>
      </w:pPr>
      <w:r w:rsidRPr="00383A57">
        <w:rPr>
          <w:rFonts w:ascii="Times New Roman" w:hAnsi="Times New Roman" w:cs="Times New Roman"/>
          <w:b/>
        </w:rPr>
        <w:t xml:space="preserve">141NOGRR Administrative Changes for December 1, 2014.  </w:t>
      </w:r>
      <w:r w:rsidRPr="00383A57">
        <w:rPr>
          <w:rFonts w:ascii="Times New Roman" w:hAnsi="Times New Roman" w:cs="Times New Roman"/>
        </w:rPr>
        <w:t xml:space="preserve">This administrative NOGRR updates the ERCOT Load Shed Table.  </w:t>
      </w:r>
      <w:r w:rsidRPr="00383A57">
        <w:rPr>
          <w:rFonts w:ascii="Times New Roman" w:hAnsi="Times New Roman" w:cs="Times New Roman"/>
          <w:b/>
        </w:rPr>
        <w:t>Reviewed the administrative changes.</w:t>
      </w:r>
    </w:p>
    <w:p w:rsidR="00383A57" w:rsidRPr="00383A57" w:rsidRDefault="00383A57" w:rsidP="00383A57">
      <w:pPr>
        <w:pStyle w:val="ListParagraph"/>
        <w:spacing w:after="0"/>
        <w:rPr>
          <w:rFonts w:ascii="Times New Roman" w:hAnsi="Times New Roman" w:cs="Times New Roman"/>
        </w:rPr>
      </w:pPr>
    </w:p>
    <w:p w:rsidR="00383A57" w:rsidRPr="00383A57" w:rsidRDefault="00383A57" w:rsidP="00383A57">
      <w:pPr>
        <w:pStyle w:val="ListParagraph"/>
        <w:numPr>
          <w:ilvl w:val="0"/>
          <w:numId w:val="36"/>
        </w:numPr>
        <w:spacing w:after="0"/>
        <w:rPr>
          <w:rFonts w:ascii="Times New Roman" w:hAnsi="Times New Roman" w:cs="Times New Roman"/>
        </w:rPr>
      </w:pPr>
      <w:r w:rsidRPr="00383A57">
        <w:rPr>
          <w:rFonts w:ascii="Times New Roman" w:hAnsi="Times New Roman" w:cs="Times New Roman"/>
          <w:b/>
        </w:rPr>
        <w:t xml:space="preserve">657NPRR Discontinue Backup Control Plan Submittal Results, Dispatch Instructions Compliance Metrics, and Backup Control Plan Test Dates and Results Summary Reports.  </w:t>
      </w:r>
      <w:r w:rsidRPr="00383A57">
        <w:rPr>
          <w:rFonts w:ascii="Times New Roman" w:hAnsi="Times New Roman" w:cs="Times New Roman"/>
        </w:rPr>
        <w:t xml:space="preserve">This NPRR proposes the discontinuation of the posting requirement for Discontinue Backup Control Plan Submittal Results, Dispatch Instructions Compliance Metrics, ERCOT Market Information List (EMIL) ID, NP8-510M and Backup Control Plan Test Dates and Results Summary Reports, EMIL ID NP8-922-M.  [MISUG].  These reports have never been posted as the language remains grey boxed.  </w:t>
      </w:r>
      <w:r w:rsidRPr="00383A57">
        <w:rPr>
          <w:rFonts w:ascii="Times New Roman" w:hAnsi="Times New Roman" w:cs="Times New Roman"/>
          <w:b/>
        </w:rPr>
        <w:t>OWG is filling comments endorsing NPRR657.</w:t>
      </w:r>
    </w:p>
    <w:p w:rsidR="00383A57" w:rsidRDefault="00383A57" w:rsidP="00A0788C">
      <w:pPr>
        <w:spacing w:after="0"/>
        <w:rPr>
          <w:rFonts w:ascii="Times New Roman" w:hAnsi="Times New Roman" w:cs="Times New Roman"/>
        </w:rPr>
      </w:pPr>
    </w:p>
    <w:p w:rsidR="00AB0D6A" w:rsidRDefault="00AB0D6A" w:rsidP="00A0788C">
      <w:pPr>
        <w:spacing w:after="0"/>
        <w:rPr>
          <w:rFonts w:ascii="Times New Roman" w:hAnsi="Times New Roman" w:cs="Times New Roman"/>
          <w:b/>
          <w:sz w:val="24"/>
        </w:rPr>
      </w:pPr>
      <w:r w:rsidRPr="00AB0D6A">
        <w:rPr>
          <w:rFonts w:ascii="Times New Roman" w:hAnsi="Times New Roman" w:cs="Times New Roman"/>
          <w:b/>
          <w:sz w:val="24"/>
        </w:rPr>
        <w:t>Operations Report</w:t>
      </w:r>
      <w:r>
        <w:rPr>
          <w:rFonts w:ascii="Times New Roman" w:hAnsi="Times New Roman" w:cs="Times New Roman"/>
          <w:b/>
          <w:sz w:val="24"/>
        </w:rPr>
        <w:t xml:space="preserve"> – </w:t>
      </w:r>
    </w:p>
    <w:p w:rsidR="00512A94" w:rsidRDefault="00512A94" w:rsidP="00512A94">
      <w:pPr>
        <w:pStyle w:val="ListParagraph"/>
        <w:numPr>
          <w:ilvl w:val="0"/>
          <w:numId w:val="37"/>
        </w:numPr>
        <w:spacing w:after="0"/>
        <w:rPr>
          <w:rFonts w:ascii="Times New Roman" w:hAnsi="Times New Roman" w:cs="Times New Roman"/>
          <w:sz w:val="24"/>
        </w:rPr>
      </w:pPr>
      <w:r w:rsidRPr="00512A94">
        <w:rPr>
          <w:rFonts w:ascii="Times New Roman" w:hAnsi="Times New Roman" w:cs="Times New Roman"/>
          <w:sz w:val="24"/>
        </w:rPr>
        <w:t xml:space="preserve">Reviewed the October report.  A separate report will be presented on the Valley Load Shed event that occurred on 10/08/14, will have it at the next ROS meeting.  </w:t>
      </w:r>
    </w:p>
    <w:p w:rsidR="00512A94" w:rsidRPr="00512A94" w:rsidRDefault="00512A94" w:rsidP="00512A94">
      <w:pPr>
        <w:pStyle w:val="ListParagraph"/>
        <w:numPr>
          <w:ilvl w:val="0"/>
          <w:numId w:val="37"/>
        </w:numPr>
        <w:spacing w:after="0"/>
        <w:rPr>
          <w:rFonts w:ascii="Times New Roman" w:hAnsi="Times New Roman" w:cs="Times New Roman"/>
          <w:sz w:val="24"/>
        </w:rPr>
      </w:pPr>
      <w:r w:rsidRPr="00512A94">
        <w:rPr>
          <w:rFonts w:ascii="Times New Roman" w:hAnsi="Times New Roman" w:cs="Times New Roman"/>
          <w:sz w:val="24"/>
        </w:rPr>
        <w:lastRenderedPageBreak/>
        <w:t>Frank requested that Bill Blevins be at next meeting to discuss oscillation issues in Panhandle.</w:t>
      </w:r>
    </w:p>
    <w:p w:rsidR="00CA3A65" w:rsidRPr="009B6AA6" w:rsidRDefault="00CA3A65" w:rsidP="000030AD">
      <w:pPr>
        <w:pStyle w:val="ListParagraph"/>
        <w:spacing w:after="0"/>
        <w:ind w:left="1080"/>
        <w:rPr>
          <w:rFonts w:ascii="Times New Roman" w:hAnsi="Times New Roman" w:cs="Times New Roman"/>
        </w:rPr>
      </w:pPr>
    </w:p>
    <w:p w:rsidR="0087112B" w:rsidRDefault="0087112B" w:rsidP="00910474">
      <w:pPr>
        <w:spacing w:after="0" w:line="240" w:lineRule="auto"/>
        <w:rPr>
          <w:rFonts w:ascii="Times New Roman" w:hAnsi="Times New Roman" w:cs="Times New Roman"/>
          <w:b/>
          <w:sz w:val="24"/>
        </w:rPr>
      </w:pPr>
      <w:r>
        <w:rPr>
          <w:rFonts w:ascii="Times New Roman" w:hAnsi="Times New Roman" w:cs="Times New Roman"/>
          <w:b/>
          <w:sz w:val="24"/>
        </w:rPr>
        <w:t xml:space="preserve">Operations Task Force Report </w:t>
      </w:r>
    </w:p>
    <w:p w:rsidR="00512A94" w:rsidRPr="00512A94" w:rsidRDefault="00512A94" w:rsidP="00512A94">
      <w:pPr>
        <w:pStyle w:val="ListParagraph"/>
        <w:numPr>
          <w:ilvl w:val="0"/>
          <w:numId w:val="38"/>
        </w:numPr>
        <w:spacing w:after="0"/>
        <w:rPr>
          <w:rFonts w:ascii="Times New Roman" w:hAnsi="Times New Roman" w:cs="Times New Roman"/>
          <w:sz w:val="24"/>
        </w:rPr>
      </w:pPr>
      <w:r w:rsidRPr="00512A94">
        <w:rPr>
          <w:rFonts w:ascii="Times New Roman" w:hAnsi="Times New Roman" w:cs="Times New Roman"/>
          <w:sz w:val="24"/>
        </w:rPr>
        <w:t>No items on this month’s agenda.</w:t>
      </w:r>
    </w:p>
    <w:p w:rsidR="00104A89" w:rsidRPr="00DF64DC" w:rsidRDefault="00104A89" w:rsidP="00C61410">
      <w:pPr>
        <w:spacing w:after="0"/>
        <w:rPr>
          <w:rFonts w:ascii="Times New Roman" w:hAnsi="Times New Roman" w:cs="Times New Roman"/>
          <w:sz w:val="24"/>
        </w:rPr>
      </w:pPr>
    </w:p>
    <w:p w:rsidR="00655E7C" w:rsidRDefault="006350A2" w:rsidP="00C61410">
      <w:pPr>
        <w:spacing w:after="0"/>
        <w:rPr>
          <w:rFonts w:ascii="Times New Roman" w:hAnsi="Times New Roman" w:cs="Times New Roman"/>
          <w:b/>
        </w:rPr>
      </w:pPr>
      <w:r w:rsidRPr="006350A2">
        <w:rPr>
          <w:rFonts w:ascii="Times New Roman" w:hAnsi="Times New Roman" w:cs="Times New Roman"/>
          <w:b/>
        </w:rPr>
        <w:t>Seminar Task Force Report</w:t>
      </w:r>
    </w:p>
    <w:p w:rsidR="007F12A8" w:rsidRPr="00DF64DC" w:rsidRDefault="00512A94" w:rsidP="00F103F5">
      <w:pPr>
        <w:pStyle w:val="ListParagraph"/>
        <w:numPr>
          <w:ilvl w:val="0"/>
          <w:numId w:val="10"/>
        </w:numPr>
        <w:rPr>
          <w:rFonts w:ascii="Times New Roman" w:hAnsi="Times New Roman" w:cs="Times New Roman"/>
          <w:sz w:val="24"/>
        </w:rPr>
      </w:pPr>
      <w:r w:rsidRPr="00512A94">
        <w:rPr>
          <w:rFonts w:ascii="Times New Roman" w:hAnsi="Times New Roman" w:cs="Times New Roman"/>
          <w:sz w:val="24"/>
        </w:rPr>
        <w:t xml:space="preserve">Stacy </w:t>
      </w:r>
      <w:r>
        <w:rPr>
          <w:rFonts w:ascii="Times New Roman" w:hAnsi="Times New Roman" w:cs="Times New Roman"/>
          <w:sz w:val="24"/>
        </w:rPr>
        <w:t xml:space="preserve">Wozny with ERCOT </w:t>
      </w:r>
      <w:r w:rsidRPr="00512A94">
        <w:rPr>
          <w:rFonts w:ascii="Times New Roman" w:hAnsi="Times New Roman" w:cs="Times New Roman"/>
          <w:sz w:val="24"/>
        </w:rPr>
        <w:t>gave update; speaker line up was changed some.  CEH will be 15 if going to Generators break out session and 16 for Transmission break out session.  Market Notice will be going out next week.  Facility in Lakeway will be great and food will be awesome.</w:t>
      </w:r>
    </w:p>
    <w:p w:rsidR="00104A89" w:rsidRPr="00AD65B2" w:rsidRDefault="00104A89" w:rsidP="00104A89">
      <w:pPr>
        <w:pStyle w:val="ListParagraph"/>
        <w:spacing w:after="0"/>
        <w:ind w:left="1080"/>
        <w:rPr>
          <w:rFonts w:ascii="Times New Roman" w:hAnsi="Times New Roman" w:cs="Times New Roman"/>
        </w:rPr>
      </w:pPr>
    </w:p>
    <w:p w:rsidR="008251DB" w:rsidRDefault="00FB0BBC" w:rsidP="006E148A">
      <w:pPr>
        <w:spacing w:after="0"/>
        <w:rPr>
          <w:rFonts w:ascii="Times New Roman" w:hAnsi="Times New Roman" w:cs="Times New Roman"/>
          <w:b/>
          <w:sz w:val="24"/>
        </w:rPr>
      </w:pPr>
      <w:r w:rsidRPr="009B6AA6">
        <w:rPr>
          <w:rFonts w:ascii="Times New Roman" w:hAnsi="Times New Roman" w:cs="Times New Roman"/>
          <w:b/>
          <w:sz w:val="24"/>
        </w:rPr>
        <w:t>T</w:t>
      </w:r>
      <w:r w:rsidR="003D7863">
        <w:rPr>
          <w:rFonts w:ascii="Times New Roman" w:hAnsi="Times New Roman" w:cs="Times New Roman"/>
          <w:b/>
          <w:sz w:val="24"/>
        </w:rPr>
        <w:t xml:space="preserve">exas </w:t>
      </w:r>
      <w:r w:rsidRPr="009B6AA6">
        <w:rPr>
          <w:rFonts w:ascii="Times New Roman" w:hAnsi="Times New Roman" w:cs="Times New Roman"/>
          <w:b/>
          <w:sz w:val="24"/>
        </w:rPr>
        <w:t>RE Update</w:t>
      </w:r>
      <w:r w:rsidR="008251DB">
        <w:rPr>
          <w:rFonts w:ascii="Times New Roman" w:hAnsi="Times New Roman" w:cs="Times New Roman"/>
          <w:b/>
          <w:sz w:val="24"/>
        </w:rPr>
        <w:t xml:space="preserve"> Report </w:t>
      </w:r>
    </w:p>
    <w:p w:rsidR="00F103F5" w:rsidRPr="000671C0" w:rsidRDefault="000671C0" w:rsidP="000671C0">
      <w:pPr>
        <w:pStyle w:val="ListParagraph"/>
        <w:numPr>
          <w:ilvl w:val="0"/>
          <w:numId w:val="10"/>
        </w:numPr>
        <w:spacing w:after="0"/>
        <w:rPr>
          <w:rFonts w:ascii="Times New Roman" w:hAnsi="Times New Roman" w:cs="Times New Roman"/>
        </w:rPr>
      </w:pPr>
      <w:r w:rsidRPr="000671C0">
        <w:rPr>
          <w:rFonts w:ascii="Times New Roman" w:hAnsi="Times New Roman" w:cs="Times New Roman"/>
          <w:sz w:val="24"/>
        </w:rPr>
        <w:t xml:space="preserve">David Penney with Texas RE gave update, </w:t>
      </w:r>
      <w:proofErr w:type="gramStart"/>
      <w:r w:rsidRPr="000671C0">
        <w:rPr>
          <w:rFonts w:ascii="Times New Roman" w:hAnsi="Times New Roman" w:cs="Times New Roman"/>
          <w:sz w:val="24"/>
        </w:rPr>
        <w:t>Out</w:t>
      </w:r>
      <w:proofErr w:type="gramEnd"/>
      <w:r w:rsidRPr="000671C0">
        <w:rPr>
          <w:rFonts w:ascii="Times New Roman" w:hAnsi="Times New Roman" w:cs="Times New Roman"/>
          <w:sz w:val="24"/>
        </w:rPr>
        <w:t xml:space="preserve"> for ballot - TPL-007 and PRC-019 and PRC -024. SPS definition has been approved and going to NERC Broad; SPS will now be called RAS.  All references to SPS will be removed; will need to update operating guides.</w:t>
      </w:r>
      <w:r>
        <w:rPr>
          <w:rFonts w:ascii="Times New Roman" w:hAnsi="Times New Roman" w:cs="Times New Roman"/>
          <w:sz w:val="24"/>
        </w:rPr>
        <w:t xml:space="preserve"> </w:t>
      </w:r>
      <w:r w:rsidRPr="000671C0">
        <w:rPr>
          <w:rFonts w:ascii="Times New Roman" w:hAnsi="Times New Roman" w:cs="Times New Roman"/>
          <w:sz w:val="24"/>
        </w:rPr>
        <w:t>With PRC-002, will need to look at PMU locations</w:t>
      </w:r>
    </w:p>
    <w:p w:rsidR="000671C0" w:rsidRPr="000671C0" w:rsidRDefault="000671C0" w:rsidP="000671C0">
      <w:pPr>
        <w:pStyle w:val="ListParagraph"/>
        <w:spacing w:after="0"/>
        <w:ind w:left="1080"/>
        <w:rPr>
          <w:rFonts w:ascii="Times New Roman" w:hAnsi="Times New Roman" w:cs="Times New Roman"/>
        </w:rPr>
      </w:pPr>
    </w:p>
    <w:p w:rsidR="00347FA3" w:rsidRDefault="00347FA3" w:rsidP="00347FA3">
      <w:pPr>
        <w:spacing w:after="0"/>
        <w:rPr>
          <w:rFonts w:ascii="Times New Roman" w:hAnsi="Times New Roman" w:cs="Times New Roman"/>
          <w:b/>
          <w:sz w:val="24"/>
        </w:rPr>
      </w:pPr>
      <w:r>
        <w:rPr>
          <w:rFonts w:ascii="Times New Roman" w:hAnsi="Times New Roman" w:cs="Times New Roman"/>
          <w:b/>
          <w:sz w:val="24"/>
        </w:rPr>
        <w:t xml:space="preserve">System Operations Report </w:t>
      </w:r>
    </w:p>
    <w:p w:rsidR="00A5619A" w:rsidRDefault="000671C0" w:rsidP="000671C0">
      <w:pPr>
        <w:pStyle w:val="ListParagraph"/>
        <w:numPr>
          <w:ilvl w:val="0"/>
          <w:numId w:val="34"/>
        </w:numPr>
        <w:spacing w:after="0"/>
        <w:rPr>
          <w:rFonts w:ascii="Times New Roman" w:hAnsi="Times New Roman" w:cs="Times New Roman"/>
        </w:rPr>
      </w:pPr>
      <w:r w:rsidRPr="000671C0">
        <w:rPr>
          <w:rFonts w:ascii="Times New Roman" w:hAnsi="Times New Roman" w:cs="Times New Roman"/>
        </w:rPr>
        <w:t>Next procedure updates will be 12/15/14; references to West to North will be removed since the IROL will be eliminated on 12/1/14.</w:t>
      </w:r>
    </w:p>
    <w:p w:rsidR="00D2410D" w:rsidRDefault="00D2410D" w:rsidP="00D2410D">
      <w:pPr>
        <w:pStyle w:val="ListParagraph"/>
        <w:spacing w:after="0"/>
        <w:ind w:left="1080"/>
        <w:rPr>
          <w:rFonts w:ascii="Times New Roman" w:hAnsi="Times New Roman" w:cs="Times New Roman"/>
        </w:rPr>
      </w:pPr>
    </w:p>
    <w:p w:rsidR="000671C0" w:rsidRPr="000671C0" w:rsidRDefault="000671C0" w:rsidP="000671C0">
      <w:pPr>
        <w:spacing w:after="0"/>
        <w:rPr>
          <w:rFonts w:ascii="Times New Roman" w:hAnsi="Times New Roman" w:cs="Times New Roman"/>
          <w:b/>
          <w:sz w:val="24"/>
        </w:rPr>
      </w:pPr>
      <w:r w:rsidRPr="000671C0">
        <w:rPr>
          <w:rFonts w:ascii="Times New Roman" w:hAnsi="Times New Roman" w:cs="Times New Roman"/>
          <w:b/>
          <w:sz w:val="24"/>
        </w:rPr>
        <w:t>Operations Training Working Group</w:t>
      </w:r>
    </w:p>
    <w:p w:rsidR="000671C0" w:rsidRPr="00D2410D" w:rsidRDefault="00D2410D" w:rsidP="000671C0">
      <w:pPr>
        <w:pStyle w:val="ListParagraph"/>
        <w:numPr>
          <w:ilvl w:val="0"/>
          <w:numId w:val="34"/>
        </w:numPr>
        <w:spacing w:after="0"/>
        <w:rPr>
          <w:rFonts w:ascii="Times New Roman" w:hAnsi="Times New Roman" w:cs="Times New Roman"/>
          <w:sz w:val="24"/>
        </w:rPr>
      </w:pPr>
      <w:r w:rsidRPr="00D2410D">
        <w:rPr>
          <w:rFonts w:ascii="Times New Roman" w:hAnsi="Times New Roman" w:cs="Times New Roman"/>
          <w:sz w:val="24"/>
        </w:rPr>
        <w:t xml:space="preserve">Kelly Blackmer with ERCOT gave update, </w:t>
      </w:r>
      <w:r w:rsidR="000671C0" w:rsidRPr="00D2410D">
        <w:rPr>
          <w:rFonts w:ascii="Times New Roman" w:hAnsi="Times New Roman" w:cs="Times New Roman"/>
          <w:sz w:val="24"/>
        </w:rPr>
        <w:t>Chair is James Stone and vice chair is Steve Rainwater</w:t>
      </w:r>
      <w:r w:rsidRPr="00D2410D">
        <w:rPr>
          <w:rFonts w:ascii="Times New Roman" w:hAnsi="Times New Roman" w:cs="Times New Roman"/>
          <w:sz w:val="24"/>
        </w:rPr>
        <w:t xml:space="preserve">. </w:t>
      </w:r>
      <w:r w:rsidR="000671C0" w:rsidRPr="00D2410D">
        <w:rPr>
          <w:rFonts w:ascii="Times New Roman" w:hAnsi="Times New Roman" w:cs="Times New Roman"/>
          <w:sz w:val="24"/>
        </w:rPr>
        <w:t>Winter Storm drill will be in 2015 and Hurricane drill will be in 2016</w:t>
      </w:r>
      <w:r w:rsidRPr="00D2410D">
        <w:rPr>
          <w:rFonts w:ascii="Times New Roman" w:hAnsi="Times New Roman" w:cs="Times New Roman"/>
          <w:sz w:val="24"/>
        </w:rPr>
        <w:t>.</w:t>
      </w:r>
      <w:r>
        <w:rPr>
          <w:rFonts w:ascii="Times New Roman" w:hAnsi="Times New Roman" w:cs="Times New Roman"/>
          <w:sz w:val="24"/>
        </w:rPr>
        <w:t xml:space="preserve"> </w:t>
      </w:r>
      <w:r w:rsidR="000671C0" w:rsidRPr="00D2410D">
        <w:rPr>
          <w:rFonts w:ascii="Times New Roman" w:hAnsi="Times New Roman" w:cs="Times New Roman"/>
          <w:sz w:val="24"/>
        </w:rPr>
        <w:t>Working on ERCOT fundamentals re-write and then will re-write the exams</w:t>
      </w:r>
    </w:p>
    <w:p w:rsidR="000671C0" w:rsidRDefault="000671C0" w:rsidP="000671C0">
      <w:pPr>
        <w:pStyle w:val="ListParagraph"/>
        <w:spacing w:after="0"/>
        <w:ind w:left="1080"/>
        <w:rPr>
          <w:rFonts w:ascii="Times New Roman" w:hAnsi="Times New Roman" w:cs="Times New Roman"/>
        </w:rPr>
      </w:pPr>
    </w:p>
    <w:p w:rsidR="00006E8B" w:rsidRDefault="00672302" w:rsidP="00006E8B">
      <w:pPr>
        <w:spacing w:after="0"/>
        <w:rPr>
          <w:rFonts w:ascii="Times New Roman" w:hAnsi="Times New Roman" w:cs="Times New Roman"/>
          <w:b/>
          <w:sz w:val="24"/>
        </w:rPr>
      </w:pPr>
      <w:r w:rsidRPr="009B6AA6">
        <w:rPr>
          <w:rFonts w:ascii="Times New Roman" w:hAnsi="Times New Roman" w:cs="Times New Roman"/>
          <w:b/>
          <w:sz w:val="24"/>
        </w:rPr>
        <w:t xml:space="preserve">Other – </w:t>
      </w:r>
    </w:p>
    <w:p w:rsidR="00D2410D" w:rsidRPr="00D2410D" w:rsidRDefault="00D2410D" w:rsidP="00D2410D">
      <w:pPr>
        <w:pStyle w:val="ListParagraph"/>
        <w:numPr>
          <w:ilvl w:val="0"/>
          <w:numId w:val="34"/>
        </w:numPr>
        <w:spacing w:after="0"/>
        <w:rPr>
          <w:rFonts w:ascii="Times New Roman" w:hAnsi="Times New Roman" w:cs="Times New Roman"/>
          <w:sz w:val="24"/>
        </w:rPr>
      </w:pPr>
      <w:r w:rsidRPr="00D2410D">
        <w:rPr>
          <w:rFonts w:ascii="Times New Roman" w:hAnsi="Times New Roman" w:cs="Times New Roman"/>
          <w:sz w:val="24"/>
        </w:rPr>
        <w:t>Frank pointed out the meeting schedule for next year.</w:t>
      </w:r>
    </w:p>
    <w:p w:rsidR="00D2410D" w:rsidRPr="00D2410D" w:rsidRDefault="00D2410D" w:rsidP="00D2410D">
      <w:pPr>
        <w:pStyle w:val="ListParagraph"/>
        <w:spacing w:after="0"/>
        <w:ind w:left="1080"/>
        <w:rPr>
          <w:rFonts w:ascii="Times New Roman" w:hAnsi="Times New Roman" w:cs="Times New Roman"/>
          <w:sz w:val="24"/>
        </w:rPr>
      </w:pPr>
    </w:p>
    <w:p w:rsidR="00D2410D" w:rsidRPr="00D2410D" w:rsidRDefault="00D2410D" w:rsidP="00D2410D">
      <w:pPr>
        <w:pStyle w:val="ListParagraph"/>
        <w:numPr>
          <w:ilvl w:val="0"/>
          <w:numId w:val="34"/>
        </w:numPr>
        <w:spacing w:after="0"/>
        <w:rPr>
          <w:rFonts w:ascii="Times New Roman" w:hAnsi="Times New Roman" w:cs="Times New Roman"/>
          <w:sz w:val="24"/>
        </w:rPr>
      </w:pPr>
      <w:r w:rsidRPr="00D2410D">
        <w:rPr>
          <w:rFonts w:ascii="Times New Roman" w:hAnsi="Times New Roman" w:cs="Times New Roman"/>
          <w:sz w:val="24"/>
        </w:rPr>
        <w:t>For 2015, OWG elected John Warren as Chair and Matt Carter as Vice Chair.</w:t>
      </w:r>
    </w:p>
    <w:p w:rsidR="00D2410D" w:rsidRPr="00D2410D" w:rsidRDefault="00D2410D" w:rsidP="00D2410D">
      <w:pPr>
        <w:pStyle w:val="ListParagraph"/>
        <w:spacing w:after="0"/>
        <w:ind w:left="1080"/>
        <w:rPr>
          <w:rFonts w:ascii="Times New Roman" w:hAnsi="Times New Roman" w:cs="Times New Roman"/>
          <w:sz w:val="24"/>
        </w:rPr>
      </w:pPr>
    </w:p>
    <w:p w:rsidR="00D2410D" w:rsidRPr="00D2410D" w:rsidRDefault="00D2410D" w:rsidP="00D2410D">
      <w:pPr>
        <w:pStyle w:val="ListParagraph"/>
        <w:numPr>
          <w:ilvl w:val="0"/>
          <w:numId w:val="34"/>
        </w:numPr>
        <w:spacing w:after="0"/>
        <w:rPr>
          <w:rFonts w:ascii="Times New Roman" w:hAnsi="Times New Roman" w:cs="Times New Roman"/>
          <w:sz w:val="24"/>
        </w:rPr>
      </w:pPr>
      <w:r w:rsidRPr="00D2410D">
        <w:rPr>
          <w:rFonts w:ascii="Times New Roman" w:hAnsi="Times New Roman" w:cs="Times New Roman"/>
          <w:sz w:val="24"/>
        </w:rPr>
        <w:t>Julie Thomas, Chair of the MIS User Group discussed NOGRR084 which is the Daily Grid Report.   Julie provided a spreadsheet with changes being proposed with the data elements, it shows what the difference is between the original NOGRR and what is being suggested now.  ERCOT will submit a NOGRR to try and move this forward.</w:t>
      </w:r>
    </w:p>
    <w:p w:rsidR="00D2410D" w:rsidRPr="00D2410D" w:rsidRDefault="00D2410D" w:rsidP="00D2410D">
      <w:pPr>
        <w:pStyle w:val="ListParagraph"/>
        <w:spacing w:after="0"/>
        <w:ind w:left="1080"/>
        <w:rPr>
          <w:rFonts w:ascii="Times New Roman" w:hAnsi="Times New Roman" w:cs="Times New Roman"/>
          <w:sz w:val="24"/>
        </w:rPr>
      </w:pPr>
    </w:p>
    <w:p w:rsidR="00D2410D" w:rsidRPr="00D2410D" w:rsidRDefault="00D2410D" w:rsidP="00D2410D">
      <w:pPr>
        <w:pStyle w:val="ListParagraph"/>
        <w:numPr>
          <w:ilvl w:val="0"/>
          <w:numId w:val="34"/>
        </w:numPr>
        <w:spacing w:after="0"/>
        <w:rPr>
          <w:rFonts w:ascii="Times New Roman" w:hAnsi="Times New Roman" w:cs="Times New Roman"/>
          <w:sz w:val="24"/>
        </w:rPr>
      </w:pPr>
      <w:proofErr w:type="spellStart"/>
      <w:r w:rsidRPr="00D2410D">
        <w:rPr>
          <w:rFonts w:ascii="Times New Roman" w:hAnsi="Times New Roman" w:cs="Times New Roman"/>
          <w:sz w:val="24"/>
        </w:rPr>
        <w:t>Eithar</w:t>
      </w:r>
      <w:proofErr w:type="spellEnd"/>
      <w:r w:rsidRPr="00D2410D">
        <w:rPr>
          <w:rFonts w:ascii="Times New Roman" w:hAnsi="Times New Roman" w:cs="Times New Roman"/>
          <w:sz w:val="24"/>
        </w:rPr>
        <w:t xml:space="preserve">, Chair of Voltage Reduced Task Force gave presentation on voltage reduction.  Voltage reduction is done in EEA 2 which is optional for TOs.  Four TOs participated in the testing both winter and summer to determine how much reduction benefit </w:t>
      </w:r>
      <w:r w:rsidRPr="00D2410D">
        <w:rPr>
          <w:rFonts w:ascii="Times New Roman" w:hAnsi="Times New Roman" w:cs="Times New Roman"/>
          <w:sz w:val="24"/>
        </w:rPr>
        <w:lastRenderedPageBreak/>
        <w:t>provides.  The final report can be found on the ROS meeting page under the September 4, 2014 meeting.  Highlights below:</w:t>
      </w:r>
    </w:p>
    <w:p w:rsidR="00D2410D" w:rsidRPr="00D2410D" w:rsidRDefault="00D2410D" w:rsidP="00D2410D">
      <w:pPr>
        <w:pStyle w:val="ListParagraph"/>
        <w:numPr>
          <w:ilvl w:val="1"/>
          <w:numId w:val="34"/>
        </w:numPr>
        <w:spacing w:after="0"/>
        <w:rPr>
          <w:rFonts w:ascii="Times New Roman" w:hAnsi="Times New Roman" w:cs="Times New Roman"/>
          <w:sz w:val="24"/>
        </w:rPr>
      </w:pPr>
      <w:r w:rsidRPr="00D2410D">
        <w:rPr>
          <w:rFonts w:ascii="Times New Roman" w:hAnsi="Times New Roman" w:cs="Times New Roman"/>
          <w:sz w:val="24"/>
        </w:rPr>
        <w:t xml:space="preserve"> For the designated areas, independently chosen by each utility, included in voltage reduction testing, a 1% to 2% average demand reduction was observed during the test periods.  </w:t>
      </w:r>
    </w:p>
    <w:p w:rsidR="00D2410D" w:rsidRPr="00D2410D" w:rsidRDefault="00D2410D" w:rsidP="00D2410D">
      <w:pPr>
        <w:pStyle w:val="ListParagraph"/>
        <w:numPr>
          <w:ilvl w:val="1"/>
          <w:numId w:val="34"/>
        </w:numPr>
        <w:spacing w:after="0"/>
        <w:rPr>
          <w:rFonts w:ascii="Times New Roman" w:hAnsi="Times New Roman" w:cs="Times New Roman"/>
          <w:sz w:val="24"/>
        </w:rPr>
      </w:pPr>
      <w:r w:rsidRPr="00D2410D">
        <w:rPr>
          <w:rFonts w:ascii="Times New Roman" w:hAnsi="Times New Roman" w:cs="Times New Roman"/>
          <w:sz w:val="24"/>
        </w:rPr>
        <w:t>Tests indicated that for every 1% drop in substation bus voltage an average of 0.6-1.0% drop in demand was observed.</w:t>
      </w:r>
    </w:p>
    <w:p w:rsidR="00D2410D" w:rsidRPr="00D2410D" w:rsidRDefault="00D2410D" w:rsidP="00D2410D">
      <w:pPr>
        <w:pStyle w:val="ListParagraph"/>
        <w:numPr>
          <w:ilvl w:val="1"/>
          <w:numId w:val="34"/>
        </w:numPr>
        <w:spacing w:after="0"/>
        <w:rPr>
          <w:rFonts w:ascii="Times New Roman" w:hAnsi="Times New Roman" w:cs="Times New Roman"/>
          <w:sz w:val="24"/>
        </w:rPr>
      </w:pPr>
      <w:r w:rsidRPr="00D2410D">
        <w:rPr>
          <w:rFonts w:ascii="Times New Roman" w:hAnsi="Times New Roman" w:cs="Times New Roman"/>
          <w:sz w:val="24"/>
        </w:rPr>
        <w:t>Results were similar to what has been observed in areas outside of ERCOT (e.g. New York ISO, New England ISO, Midwest ISO, PJM RTO, and Independent Electricity System Operator “Ontario”).</w:t>
      </w:r>
    </w:p>
    <w:p w:rsidR="00D2410D" w:rsidRPr="00D2410D" w:rsidRDefault="00D2410D" w:rsidP="00D2410D">
      <w:pPr>
        <w:pStyle w:val="ListParagraph"/>
        <w:numPr>
          <w:ilvl w:val="1"/>
          <w:numId w:val="34"/>
        </w:numPr>
        <w:spacing w:after="0"/>
        <w:rPr>
          <w:rFonts w:ascii="Times New Roman" w:hAnsi="Times New Roman" w:cs="Times New Roman"/>
          <w:sz w:val="24"/>
        </w:rPr>
      </w:pPr>
      <w:r w:rsidRPr="00D2410D">
        <w:rPr>
          <w:rFonts w:ascii="Times New Roman" w:hAnsi="Times New Roman" w:cs="Times New Roman"/>
          <w:sz w:val="24"/>
        </w:rPr>
        <w:t xml:space="preserve"> Advancements in substation regulation controls and the installation of Advanced Metering Systems have the potential to improve voltage reduction programs. </w:t>
      </w:r>
    </w:p>
    <w:p w:rsidR="00D2410D" w:rsidRPr="00D2410D" w:rsidRDefault="00D2410D" w:rsidP="00D2410D">
      <w:pPr>
        <w:pStyle w:val="ListParagraph"/>
        <w:numPr>
          <w:ilvl w:val="1"/>
          <w:numId w:val="34"/>
        </w:numPr>
        <w:spacing w:after="0"/>
        <w:rPr>
          <w:rFonts w:ascii="Times New Roman" w:hAnsi="Times New Roman" w:cs="Times New Roman"/>
          <w:sz w:val="24"/>
        </w:rPr>
      </w:pPr>
      <w:r w:rsidRPr="00D2410D">
        <w:rPr>
          <w:rFonts w:ascii="Times New Roman" w:hAnsi="Times New Roman" w:cs="Times New Roman"/>
          <w:sz w:val="24"/>
        </w:rPr>
        <w:t>The availability of a deployed control system enables the remote implementation of voltage r</w:t>
      </w:r>
      <w:bookmarkStart w:id="0" w:name="_GoBack"/>
      <w:bookmarkEnd w:id="0"/>
      <w:r w:rsidRPr="00D2410D">
        <w:rPr>
          <w:rFonts w:ascii="Times New Roman" w:hAnsi="Times New Roman" w:cs="Times New Roman"/>
          <w:sz w:val="24"/>
        </w:rPr>
        <w:t>eduction schemes on a large scale within 5 to 15 minutes.</w:t>
      </w:r>
    </w:p>
    <w:p w:rsidR="00D2410D" w:rsidRPr="00D2410D" w:rsidRDefault="00D2410D" w:rsidP="00D2410D">
      <w:pPr>
        <w:pStyle w:val="ListParagraph"/>
        <w:numPr>
          <w:ilvl w:val="1"/>
          <w:numId w:val="34"/>
        </w:numPr>
        <w:spacing w:after="0"/>
        <w:rPr>
          <w:rFonts w:ascii="Times New Roman" w:hAnsi="Times New Roman" w:cs="Times New Roman"/>
          <w:sz w:val="24"/>
        </w:rPr>
      </w:pPr>
      <w:r w:rsidRPr="00D2410D">
        <w:rPr>
          <w:rFonts w:ascii="Times New Roman" w:hAnsi="Times New Roman" w:cs="Times New Roman"/>
          <w:sz w:val="24"/>
        </w:rPr>
        <w:t>The efficiency of voltage reduction is dependent upon circuit topography, load characteristics and system design.</w:t>
      </w:r>
    </w:p>
    <w:p w:rsidR="00D2410D" w:rsidRPr="00D2410D" w:rsidRDefault="00D2410D" w:rsidP="00D2410D">
      <w:pPr>
        <w:pStyle w:val="ListParagraph"/>
        <w:numPr>
          <w:ilvl w:val="1"/>
          <w:numId w:val="34"/>
        </w:numPr>
        <w:spacing w:after="0"/>
        <w:rPr>
          <w:rFonts w:ascii="Times New Roman" w:hAnsi="Times New Roman" w:cs="Times New Roman"/>
          <w:sz w:val="24"/>
        </w:rPr>
      </w:pPr>
      <w:r w:rsidRPr="00D2410D">
        <w:rPr>
          <w:rFonts w:ascii="Times New Roman" w:hAnsi="Times New Roman" w:cs="Times New Roman"/>
          <w:sz w:val="24"/>
        </w:rPr>
        <w:t>No adverse customer impact was reported as a result of the voltage reduction testing (circuits deemed to have adverse customer impacts were excluded from testing).</w:t>
      </w:r>
    </w:p>
    <w:p w:rsidR="00D2410D" w:rsidRPr="00D2410D" w:rsidRDefault="00D2410D" w:rsidP="00D2410D">
      <w:pPr>
        <w:pStyle w:val="ListParagraph"/>
        <w:spacing w:after="0"/>
        <w:ind w:left="1080"/>
        <w:rPr>
          <w:rFonts w:ascii="Times New Roman" w:hAnsi="Times New Roman" w:cs="Times New Roman"/>
          <w:sz w:val="24"/>
        </w:rPr>
      </w:pPr>
    </w:p>
    <w:p w:rsidR="00D2410D" w:rsidRPr="00D2410D" w:rsidRDefault="00D2410D" w:rsidP="00D2410D">
      <w:pPr>
        <w:pStyle w:val="ListParagraph"/>
        <w:numPr>
          <w:ilvl w:val="0"/>
          <w:numId w:val="34"/>
        </w:numPr>
        <w:spacing w:after="0"/>
        <w:rPr>
          <w:rFonts w:ascii="Times New Roman" w:hAnsi="Times New Roman" w:cs="Times New Roman"/>
          <w:sz w:val="24"/>
        </w:rPr>
      </w:pPr>
      <w:proofErr w:type="spellStart"/>
      <w:r w:rsidRPr="00D2410D">
        <w:rPr>
          <w:rFonts w:ascii="Times New Roman" w:hAnsi="Times New Roman" w:cs="Times New Roman"/>
          <w:sz w:val="24"/>
        </w:rPr>
        <w:t>Eithar</w:t>
      </w:r>
      <w:proofErr w:type="spellEnd"/>
      <w:r w:rsidRPr="00D2410D">
        <w:rPr>
          <w:rFonts w:ascii="Times New Roman" w:hAnsi="Times New Roman" w:cs="Times New Roman"/>
          <w:sz w:val="24"/>
        </w:rPr>
        <w:t xml:space="preserve"> will be sending a questionnaire to the OWG group so that he can get an idea of what is will take and cost to increase participation in voltage reduction in EEA 2.</w:t>
      </w:r>
    </w:p>
    <w:p w:rsidR="00D2410D" w:rsidRPr="00D2410D" w:rsidRDefault="00D2410D" w:rsidP="00D2410D">
      <w:pPr>
        <w:pStyle w:val="ListParagraph"/>
        <w:spacing w:after="0"/>
        <w:ind w:left="1080"/>
        <w:rPr>
          <w:rFonts w:ascii="Times New Roman" w:hAnsi="Times New Roman" w:cs="Times New Roman"/>
          <w:sz w:val="24"/>
        </w:rPr>
      </w:pPr>
    </w:p>
    <w:p w:rsidR="00D2410D" w:rsidRPr="00D2410D" w:rsidRDefault="00D2410D" w:rsidP="00D2410D">
      <w:pPr>
        <w:pStyle w:val="ListParagraph"/>
        <w:numPr>
          <w:ilvl w:val="0"/>
          <w:numId w:val="34"/>
        </w:numPr>
        <w:spacing w:after="0"/>
        <w:rPr>
          <w:rFonts w:ascii="Times New Roman" w:hAnsi="Times New Roman" w:cs="Times New Roman"/>
          <w:sz w:val="24"/>
        </w:rPr>
      </w:pPr>
      <w:r w:rsidRPr="00D2410D">
        <w:rPr>
          <w:rFonts w:ascii="Times New Roman" w:hAnsi="Times New Roman" w:cs="Times New Roman"/>
          <w:sz w:val="24"/>
        </w:rPr>
        <w:t xml:space="preserve">Stephen Solis with ERCOT presented a voltage workshop concept with a draft agenda if the group thought there would be benefit.  The group definitely wanted the workshop and thought it should be 1 ½ to 2 days.  Stephen asked for a few TO </w:t>
      </w:r>
      <w:proofErr w:type="spellStart"/>
      <w:r w:rsidRPr="00D2410D">
        <w:rPr>
          <w:rFonts w:ascii="Times New Roman" w:hAnsi="Times New Roman" w:cs="Times New Roman"/>
          <w:sz w:val="24"/>
        </w:rPr>
        <w:t>to</w:t>
      </w:r>
      <w:proofErr w:type="spellEnd"/>
      <w:r w:rsidRPr="00D2410D">
        <w:rPr>
          <w:rFonts w:ascii="Times New Roman" w:hAnsi="Times New Roman" w:cs="Times New Roman"/>
          <w:sz w:val="24"/>
        </w:rPr>
        <w:t xml:space="preserve"> present their issues.  January or February would be a good time to schedule the workshop.</w:t>
      </w:r>
    </w:p>
    <w:p w:rsidR="00F3409E" w:rsidRDefault="00F3409E" w:rsidP="00D2410D">
      <w:pPr>
        <w:pStyle w:val="ListParagraph"/>
        <w:spacing w:after="0"/>
        <w:ind w:left="1080"/>
        <w:rPr>
          <w:rFonts w:ascii="Times New Roman" w:hAnsi="Times New Roman" w:cs="Times New Roman"/>
          <w:b/>
        </w:rPr>
      </w:pPr>
    </w:p>
    <w:p w:rsidR="00F3409E" w:rsidRPr="00EF66B0" w:rsidRDefault="00F3409E" w:rsidP="00EF66B0">
      <w:pPr>
        <w:pStyle w:val="ListParagraph"/>
        <w:spacing w:after="0"/>
        <w:ind w:left="1080"/>
        <w:rPr>
          <w:rFonts w:ascii="Times New Roman" w:hAnsi="Times New Roman" w:cs="Times New Roman"/>
        </w:rPr>
      </w:pPr>
    </w:p>
    <w:p w:rsidR="00364ED7" w:rsidRPr="009B6AA6" w:rsidRDefault="00364ED7" w:rsidP="000F2B8B">
      <w:pPr>
        <w:spacing w:after="0"/>
        <w:rPr>
          <w:rFonts w:ascii="Times New Roman" w:hAnsi="Times New Roman" w:cs="Times New Roman"/>
          <w:b/>
          <w:sz w:val="24"/>
        </w:rPr>
      </w:pPr>
      <w:r w:rsidRPr="009B6AA6">
        <w:rPr>
          <w:rFonts w:ascii="Times New Roman" w:hAnsi="Times New Roman" w:cs="Times New Roman"/>
          <w:b/>
          <w:sz w:val="24"/>
        </w:rPr>
        <w:t xml:space="preserve">Future Meeting Dates – </w:t>
      </w:r>
    </w:p>
    <w:p w:rsidR="007F12A8" w:rsidRPr="00063B20" w:rsidRDefault="00D2410D" w:rsidP="00D2410D">
      <w:pPr>
        <w:pStyle w:val="ListParagraph"/>
        <w:numPr>
          <w:ilvl w:val="0"/>
          <w:numId w:val="28"/>
        </w:numPr>
        <w:rPr>
          <w:rFonts w:cs="Calibri"/>
        </w:rPr>
      </w:pPr>
      <w:r w:rsidRPr="00D2410D">
        <w:rPr>
          <w:rFonts w:ascii="Times New Roman" w:hAnsi="Times New Roman" w:cs="Times New Roman"/>
          <w:bCs/>
          <w:sz w:val="24"/>
        </w:rPr>
        <w:t>Wednesday December 17th ERCOT Met Center room 168.</w:t>
      </w:r>
    </w:p>
    <w:p w:rsidR="00063B20" w:rsidRPr="00063B20" w:rsidRDefault="00063B20" w:rsidP="00063B20">
      <w:pPr>
        <w:pStyle w:val="ListParagraph"/>
        <w:ind w:left="1080"/>
        <w:rPr>
          <w:rFonts w:cs="Calibri"/>
        </w:rPr>
      </w:pPr>
    </w:p>
    <w:p w:rsidR="00063B20" w:rsidRPr="00795470" w:rsidRDefault="00063B20" w:rsidP="00EA6EA7">
      <w:pPr>
        <w:pStyle w:val="ListParagraph"/>
        <w:ind w:left="1080"/>
        <w:rPr>
          <w:rFonts w:ascii="Times New Roman" w:hAnsi="Times New Roman" w:cs="Times New Roman"/>
          <w:bCs/>
          <w:sz w:val="24"/>
        </w:rPr>
      </w:pPr>
    </w:p>
    <w:sectPr w:rsidR="00063B20" w:rsidRPr="00795470" w:rsidSect="00CE2266">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66B0" w:rsidRDefault="00EF66B0" w:rsidP="00EF66B0">
      <w:pPr>
        <w:spacing w:after="0" w:line="240" w:lineRule="auto"/>
      </w:pPr>
      <w:r>
        <w:separator/>
      </w:r>
    </w:p>
  </w:endnote>
  <w:endnote w:type="continuationSeparator" w:id="0">
    <w:p w:rsidR="00EF66B0" w:rsidRDefault="00EF66B0" w:rsidP="00EF66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6B0" w:rsidRDefault="00EF66B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6B0" w:rsidRDefault="00EF66B0">
    <w:pPr>
      <w:pStyle w:val="Footer"/>
    </w:pPr>
  </w:p>
  <w:p w:rsidR="00EF66B0" w:rsidRDefault="00EF66B0"/>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6B0" w:rsidRDefault="00EF66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66B0" w:rsidRDefault="00EF66B0" w:rsidP="00EF66B0">
      <w:pPr>
        <w:spacing w:after="0" w:line="240" w:lineRule="auto"/>
      </w:pPr>
      <w:r>
        <w:separator/>
      </w:r>
    </w:p>
  </w:footnote>
  <w:footnote w:type="continuationSeparator" w:id="0">
    <w:p w:rsidR="00EF66B0" w:rsidRDefault="00EF66B0" w:rsidP="00EF66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6B0" w:rsidRDefault="00EF66B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6B0" w:rsidRDefault="00EF66B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6B0" w:rsidRDefault="00EF66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166C0"/>
    <w:multiLevelType w:val="hybridMultilevel"/>
    <w:tmpl w:val="2918E83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3DB11A5"/>
    <w:multiLevelType w:val="hybridMultilevel"/>
    <w:tmpl w:val="30C450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7611CC"/>
    <w:multiLevelType w:val="hybridMultilevel"/>
    <w:tmpl w:val="C37AB9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7C1DD3"/>
    <w:multiLevelType w:val="hybridMultilevel"/>
    <w:tmpl w:val="B5F03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222DF8"/>
    <w:multiLevelType w:val="hybridMultilevel"/>
    <w:tmpl w:val="80B63A14"/>
    <w:lvl w:ilvl="0" w:tplc="8B0A9CD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AD80036"/>
    <w:multiLevelType w:val="hybridMultilevel"/>
    <w:tmpl w:val="5A7A521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1C0F2DA7"/>
    <w:multiLevelType w:val="hybridMultilevel"/>
    <w:tmpl w:val="5A7A521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1C7158DA"/>
    <w:multiLevelType w:val="hybridMultilevel"/>
    <w:tmpl w:val="F4608A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1CF64793"/>
    <w:multiLevelType w:val="hybridMultilevel"/>
    <w:tmpl w:val="518833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CFF23AC"/>
    <w:multiLevelType w:val="hybridMultilevel"/>
    <w:tmpl w:val="64F696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F413164"/>
    <w:multiLevelType w:val="hybridMultilevel"/>
    <w:tmpl w:val="10A620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21F909B0"/>
    <w:multiLevelType w:val="hybridMultilevel"/>
    <w:tmpl w:val="1140452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239669B2"/>
    <w:multiLevelType w:val="hybridMultilevel"/>
    <w:tmpl w:val="36E08E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29FF6120"/>
    <w:multiLevelType w:val="hybridMultilevel"/>
    <w:tmpl w:val="FEC21416"/>
    <w:lvl w:ilvl="0" w:tplc="04090019">
      <w:start w:val="9"/>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8AB3AB3"/>
    <w:multiLevelType w:val="hybridMultilevel"/>
    <w:tmpl w:val="31EA6B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3D8E397C"/>
    <w:multiLevelType w:val="hybridMultilevel"/>
    <w:tmpl w:val="F45E5C32"/>
    <w:lvl w:ilvl="0" w:tplc="04090003">
      <w:start w:val="1"/>
      <w:numFmt w:val="bullet"/>
      <w:lvlText w:val="o"/>
      <w:lvlJc w:val="left"/>
      <w:pPr>
        <w:ind w:left="360" w:hanging="360"/>
      </w:pPr>
      <w:rPr>
        <w:rFonts w:ascii="Courier New" w:hAnsi="Courier New" w:cs="Courier New" w:hint="default"/>
        <w:b/>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FE8657C"/>
    <w:multiLevelType w:val="hybridMultilevel"/>
    <w:tmpl w:val="2124D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3457DA5"/>
    <w:multiLevelType w:val="hybridMultilevel"/>
    <w:tmpl w:val="EC8670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44CE4EDA"/>
    <w:multiLevelType w:val="hybridMultilevel"/>
    <w:tmpl w:val="1C705BE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14E5485"/>
    <w:multiLevelType w:val="hybridMultilevel"/>
    <w:tmpl w:val="0CC8A3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54464A67"/>
    <w:multiLevelType w:val="hybridMultilevel"/>
    <w:tmpl w:val="124AF5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5D5B3495"/>
    <w:multiLevelType w:val="hybridMultilevel"/>
    <w:tmpl w:val="27FE8D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DA83377"/>
    <w:multiLevelType w:val="hybridMultilevel"/>
    <w:tmpl w:val="37B6947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601F6301"/>
    <w:multiLevelType w:val="hybridMultilevel"/>
    <w:tmpl w:val="BEA2C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47F375C"/>
    <w:multiLevelType w:val="hybridMultilevel"/>
    <w:tmpl w:val="F2181410"/>
    <w:lvl w:ilvl="0" w:tplc="B46035FA">
      <w:start w:val="1"/>
      <w:numFmt w:val="decimal"/>
      <w:lvlText w:val="%1."/>
      <w:lvlJc w:val="left"/>
      <w:pPr>
        <w:ind w:left="360" w:hanging="360"/>
      </w:pPr>
      <w:rPr>
        <w:rFonts w:hint="default"/>
        <w:b/>
      </w:rPr>
    </w:lvl>
    <w:lvl w:ilvl="1" w:tplc="1E365540">
      <w:start w:val="1"/>
      <w:numFmt w:val="lowerLetter"/>
      <w:lvlText w:val="%2."/>
      <w:lvlJc w:val="left"/>
      <w:pPr>
        <w:ind w:left="1080" w:hanging="360"/>
      </w:pPr>
      <w:rPr>
        <w:b w:val="0"/>
        <w:i w:val="0"/>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64B714FF"/>
    <w:multiLevelType w:val="hybridMultilevel"/>
    <w:tmpl w:val="7A14D22E"/>
    <w:lvl w:ilvl="0" w:tplc="BB58CAD4">
      <w:start w:val="1"/>
      <w:numFmt w:val="bullet"/>
      <w:lvlText w:val="•"/>
      <w:lvlJc w:val="left"/>
      <w:pPr>
        <w:tabs>
          <w:tab w:val="num" w:pos="720"/>
        </w:tabs>
        <w:ind w:left="720" w:hanging="360"/>
      </w:pPr>
      <w:rPr>
        <w:rFonts w:ascii="Arial" w:hAnsi="Arial" w:hint="default"/>
      </w:rPr>
    </w:lvl>
    <w:lvl w:ilvl="1" w:tplc="CD7A3D10" w:tentative="1">
      <w:start w:val="1"/>
      <w:numFmt w:val="bullet"/>
      <w:lvlText w:val="•"/>
      <w:lvlJc w:val="left"/>
      <w:pPr>
        <w:tabs>
          <w:tab w:val="num" w:pos="1440"/>
        </w:tabs>
        <w:ind w:left="1440" w:hanging="360"/>
      </w:pPr>
      <w:rPr>
        <w:rFonts w:ascii="Arial" w:hAnsi="Arial" w:hint="default"/>
      </w:rPr>
    </w:lvl>
    <w:lvl w:ilvl="2" w:tplc="1DA4804C" w:tentative="1">
      <w:start w:val="1"/>
      <w:numFmt w:val="bullet"/>
      <w:lvlText w:val="•"/>
      <w:lvlJc w:val="left"/>
      <w:pPr>
        <w:tabs>
          <w:tab w:val="num" w:pos="2160"/>
        </w:tabs>
        <w:ind w:left="2160" w:hanging="360"/>
      </w:pPr>
      <w:rPr>
        <w:rFonts w:ascii="Arial" w:hAnsi="Arial" w:hint="default"/>
      </w:rPr>
    </w:lvl>
    <w:lvl w:ilvl="3" w:tplc="466C0E70" w:tentative="1">
      <w:start w:val="1"/>
      <w:numFmt w:val="bullet"/>
      <w:lvlText w:val="•"/>
      <w:lvlJc w:val="left"/>
      <w:pPr>
        <w:tabs>
          <w:tab w:val="num" w:pos="2880"/>
        </w:tabs>
        <w:ind w:left="2880" w:hanging="360"/>
      </w:pPr>
      <w:rPr>
        <w:rFonts w:ascii="Arial" w:hAnsi="Arial" w:hint="default"/>
      </w:rPr>
    </w:lvl>
    <w:lvl w:ilvl="4" w:tplc="2AD0ED86" w:tentative="1">
      <w:start w:val="1"/>
      <w:numFmt w:val="bullet"/>
      <w:lvlText w:val="•"/>
      <w:lvlJc w:val="left"/>
      <w:pPr>
        <w:tabs>
          <w:tab w:val="num" w:pos="3600"/>
        </w:tabs>
        <w:ind w:left="3600" w:hanging="360"/>
      </w:pPr>
      <w:rPr>
        <w:rFonts w:ascii="Arial" w:hAnsi="Arial" w:hint="default"/>
      </w:rPr>
    </w:lvl>
    <w:lvl w:ilvl="5" w:tplc="B0262B28" w:tentative="1">
      <w:start w:val="1"/>
      <w:numFmt w:val="bullet"/>
      <w:lvlText w:val="•"/>
      <w:lvlJc w:val="left"/>
      <w:pPr>
        <w:tabs>
          <w:tab w:val="num" w:pos="4320"/>
        </w:tabs>
        <w:ind w:left="4320" w:hanging="360"/>
      </w:pPr>
      <w:rPr>
        <w:rFonts w:ascii="Arial" w:hAnsi="Arial" w:hint="default"/>
      </w:rPr>
    </w:lvl>
    <w:lvl w:ilvl="6" w:tplc="FAD2CF08" w:tentative="1">
      <w:start w:val="1"/>
      <w:numFmt w:val="bullet"/>
      <w:lvlText w:val="•"/>
      <w:lvlJc w:val="left"/>
      <w:pPr>
        <w:tabs>
          <w:tab w:val="num" w:pos="5040"/>
        </w:tabs>
        <w:ind w:left="5040" w:hanging="360"/>
      </w:pPr>
      <w:rPr>
        <w:rFonts w:ascii="Arial" w:hAnsi="Arial" w:hint="default"/>
      </w:rPr>
    </w:lvl>
    <w:lvl w:ilvl="7" w:tplc="0596B118" w:tentative="1">
      <w:start w:val="1"/>
      <w:numFmt w:val="bullet"/>
      <w:lvlText w:val="•"/>
      <w:lvlJc w:val="left"/>
      <w:pPr>
        <w:tabs>
          <w:tab w:val="num" w:pos="5760"/>
        </w:tabs>
        <w:ind w:left="5760" w:hanging="360"/>
      </w:pPr>
      <w:rPr>
        <w:rFonts w:ascii="Arial" w:hAnsi="Arial" w:hint="default"/>
      </w:rPr>
    </w:lvl>
    <w:lvl w:ilvl="8" w:tplc="776263F2" w:tentative="1">
      <w:start w:val="1"/>
      <w:numFmt w:val="bullet"/>
      <w:lvlText w:val="•"/>
      <w:lvlJc w:val="left"/>
      <w:pPr>
        <w:tabs>
          <w:tab w:val="num" w:pos="6480"/>
        </w:tabs>
        <w:ind w:left="6480" w:hanging="360"/>
      </w:pPr>
      <w:rPr>
        <w:rFonts w:ascii="Arial" w:hAnsi="Arial" w:hint="default"/>
      </w:rPr>
    </w:lvl>
  </w:abstractNum>
  <w:abstractNum w:abstractNumId="26">
    <w:nsid w:val="65400E95"/>
    <w:multiLevelType w:val="multilevel"/>
    <w:tmpl w:val="6D585490"/>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8B005A1"/>
    <w:multiLevelType w:val="hybridMultilevel"/>
    <w:tmpl w:val="C9B266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9181127"/>
    <w:multiLevelType w:val="hybridMultilevel"/>
    <w:tmpl w:val="5464DF5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6B2C3236"/>
    <w:multiLevelType w:val="hybridMultilevel"/>
    <w:tmpl w:val="ADF4FB84"/>
    <w:lvl w:ilvl="0" w:tplc="7D62A7F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A237B3"/>
    <w:multiLevelType w:val="hybridMultilevel"/>
    <w:tmpl w:val="3A1217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7765275A"/>
    <w:multiLevelType w:val="hybridMultilevel"/>
    <w:tmpl w:val="D77062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7A6F4AE3"/>
    <w:multiLevelType w:val="hybridMultilevel"/>
    <w:tmpl w:val="6F9C4A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nsid w:val="7B472FA8"/>
    <w:multiLevelType w:val="hybridMultilevel"/>
    <w:tmpl w:val="04C2F8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7BEA1889"/>
    <w:multiLevelType w:val="hybridMultilevel"/>
    <w:tmpl w:val="ED046760"/>
    <w:lvl w:ilvl="0" w:tplc="04090003">
      <w:start w:val="1"/>
      <w:numFmt w:val="bullet"/>
      <w:lvlText w:val="o"/>
      <w:lvlJc w:val="left"/>
      <w:pPr>
        <w:ind w:left="720" w:hanging="360"/>
      </w:pPr>
      <w:rPr>
        <w:rFonts w:ascii="Courier New" w:hAnsi="Courier New" w:cs="Courier New" w:hint="default"/>
        <w:b/>
      </w:rPr>
    </w:lvl>
    <w:lvl w:ilvl="1" w:tplc="0409001B">
      <w:start w:val="1"/>
      <w:numFmt w:val="lowerRoman"/>
      <w:lvlText w:val="%2."/>
      <w:lvlJc w:val="right"/>
      <w:pPr>
        <w:ind w:left="1440" w:hanging="360"/>
      </w:pPr>
      <w:rPr>
        <w:b w:val="0"/>
        <w:i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F6D5CF3"/>
    <w:multiLevelType w:val="hybridMultilevel"/>
    <w:tmpl w:val="516E4FF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28"/>
  </w:num>
  <w:num w:numId="3">
    <w:abstractNumId w:val="14"/>
  </w:num>
  <w:num w:numId="4">
    <w:abstractNumId w:val="23"/>
  </w:num>
  <w:num w:numId="5">
    <w:abstractNumId w:val="9"/>
  </w:num>
  <w:num w:numId="6">
    <w:abstractNumId w:val="2"/>
  </w:num>
  <w:num w:numId="7">
    <w:abstractNumId w:val="27"/>
  </w:num>
  <w:num w:numId="8">
    <w:abstractNumId w:val="8"/>
  </w:num>
  <w:num w:numId="9">
    <w:abstractNumId w:val="3"/>
  </w:num>
  <w:num w:numId="10">
    <w:abstractNumId w:val="11"/>
  </w:num>
  <w:num w:numId="11">
    <w:abstractNumId w:val="20"/>
  </w:num>
  <w:num w:numId="12">
    <w:abstractNumId w:val="25"/>
  </w:num>
  <w:num w:numId="13">
    <w:abstractNumId w:val="4"/>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5"/>
  </w:num>
  <w:num w:numId="16">
    <w:abstractNumId w:val="26"/>
  </w:num>
  <w:num w:numId="17">
    <w:abstractNumId w:val="27"/>
  </w:num>
  <w:num w:numId="18">
    <w:abstractNumId w:val="22"/>
  </w:num>
  <w:num w:numId="19">
    <w:abstractNumId w:val="13"/>
  </w:num>
  <w:num w:numId="20">
    <w:abstractNumId w:val="24"/>
  </w:num>
  <w:num w:numId="21">
    <w:abstractNumId w:val="29"/>
  </w:num>
  <w:num w:numId="22">
    <w:abstractNumId w:val="6"/>
  </w:num>
  <w:num w:numId="23">
    <w:abstractNumId w:val="12"/>
  </w:num>
  <w:num w:numId="24">
    <w:abstractNumId w:val="18"/>
  </w:num>
  <w:num w:numId="25">
    <w:abstractNumId w:val="10"/>
  </w:num>
  <w:num w:numId="26">
    <w:abstractNumId w:val="34"/>
  </w:num>
  <w:num w:numId="27">
    <w:abstractNumId w:val="15"/>
  </w:num>
  <w:num w:numId="28">
    <w:abstractNumId w:val="19"/>
  </w:num>
  <w:num w:numId="29">
    <w:abstractNumId w:val="16"/>
  </w:num>
  <w:num w:numId="30">
    <w:abstractNumId w:val="30"/>
  </w:num>
  <w:num w:numId="31">
    <w:abstractNumId w:val="33"/>
  </w:num>
  <w:num w:numId="32">
    <w:abstractNumId w:val="17"/>
  </w:num>
  <w:num w:numId="33">
    <w:abstractNumId w:val="7"/>
  </w:num>
  <w:num w:numId="34">
    <w:abstractNumId w:val="0"/>
  </w:num>
  <w:num w:numId="35">
    <w:abstractNumId w:val="5"/>
  </w:num>
  <w:num w:numId="36">
    <w:abstractNumId w:val="1"/>
  </w:num>
  <w:num w:numId="37">
    <w:abstractNumId w:val="31"/>
  </w:num>
  <w:num w:numId="3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788C"/>
    <w:rsid w:val="000030AD"/>
    <w:rsid w:val="000045DB"/>
    <w:rsid w:val="00006E8B"/>
    <w:rsid w:val="000073AC"/>
    <w:rsid w:val="00013694"/>
    <w:rsid w:val="00027251"/>
    <w:rsid w:val="00045AFB"/>
    <w:rsid w:val="00063B20"/>
    <w:rsid w:val="00065AD5"/>
    <w:rsid w:val="0006701A"/>
    <w:rsid w:val="000671C0"/>
    <w:rsid w:val="000704FA"/>
    <w:rsid w:val="0009112E"/>
    <w:rsid w:val="00096811"/>
    <w:rsid w:val="000B118E"/>
    <w:rsid w:val="000B3FF4"/>
    <w:rsid w:val="000C393F"/>
    <w:rsid w:val="000D191E"/>
    <w:rsid w:val="000E532A"/>
    <w:rsid w:val="000F2B8B"/>
    <w:rsid w:val="000F5DF9"/>
    <w:rsid w:val="001020AB"/>
    <w:rsid w:val="00104A89"/>
    <w:rsid w:val="00127C45"/>
    <w:rsid w:val="001300F3"/>
    <w:rsid w:val="001316EC"/>
    <w:rsid w:val="001401BB"/>
    <w:rsid w:val="0016147B"/>
    <w:rsid w:val="00163AC6"/>
    <w:rsid w:val="00165E52"/>
    <w:rsid w:val="00177504"/>
    <w:rsid w:val="00186411"/>
    <w:rsid w:val="001D6CCA"/>
    <w:rsid w:val="001E353E"/>
    <w:rsid w:val="001F34C9"/>
    <w:rsid w:val="00220365"/>
    <w:rsid w:val="00256EDE"/>
    <w:rsid w:val="00257D1A"/>
    <w:rsid w:val="00263CEA"/>
    <w:rsid w:val="00270734"/>
    <w:rsid w:val="002A23C9"/>
    <w:rsid w:val="002A4A9E"/>
    <w:rsid w:val="002B0CC9"/>
    <w:rsid w:val="002C200C"/>
    <w:rsid w:val="002C7D6A"/>
    <w:rsid w:val="002D07E0"/>
    <w:rsid w:val="002E0064"/>
    <w:rsid w:val="002E06C9"/>
    <w:rsid w:val="00301F0C"/>
    <w:rsid w:val="00302334"/>
    <w:rsid w:val="00310926"/>
    <w:rsid w:val="00325264"/>
    <w:rsid w:val="003277EF"/>
    <w:rsid w:val="00331489"/>
    <w:rsid w:val="00332881"/>
    <w:rsid w:val="00341694"/>
    <w:rsid w:val="00347FA3"/>
    <w:rsid w:val="003600B6"/>
    <w:rsid w:val="00364ED7"/>
    <w:rsid w:val="00370EC3"/>
    <w:rsid w:val="00383A57"/>
    <w:rsid w:val="003966CC"/>
    <w:rsid w:val="00396E23"/>
    <w:rsid w:val="003A24BE"/>
    <w:rsid w:val="003A3691"/>
    <w:rsid w:val="003B2C22"/>
    <w:rsid w:val="003C7453"/>
    <w:rsid w:val="003D516B"/>
    <w:rsid w:val="003D5246"/>
    <w:rsid w:val="003D7863"/>
    <w:rsid w:val="003E3FA9"/>
    <w:rsid w:val="003F08E7"/>
    <w:rsid w:val="00400BC7"/>
    <w:rsid w:val="00406085"/>
    <w:rsid w:val="00411736"/>
    <w:rsid w:val="004308AD"/>
    <w:rsid w:val="0043403B"/>
    <w:rsid w:val="00435944"/>
    <w:rsid w:val="00435A03"/>
    <w:rsid w:val="004419B7"/>
    <w:rsid w:val="00447403"/>
    <w:rsid w:val="00452DAE"/>
    <w:rsid w:val="00462E30"/>
    <w:rsid w:val="004666B1"/>
    <w:rsid w:val="00471E94"/>
    <w:rsid w:val="0047273C"/>
    <w:rsid w:val="00480209"/>
    <w:rsid w:val="004805AC"/>
    <w:rsid w:val="0048327C"/>
    <w:rsid w:val="00485E20"/>
    <w:rsid w:val="00490EA6"/>
    <w:rsid w:val="004A1D02"/>
    <w:rsid w:val="004A2211"/>
    <w:rsid w:val="004A571E"/>
    <w:rsid w:val="004B3967"/>
    <w:rsid w:val="004D3740"/>
    <w:rsid w:val="004D5166"/>
    <w:rsid w:val="004E092A"/>
    <w:rsid w:val="004E1087"/>
    <w:rsid w:val="004E1642"/>
    <w:rsid w:val="004E39E2"/>
    <w:rsid w:val="004E6C24"/>
    <w:rsid w:val="004F1D7B"/>
    <w:rsid w:val="00504A51"/>
    <w:rsid w:val="00512A94"/>
    <w:rsid w:val="00513F5C"/>
    <w:rsid w:val="005178A8"/>
    <w:rsid w:val="00521C01"/>
    <w:rsid w:val="00527D2D"/>
    <w:rsid w:val="0053172D"/>
    <w:rsid w:val="00532610"/>
    <w:rsid w:val="005335DA"/>
    <w:rsid w:val="00540535"/>
    <w:rsid w:val="00541DA5"/>
    <w:rsid w:val="00542F30"/>
    <w:rsid w:val="00567D9B"/>
    <w:rsid w:val="00571107"/>
    <w:rsid w:val="00583676"/>
    <w:rsid w:val="00590BB0"/>
    <w:rsid w:val="00592401"/>
    <w:rsid w:val="005A2E40"/>
    <w:rsid w:val="005A4A3C"/>
    <w:rsid w:val="005B11F6"/>
    <w:rsid w:val="005B14A9"/>
    <w:rsid w:val="005D15AC"/>
    <w:rsid w:val="005F2520"/>
    <w:rsid w:val="00606352"/>
    <w:rsid w:val="00606E4D"/>
    <w:rsid w:val="006073D2"/>
    <w:rsid w:val="00610EEE"/>
    <w:rsid w:val="00615C41"/>
    <w:rsid w:val="00621007"/>
    <w:rsid w:val="006350A2"/>
    <w:rsid w:val="00637621"/>
    <w:rsid w:val="00655E7C"/>
    <w:rsid w:val="00655F35"/>
    <w:rsid w:val="006566B4"/>
    <w:rsid w:val="00662858"/>
    <w:rsid w:val="00672302"/>
    <w:rsid w:val="00675E3E"/>
    <w:rsid w:val="00693A65"/>
    <w:rsid w:val="006A48A1"/>
    <w:rsid w:val="006B2C72"/>
    <w:rsid w:val="006C3006"/>
    <w:rsid w:val="006C45FD"/>
    <w:rsid w:val="006D6B2F"/>
    <w:rsid w:val="006D7ADC"/>
    <w:rsid w:val="006E148A"/>
    <w:rsid w:val="006E32B0"/>
    <w:rsid w:val="006E6E77"/>
    <w:rsid w:val="007173AE"/>
    <w:rsid w:val="00725AFB"/>
    <w:rsid w:val="0072766A"/>
    <w:rsid w:val="00734CA7"/>
    <w:rsid w:val="00740557"/>
    <w:rsid w:val="00740FF4"/>
    <w:rsid w:val="0078554C"/>
    <w:rsid w:val="00791A0B"/>
    <w:rsid w:val="00795470"/>
    <w:rsid w:val="007A1852"/>
    <w:rsid w:val="007A4B0F"/>
    <w:rsid w:val="007B1481"/>
    <w:rsid w:val="007C2415"/>
    <w:rsid w:val="007C6C5F"/>
    <w:rsid w:val="007D181D"/>
    <w:rsid w:val="007D1DD3"/>
    <w:rsid w:val="007E2D2D"/>
    <w:rsid w:val="007E7254"/>
    <w:rsid w:val="007E783C"/>
    <w:rsid w:val="007F05A4"/>
    <w:rsid w:val="007F12A8"/>
    <w:rsid w:val="00802C8A"/>
    <w:rsid w:val="00804146"/>
    <w:rsid w:val="00812757"/>
    <w:rsid w:val="008251DB"/>
    <w:rsid w:val="008317DF"/>
    <w:rsid w:val="00834E79"/>
    <w:rsid w:val="00836DCA"/>
    <w:rsid w:val="008543AC"/>
    <w:rsid w:val="0086111A"/>
    <w:rsid w:val="00863836"/>
    <w:rsid w:val="0086459D"/>
    <w:rsid w:val="0087112B"/>
    <w:rsid w:val="00884B84"/>
    <w:rsid w:val="008A2DEB"/>
    <w:rsid w:val="008A35AA"/>
    <w:rsid w:val="008B4377"/>
    <w:rsid w:val="008B7149"/>
    <w:rsid w:val="008D27F6"/>
    <w:rsid w:val="008D4E27"/>
    <w:rsid w:val="008D4F78"/>
    <w:rsid w:val="008E5A3D"/>
    <w:rsid w:val="00902B74"/>
    <w:rsid w:val="00902E75"/>
    <w:rsid w:val="00904754"/>
    <w:rsid w:val="00906AC8"/>
    <w:rsid w:val="00910474"/>
    <w:rsid w:val="00914FA4"/>
    <w:rsid w:val="00956025"/>
    <w:rsid w:val="00960EB9"/>
    <w:rsid w:val="00966C2B"/>
    <w:rsid w:val="009671A6"/>
    <w:rsid w:val="00982C37"/>
    <w:rsid w:val="009842EB"/>
    <w:rsid w:val="0098702E"/>
    <w:rsid w:val="00992EBA"/>
    <w:rsid w:val="009B0C33"/>
    <w:rsid w:val="009B232B"/>
    <w:rsid w:val="009B2471"/>
    <w:rsid w:val="009B6AA6"/>
    <w:rsid w:val="009D208C"/>
    <w:rsid w:val="009D3D99"/>
    <w:rsid w:val="009D6052"/>
    <w:rsid w:val="009E3116"/>
    <w:rsid w:val="009E57FD"/>
    <w:rsid w:val="00A0788C"/>
    <w:rsid w:val="00A16300"/>
    <w:rsid w:val="00A31CDC"/>
    <w:rsid w:val="00A35D8B"/>
    <w:rsid w:val="00A36E51"/>
    <w:rsid w:val="00A41FB0"/>
    <w:rsid w:val="00A4207F"/>
    <w:rsid w:val="00A5083E"/>
    <w:rsid w:val="00A5128D"/>
    <w:rsid w:val="00A5619A"/>
    <w:rsid w:val="00A61108"/>
    <w:rsid w:val="00A64492"/>
    <w:rsid w:val="00A87BB0"/>
    <w:rsid w:val="00A90817"/>
    <w:rsid w:val="00AA04D0"/>
    <w:rsid w:val="00AA0E8A"/>
    <w:rsid w:val="00AA12E4"/>
    <w:rsid w:val="00AB0D6A"/>
    <w:rsid w:val="00AB4E52"/>
    <w:rsid w:val="00AC05C3"/>
    <w:rsid w:val="00AC57E7"/>
    <w:rsid w:val="00AC7B9F"/>
    <w:rsid w:val="00AD180D"/>
    <w:rsid w:val="00AD65B2"/>
    <w:rsid w:val="00AE2BCE"/>
    <w:rsid w:val="00AF4DA6"/>
    <w:rsid w:val="00AF6BFC"/>
    <w:rsid w:val="00AF711E"/>
    <w:rsid w:val="00B01D88"/>
    <w:rsid w:val="00B052BE"/>
    <w:rsid w:val="00B10CA5"/>
    <w:rsid w:val="00B1501A"/>
    <w:rsid w:val="00B248F7"/>
    <w:rsid w:val="00B25573"/>
    <w:rsid w:val="00B26430"/>
    <w:rsid w:val="00B3067B"/>
    <w:rsid w:val="00B32C21"/>
    <w:rsid w:val="00B33277"/>
    <w:rsid w:val="00B47021"/>
    <w:rsid w:val="00B52FEA"/>
    <w:rsid w:val="00B61E55"/>
    <w:rsid w:val="00B62A0A"/>
    <w:rsid w:val="00B62AF1"/>
    <w:rsid w:val="00B648B1"/>
    <w:rsid w:val="00B66BCE"/>
    <w:rsid w:val="00B70617"/>
    <w:rsid w:val="00B86D5C"/>
    <w:rsid w:val="00BA3F5E"/>
    <w:rsid w:val="00BC3EC5"/>
    <w:rsid w:val="00BD145D"/>
    <w:rsid w:val="00BD3F7D"/>
    <w:rsid w:val="00BD442C"/>
    <w:rsid w:val="00BE016D"/>
    <w:rsid w:val="00BE26DA"/>
    <w:rsid w:val="00BF17E4"/>
    <w:rsid w:val="00C14DF3"/>
    <w:rsid w:val="00C14F61"/>
    <w:rsid w:val="00C23097"/>
    <w:rsid w:val="00C276F4"/>
    <w:rsid w:val="00C37408"/>
    <w:rsid w:val="00C46AA0"/>
    <w:rsid w:val="00C57360"/>
    <w:rsid w:val="00C609A4"/>
    <w:rsid w:val="00C61410"/>
    <w:rsid w:val="00C63FD8"/>
    <w:rsid w:val="00C7085D"/>
    <w:rsid w:val="00C7365B"/>
    <w:rsid w:val="00C802BB"/>
    <w:rsid w:val="00C925C6"/>
    <w:rsid w:val="00C9668B"/>
    <w:rsid w:val="00CA3A65"/>
    <w:rsid w:val="00CA487E"/>
    <w:rsid w:val="00CD2EFF"/>
    <w:rsid w:val="00CE2266"/>
    <w:rsid w:val="00CE2E3E"/>
    <w:rsid w:val="00CF22F6"/>
    <w:rsid w:val="00D0006E"/>
    <w:rsid w:val="00D008AA"/>
    <w:rsid w:val="00D07C8F"/>
    <w:rsid w:val="00D11489"/>
    <w:rsid w:val="00D1227C"/>
    <w:rsid w:val="00D207D6"/>
    <w:rsid w:val="00D229AE"/>
    <w:rsid w:val="00D2410D"/>
    <w:rsid w:val="00D51E3F"/>
    <w:rsid w:val="00D540B2"/>
    <w:rsid w:val="00D57471"/>
    <w:rsid w:val="00D63E5E"/>
    <w:rsid w:val="00D94ABD"/>
    <w:rsid w:val="00DA136F"/>
    <w:rsid w:val="00DB285C"/>
    <w:rsid w:val="00DB4A8A"/>
    <w:rsid w:val="00DC08A7"/>
    <w:rsid w:val="00DC19BA"/>
    <w:rsid w:val="00DC685A"/>
    <w:rsid w:val="00DC7520"/>
    <w:rsid w:val="00DE221D"/>
    <w:rsid w:val="00DF3D5F"/>
    <w:rsid w:val="00DF64DC"/>
    <w:rsid w:val="00DF69FA"/>
    <w:rsid w:val="00DF6B58"/>
    <w:rsid w:val="00E140EF"/>
    <w:rsid w:val="00E30BFB"/>
    <w:rsid w:val="00E3174F"/>
    <w:rsid w:val="00E53719"/>
    <w:rsid w:val="00E54337"/>
    <w:rsid w:val="00E573DB"/>
    <w:rsid w:val="00E6058A"/>
    <w:rsid w:val="00E6359E"/>
    <w:rsid w:val="00E65BFD"/>
    <w:rsid w:val="00E850B4"/>
    <w:rsid w:val="00EA6EA7"/>
    <w:rsid w:val="00EB3317"/>
    <w:rsid w:val="00ED2C5D"/>
    <w:rsid w:val="00EE2055"/>
    <w:rsid w:val="00EE6C8A"/>
    <w:rsid w:val="00EF66B0"/>
    <w:rsid w:val="00F05CF9"/>
    <w:rsid w:val="00F103F5"/>
    <w:rsid w:val="00F12322"/>
    <w:rsid w:val="00F15C5B"/>
    <w:rsid w:val="00F15D1D"/>
    <w:rsid w:val="00F3274F"/>
    <w:rsid w:val="00F3409E"/>
    <w:rsid w:val="00F61369"/>
    <w:rsid w:val="00F624F4"/>
    <w:rsid w:val="00F66950"/>
    <w:rsid w:val="00F677FC"/>
    <w:rsid w:val="00F73C69"/>
    <w:rsid w:val="00F81811"/>
    <w:rsid w:val="00F83EC9"/>
    <w:rsid w:val="00F926A6"/>
    <w:rsid w:val="00FB0BBC"/>
    <w:rsid w:val="00FB0D09"/>
    <w:rsid w:val="00FB2276"/>
    <w:rsid w:val="00FB572B"/>
    <w:rsid w:val="00FC25F5"/>
    <w:rsid w:val="00FC5F97"/>
    <w:rsid w:val="00FD20DE"/>
    <w:rsid w:val="00FF0BD2"/>
    <w:rsid w:val="00FF4593"/>
    <w:rsid w:val="00FF4E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229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F2B8B"/>
    <w:pPr>
      <w:ind w:left="720"/>
      <w:contextualSpacing/>
    </w:pPr>
  </w:style>
  <w:style w:type="paragraph" w:styleId="BalloonText">
    <w:name w:val="Balloon Text"/>
    <w:basedOn w:val="Normal"/>
    <w:link w:val="BalloonTextChar"/>
    <w:uiPriority w:val="99"/>
    <w:semiHidden/>
    <w:unhideWhenUsed/>
    <w:rsid w:val="00AC7B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7B9F"/>
    <w:rPr>
      <w:rFonts w:ascii="Tahoma" w:hAnsi="Tahoma" w:cs="Tahoma"/>
      <w:sz w:val="16"/>
      <w:szCs w:val="16"/>
    </w:rPr>
  </w:style>
  <w:style w:type="paragraph" w:styleId="NormalWeb">
    <w:name w:val="Normal (Web)"/>
    <w:basedOn w:val="Normal"/>
    <w:uiPriority w:val="99"/>
    <w:semiHidden/>
    <w:unhideWhenUsed/>
    <w:rsid w:val="00A5128D"/>
    <w:rPr>
      <w:rFonts w:ascii="Times New Roman" w:hAnsi="Times New Roman" w:cs="Times New Roman"/>
      <w:sz w:val="24"/>
      <w:szCs w:val="24"/>
    </w:rPr>
  </w:style>
  <w:style w:type="paragraph" w:styleId="Header">
    <w:name w:val="header"/>
    <w:basedOn w:val="Normal"/>
    <w:link w:val="HeaderChar"/>
    <w:uiPriority w:val="99"/>
    <w:unhideWhenUsed/>
    <w:rsid w:val="00EF66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66B0"/>
  </w:style>
  <w:style w:type="paragraph" w:styleId="Footer">
    <w:name w:val="footer"/>
    <w:basedOn w:val="Normal"/>
    <w:link w:val="FooterChar"/>
    <w:uiPriority w:val="99"/>
    <w:unhideWhenUsed/>
    <w:rsid w:val="00EF66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66B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229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F2B8B"/>
    <w:pPr>
      <w:ind w:left="720"/>
      <w:contextualSpacing/>
    </w:pPr>
  </w:style>
  <w:style w:type="paragraph" w:styleId="BalloonText">
    <w:name w:val="Balloon Text"/>
    <w:basedOn w:val="Normal"/>
    <w:link w:val="BalloonTextChar"/>
    <w:uiPriority w:val="99"/>
    <w:semiHidden/>
    <w:unhideWhenUsed/>
    <w:rsid w:val="00AC7B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7B9F"/>
    <w:rPr>
      <w:rFonts w:ascii="Tahoma" w:hAnsi="Tahoma" w:cs="Tahoma"/>
      <w:sz w:val="16"/>
      <w:szCs w:val="16"/>
    </w:rPr>
  </w:style>
  <w:style w:type="paragraph" w:styleId="NormalWeb">
    <w:name w:val="Normal (Web)"/>
    <w:basedOn w:val="Normal"/>
    <w:uiPriority w:val="99"/>
    <w:semiHidden/>
    <w:unhideWhenUsed/>
    <w:rsid w:val="00A5128D"/>
    <w:rPr>
      <w:rFonts w:ascii="Times New Roman" w:hAnsi="Times New Roman" w:cs="Times New Roman"/>
      <w:sz w:val="24"/>
      <w:szCs w:val="24"/>
    </w:rPr>
  </w:style>
  <w:style w:type="paragraph" w:styleId="Header">
    <w:name w:val="header"/>
    <w:basedOn w:val="Normal"/>
    <w:link w:val="HeaderChar"/>
    <w:uiPriority w:val="99"/>
    <w:unhideWhenUsed/>
    <w:rsid w:val="00EF66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66B0"/>
  </w:style>
  <w:style w:type="paragraph" w:styleId="Footer">
    <w:name w:val="footer"/>
    <w:basedOn w:val="Normal"/>
    <w:link w:val="FooterChar"/>
    <w:uiPriority w:val="99"/>
    <w:unhideWhenUsed/>
    <w:rsid w:val="00EF66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66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72220">
      <w:bodyDiv w:val="1"/>
      <w:marLeft w:val="0"/>
      <w:marRight w:val="0"/>
      <w:marTop w:val="0"/>
      <w:marBottom w:val="0"/>
      <w:divBdr>
        <w:top w:val="none" w:sz="0" w:space="0" w:color="auto"/>
        <w:left w:val="none" w:sz="0" w:space="0" w:color="auto"/>
        <w:bottom w:val="none" w:sz="0" w:space="0" w:color="auto"/>
        <w:right w:val="none" w:sz="0" w:space="0" w:color="auto"/>
      </w:divBdr>
      <w:divsChild>
        <w:div w:id="2137094509">
          <w:marLeft w:val="0"/>
          <w:marRight w:val="0"/>
          <w:marTop w:val="0"/>
          <w:marBottom w:val="0"/>
          <w:divBdr>
            <w:top w:val="none" w:sz="0" w:space="0" w:color="auto"/>
            <w:left w:val="none" w:sz="0" w:space="0" w:color="auto"/>
            <w:bottom w:val="none" w:sz="0" w:space="0" w:color="auto"/>
            <w:right w:val="none" w:sz="0" w:space="0" w:color="auto"/>
          </w:divBdr>
          <w:divsChild>
            <w:div w:id="2070111506">
              <w:marLeft w:val="0"/>
              <w:marRight w:val="0"/>
              <w:marTop w:val="0"/>
              <w:marBottom w:val="0"/>
              <w:divBdr>
                <w:top w:val="none" w:sz="0" w:space="0" w:color="auto"/>
                <w:left w:val="none" w:sz="0" w:space="0" w:color="auto"/>
                <w:bottom w:val="none" w:sz="0" w:space="0" w:color="auto"/>
                <w:right w:val="none" w:sz="0" w:space="0" w:color="auto"/>
              </w:divBdr>
              <w:divsChild>
                <w:div w:id="1425104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684118">
      <w:bodyDiv w:val="1"/>
      <w:marLeft w:val="0"/>
      <w:marRight w:val="0"/>
      <w:marTop w:val="0"/>
      <w:marBottom w:val="0"/>
      <w:divBdr>
        <w:top w:val="none" w:sz="0" w:space="0" w:color="auto"/>
        <w:left w:val="none" w:sz="0" w:space="0" w:color="auto"/>
        <w:bottom w:val="none" w:sz="0" w:space="0" w:color="auto"/>
        <w:right w:val="none" w:sz="0" w:space="0" w:color="auto"/>
      </w:divBdr>
      <w:divsChild>
        <w:div w:id="2003578663">
          <w:marLeft w:val="547"/>
          <w:marRight w:val="0"/>
          <w:marTop w:val="91"/>
          <w:marBottom w:val="0"/>
          <w:divBdr>
            <w:top w:val="none" w:sz="0" w:space="0" w:color="auto"/>
            <w:left w:val="none" w:sz="0" w:space="0" w:color="auto"/>
            <w:bottom w:val="none" w:sz="0" w:space="0" w:color="auto"/>
            <w:right w:val="none" w:sz="0" w:space="0" w:color="auto"/>
          </w:divBdr>
        </w:div>
        <w:div w:id="1321538111">
          <w:marLeft w:val="547"/>
          <w:marRight w:val="0"/>
          <w:marTop w:val="91"/>
          <w:marBottom w:val="0"/>
          <w:divBdr>
            <w:top w:val="none" w:sz="0" w:space="0" w:color="auto"/>
            <w:left w:val="none" w:sz="0" w:space="0" w:color="auto"/>
            <w:bottom w:val="none" w:sz="0" w:space="0" w:color="auto"/>
            <w:right w:val="none" w:sz="0" w:space="0" w:color="auto"/>
          </w:divBdr>
        </w:div>
        <w:div w:id="664089412">
          <w:marLeft w:val="547"/>
          <w:marRight w:val="0"/>
          <w:marTop w:val="91"/>
          <w:marBottom w:val="0"/>
          <w:divBdr>
            <w:top w:val="none" w:sz="0" w:space="0" w:color="auto"/>
            <w:left w:val="none" w:sz="0" w:space="0" w:color="auto"/>
            <w:bottom w:val="none" w:sz="0" w:space="0" w:color="auto"/>
            <w:right w:val="none" w:sz="0" w:space="0" w:color="auto"/>
          </w:divBdr>
        </w:div>
        <w:div w:id="1873883848">
          <w:marLeft w:val="547"/>
          <w:marRight w:val="0"/>
          <w:marTop w:val="91"/>
          <w:marBottom w:val="0"/>
          <w:divBdr>
            <w:top w:val="none" w:sz="0" w:space="0" w:color="auto"/>
            <w:left w:val="none" w:sz="0" w:space="0" w:color="auto"/>
            <w:bottom w:val="none" w:sz="0" w:space="0" w:color="auto"/>
            <w:right w:val="none" w:sz="0" w:space="0" w:color="auto"/>
          </w:divBdr>
        </w:div>
        <w:div w:id="1976641394">
          <w:marLeft w:val="547"/>
          <w:marRight w:val="0"/>
          <w:marTop w:val="91"/>
          <w:marBottom w:val="0"/>
          <w:divBdr>
            <w:top w:val="none" w:sz="0" w:space="0" w:color="auto"/>
            <w:left w:val="none" w:sz="0" w:space="0" w:color="auto"/>
            <w:bottom w:val="none" w:sz="0" w:space="0" w:color="auto"/>
            <w:right w:val="none" w:sz="0" w:space="0" w:color="auto"/>
          </w:divBdr>
        </w:div>
        <w:div w:id="1219512429">
          <w:marLeft w:val="547"/>
          <w:marRight w:val="0"/>
          <w:marTop w:val="91"/>
          <w:marBottom w:val="0"/>
          <w:divBdr>
            <w:top w:val="none" w:sz="0" w:space="0" w:color="auto"/>
            <w:left w:val="none" w:sz="0" w:space="0" w:color="auto"/>
            <w:bottom w:val="none" w:sz="0" w:space="0" w:color="auto"/>
            <w:right w:val="none" w:sz="0" w:space="0" w:color="auto"/>
          </w:divBdr>
        </w:div>
        <w:div w:id="62727832">
          <w:marLeft w:val="547"/>
          <w:marRight w:val="0"/>
          <w:marTop w:val="91"/>
          <w:marBottom w:val="0"/>
          <w:divBdr>
            <w:top w:val="none" w:sz="0" w:space="0" w:color="auto"/>
            <w:left w:val="none" w:sz="0" w:space="0" w:color="auto"/>
            <w:bottom w:val="none" w:sz="0" w:space="0" w:color="auto"/>
            <w:right w:val="none" w:sz="0" w:space="0" w:color="auto"/>
          </w:divBdr>
        </w:div>
      </w:divsChild>
    </w:div>
    <w:div w:id="1822454944">
      <w:bodyDiv w:val="1"/>
      <w:marLeft w:val="0"/>
      <w:marRight w:val="0"/>
      <w:marTop w:val="0"/>
      <w:marBottom w:val="0"/>
      <w:divBdr>
        <w:top w:val="none" w:sz="0" w:space="0" w:color="auto"/>
        <w:left w:val="none" w:sz="0" w:space="0" w:color="auto"/>
        <w:bottom w:val="none" w:sz="0" w:space="0" w:color="auto"/>
        <w:right w:val="none" w:sz="0" w:space="0" w:color="auto"/>
      </w:divBdr>
      <w:divsChild>
        <w:div w:id="1675573545">
          <w:marLeft w:val="0"/>
          <w:marRight w:val="0"/>
          <w:marTop w:val="0"/>
          <w:marBottom w:val="0"/>
          <w:divBdr>
            <w:top w:val="single" w:sz="2" w:space="0" w:color="FFFFFF"/>
            <w:left w:val="single" w:sz="48" w:space="0" w:color="FCFBF5"/>
            <w:bottom w:val="single" w:sz="2" w:space="0" w:color="FFFFFF"/>
            <w:right w:val="single" w:sz="2" w:space="0" w:color="FFFFFF"/>
          </w:divBdr>
          <w:divsChild>
            <w:div w:id="1148478710">
              <w:marLeft w:val="0"/>
              <w:marRight w:val="0"/>
              <w:marTop w:val="0"/>
              <w:marBottom w:val="0"/>
              <w:divBdr>
                <w:top w:val="none" w:sz="0" w:space="0" w:color="auto"/>
                <w:left w:val="none" w:sz="0" w:space="0" w:color="auto"/>
                <w:bottom w:val="none" w:sz="0" w:space="0" w:color="auto"/>
                <w:right w:val="none" w:sz="0" w:space="0" w:color="auto"/>
              </w:divBdr>
              <w:divsChild>
                <w:div w:id="1385521681">
                  <w:marLeft w:val="-18"/>
                  <w:marRight w:val="-74"/>
                  <w:marTop w:val="0"/>
                  <w:marBottom w:val="0"/>
                  <w:divBdr>
                    <w:top w:val="none" w:sz="0" w:space="0" w:color="auto"/>
                    <w:left w:val="none" w:sz="0" w:space="0" w:color="auto"/>
                    <w:bottom w:val="none" w:sz="0" w:space="0" w:color="auto"/>
                    <w:right w:val="none" w:sz="0" w:space="0" w:color="auto"/>
                  </w:divBdr>
                  <w:divsChild>
                    <w:div w:id="761990794">
                      <w:marLeft w:val="0"/>
                      <w:marRight w:val="0"/>
                      <w:marTop w:val="0"/>
                      <w:marBottom w:val="0"/>
                      <w:divBdr>
                        <w:top w:val="none" w:sz="0" w:space="0" w:color="auto"/>
                        <w:left w:val="none" w:sz="0" w:space="0" w:color="auto"/>
                        <w:bottom w:val="none" w:sz="0" w:space="0" w:color="auto"/>
                        <w:right w:val="none" w:sz="0" w:space="0" w:color="auto"/>
                      </w:divBdr>
                      <w:divsChild>
                        <w:div w:id="2144689273">
                          <w:marLeft w:val="-138"/>
                          <w:marRight w:val="-138"/>
                          <w:marTop w:val="0"/>
                          <w:marBottom w:val="0"/>
                          <w:divBdr>
                            <w:top w:val="none" w:sz="0" w:space="0" w:color="auto"/>
                            <w:left w:val="none" w:sz="0" w:space="0" w:color="auto"/>
                            <w:bottom w:val="none" w:sz="0" w:space="0" w:color="auto"/>
                            <w:right w:val="none" w:sz="0" w:space="0" w:color="auto"/>
                          </w:divBdr>
                          <w:divsChild>
                            <w:div w:id="169523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64DFBD-3B8D-45CB-9A3F-5D15196468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1119</Words>
  <Characters>6383</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OWG Report February 2012</vt:lpstr>
    </vt:vector>
  </TitlesOfParts>
  <Company>CenterPoint Energy</Company>
  <LinksUpToDate>false</LinksUpToDate>
  <CharactersWithSpaces>7488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OWG Report February 2012</dc:title>
  <dc:creator>Brad Calhoun</dc:creator>
  <cp:lastModifiedBy>Frank Owens</cp:lastModifiedBy>
  <cp:revision>3</cp:revision>
  <dcterms:created xsi:type="dcterms:W3CDTF">2014-12-02T15:01:00Z</dcterms:created>
  <dcterms:modified xsi:type="dcterms:W3CDTF">2014-12-02T15:21:00Z</dcterms:modified>
</cp:coreProperties>
</file>