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232" w:rsidRDefault="004D37AE">
      <w:pPr>
        <w:rPr>
          <w:b/>
          <w:sz w:val="28"/>
          <w:szCs w:val="28"/>
        </w:rPr>
      </w:pPr>
      <w:bookmarkStart w:id="0" w:name="_GoBack"/>
      <w:bookmarkEnd w:id="0"/>
      <w:r w:rsidRPr="00BE665B">
        <w:rPr>
          <w:b/>
          <w:sz w:val="28"/>
          <w:szCs w:val="28"/>
        </w:rPr>
        <w:t xml:space="preserve">ERCOT Opinions for TAC – </w:t>
      </w:r>
      <w:r w:rsidR="00402A66">
        <w:rPr>
          <w:b/>
          <w:sz w:val="28"/>
          <w:szCs w:val="28"/>
        </w:rPr>
        <w:t>October 23</w:t>
      </w:r>
      <w:r w:rsidRPr="00BE665B">
        <w:rPr>
          <w:b/>
          <w:sz w:val="28"/>
          <w:szCs w:val="28"/>
        </w:rPr>
        <w:t>, 2014</w:t>
      </w:r>
    </w:p>
    <w:p w:rsidR="00564A71" w:rsidRDefault="00564A71">
      <w:pPr>
        <w:rPr>
          <w:b/>
          <w:sz w:val="28"/>
          <w:szCs w:val="28"/>
        </w:rPr>
      </w:pPr>
    </w:p>
    <w:tbl>
      <w:tblPr>
        <w:tblW w:w="10620" w:type="dxa"/>
        <w:tblInd w:w="108" w:type="dxa"/>
        <w:tblCellMar>
          <w:left w:w="0" w:type="dxa"/>
          <w:right w:w="0" w:type="dxa"/>
        </w:tblCellMar>
        <w:tblLook w:val="04A0" w:firstRow="1" w:lastRow="0" w:firstColumn="1" w:lastColumn="0" w:noHBand="0" w:noVBand="1"/>
      </w:tblPr>
      <w:tblGrid>
        <w:gridCol w:w="1850"/>
        <w:gridCol w:w="4507"/>
        <w:gridCol w:w="915"/>
        <w:gridCol w:w="3348"/>
      </w:tblGrid>
      <w:tr w:rsidR="00564A71" w:rsidTr="00402A66">
        <w:trPr>
          <w:trHeight w:val="575"/>
        </w:trPr>
        <w:tc>
          <w:tcPr>
            <w:tcW w:w="1850" w:type="dxa"/>
            <w:tcBorders>
              <w:top w:val="single" w:sz="8" w:space="0" w:color="auto"/>
              <w:left w:val="single" w:sz="8" w:space="0" w:color="auto"/>
              <w:bottom w:val="single" w:sz="8" w:space="0" w:color="auto"/>
              <w:right w:val="single" w:sz="8" w:space="0" w:color="auto"/>
            </w:tcBorders>
            <w:shd w:val="clear" w:color="auto" w:fill="1F497D"/>
            <w:tcMar>
              <w:top w:w="0" w:type="dxa"/>
              <w:left w:w="108" w:type="dxa"/>
              <w:bottom w:w="0" w:type="dxa"/>
              <w:right w:w="108" w:type="dxa"/>
            </w:tcMar>
            <w:hideMark/>
          </w:tcPr>
          <w:p w:rsidR="00564A71" w:rsidRPr="00402A66" w:rsidRDefault="00564A71">
            <w:pPr>
              <w:rPr>
                <w:b/>
                <w:bCs/>
                <w:color w:val="FFFFFF"/>
                <w:sz w:val="20"/>
                <w:szCs w:val="20"/>
              </w:rPr>
            </w:pPr>
            <w:r w:rsidRPr="00402A66">
              <w:rPr>
                <w:b/>
                <w:bCs/>
                <w:color w:val="FFFFFF"/>
                <w:sz w:val="20"/>
                <w:szCs w:val="20"/>
              </w:rPr>
              <w:t>REV REQ NO.</w:t>
            </w:r>
          </w:p>
        </w:tc>
        <w:tc>
          <w:tcPr>
            <w:tcW w:w="4507"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564A71" w:rsidRPr="00402A66" w:rsidRDefault="00564A71">
            <w:pPr>
              <w:rPr>
                <w:b/>
                <w:bCs/>
                <w:color w:val="FFFFFF"/>
                <w:sz w:val="20"/>
                <w:szCs w:val="20"/>
              </w:rPr>
            </w:pPr>
            <w:r w:rsidRPr="00402A66">
              <w:rPr>
                <w:b/>
                <w:bCs/>
                <w:color w:val="FFFFFF"/>
                <w:sz w:val="20"/>
                <w:szCs w:val="20"/>
              </w:rPr>
              <w:t>DESCRIPTION</w:t>
            </w:r>
          </w:p>
        </w:tc>
        <w:tc>
          <w:tcPr>
            <w:tcW w:w="915"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564A71" w:rsidRPr="00402A66" w:rsidRDefault="00564A71">
            <w:pPr>
              <w:jc w:val="center"/>
              <w:rPr>
                <w:b/>
                <w:bCs/>
                <w:color w:val="FFFFFF"/>
                <w:sz w:val="20"/>
                <w:szCs w:val="20"/>
              </w:rPr>
            </w:pPr>
            <w:r w:rsidRPr="00402A66">
              <w:rPr>
                <w:b/>
                <w:bCs/>
                <w:color w:val="FFFFFF"/>
                <w:sz w:val="20"/>
                <w:szCs w:val="20"/>
              </w:rPr>
              <w:t>URGENT</w:t>
            </w:r>
          </w:p>
        </w:tc>
        <w:tc>
          <w:tcPr>
            <w:tcW w:w="3348"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564A71" w:rsidRPr="00402A66" w:rsidRDefault="00564A71">
            <w:pPr>
              <w:rPr>
                <w:b/>
                <w:bCs/>
                <w:color w:val="FFFFFF"/>
                <w:sz w:val="20"/>
                <w:szCs w:val="20"/>
              </w:rPr>
            </w:pPr>
            <w:r w:rsidRPr="00402A66">
              <w:rPr>
                <w:b/>
                <w:bCs/>
                <w:color w:val="FFFFFF"/>
                <w:sz w:val="20"/>
                <w:szCs w:val="20"/>
              </w:rPr>
              <w:t>ERCOT Opinion</w:t>
            </w:r>
          </w:p>
        </w:tc>
      </w:tr>
      <w:tr w:rsidR="00564A71" w:rsidTr="00402A66">
        <w:trPr>
          <w:trHeight w:val="1020"/>
        </w:trPr>
        <w:tc>
          <w:tcPr>
            <w:tcW w:w="185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64A71" w:rsidRPr="00402A66" w:rsidRDefault="00564A71">
            <w:pPr>
              <w:rPr>
                <w:b/>
                <w:bCs/>
                <w:color w:val="000000"/>
                <w:sz w:val="20"/>
                <w:szCs w:val="20"/>
              </w:rPr>
            </w:pPr>
            <w:r w:rsidRPr="00402A66">
              <w:rPr>
                <w:b/>
                <w:bCs/>
                <w:color w:val="000000"/>
                <w:sz w:val="20"/>
                <w:szCs w:val="20"/>
              </w:rPr>
              <w:t>595NPRR</w:t>
            </w:r>
          </w:p>
        </w:tc>
        <w:tc>
          <w:tcPr>
            <w:tcW w:w="45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64A71" w:rsidRPr="00402A66" w:rsidRDefault="00564A71">
            <w:pPr>
              <w:rPr>
                <w:b/>
                <w:bCs/>
                <w:color w:val="000000"/>
                <w:sz w:val="20"/>
                <w:szCs w:val="20"/>
              </w:rPr>
            </w:pPr>
            <w:r w:rsidRPr="00402A66">
              <w:rPr>
                <w:b/>
                <w:bCs/>
                <w:color w:val="000000"/>
                <w:sz w:val="20"/>
                <w:szCs w:val="20"/>
              </w:rPr>
              <w:t xml:space="preserve">RRS Load Resource Treatment In ORDC.  </w:t>
            </w:r>
            <w:r w:rsidRPr="00402A66">
              <w:rPr>
                <w:color w:val="000000"/>
                <w:sz w:val="20"/>
                <w:szCs w:val="20"/>
              </w:rPr>
              <w:t xml:space="preserve">This Nodal Protocol Revision Request (NPRR) provides that Load Resources providing Responsive Reserve Service (RRS) should be </w:t>
            </w:r>
            <w:proofErr w:type="gramStart"/>
            <w:r w:rsidRPr="00402A66">
              <w:rPr>
                <w:color w:val="000000"/>
                <w:sz w:val="20"/>
                <w:szCs w:val="20"/>
              </w:rPr>
              <w:t>credited/charged</w:t>
            </w:r>
            <w:proofErr w:type="gramEnd"/>
            <w:r w:rsidRPr="00402A66">
              <w:rPr>
                <w:color w:val="000000"/>
                <w:sz w:val="20"/>
                <w:szCs w:val="20"/>
              </w:rPr>
              <w:t xml:space="preserve"> based on their telemetered Load Consumption as opposed to the currently prescribed methodology of using the telemetered RRS Ancillary Service Schedule. [Tenaska]</w:t>
            </w:r>
          </w:p>
        </w:tc>
        <w:tc>
          <w:tcPr>
            <w:tcW w:w="9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64A71" w:rsidRPr="00402A66" w:rsidRDefault="00564A71">
            <w:pPr>
              <w:jc w:val="center"/>
              <w:rPr>
                <w:color w:val="000000"/>
                <w:sz w:val="20"/>
                <w:szCs w:val="20"/>
              </w:rPr>
            </w:pPr>
            <w:r w:rsidRPr="00402A66">
              <w:rPr>
                <w:color w:val="000000"/>
                <w:sz w:val="20"/>
                <w:szCs w:val="20"/>
              </w:rPr>
              <w:t>N</w:t>
            </w:r>
          </w:p>
        </w:tc>
        <w:tc>
          <w:tcPr>
            <w:tcW w:w="33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564A71" w:rsidRPr="00402A66" w:rsidRDefault="00402A66">
            <w:pPr>
              <w:rPr>
                <w:rFonts w:ascii="Times New Roman" w:hAnsi="Times New Roman"/>
                <w:sz w:val="20"/>
                <w:szCs w:val="20"/>
              </w:rPr>
            </w:pPr>
            <w:r w:rsidRPr="00402A66">
              <w:rPr>
                <w:sz w:val="20"/>
                <w:szCs w:val="20"/>
              </w:rPr>
              <w:t>ERCOT supports NPRR595 as it provides clarity to the requirements for Load Resource participation in ORDC</w:t>
            </w:r>
          </w:p>
        </w:tc>
      </w:tr>
      <w:tr w:rsidR="00564A71" w:rsidTr="00402A66">
        <w:trPr>
          <w:trHeight w:val="1020"/>
        </w:trPr>
        <w:tc>
          <w:tcPr>
            <w:tcW w:w="185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64A71" w:rsidRPr="00402A66" w:rsidRDefault="00564A71">
            <w:pPr>
              <w:rPr>
                <w:b/>
                <w:bCs/>
                <w:color w:val="000000"/>
                <w:sz w:val="20"/>
                <w:szCs w:val="20"/>
              </w:rPr>
            </w:pPr>
            <w:r w:rsidRPr="00402A66">
              <w:rPr>
                <w:b/>
                <w:bCs/>
                <w:color w:val="000000"/>
                <w:sz w:val="20"/>
                <w:szCs w:val="20"/>
              </w:rPr>
              <w:t>640NPRR</w:t>
            </w:r>
          </w:p>
        </w:tc>
        <w:tc>
          <w:tcPr>
            <w:tcW w:w="45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64A71" w:rsidRPr="00402A66" w:rsidRDefault="00564A71">
            <w:pPr>
              <w:rPr>
                <w:b/>
                <w:bCs/>
                <w:color w:val="000000"/>
                <w:sz w:val="20"/>
                <w:szCs w:val="20"/>
              </w:rPr>
            </w:pPr>
            <w:r w:rsidRPr="00402A66">
              <w:rPr>
                <w:b/>
                <w:bCs/>
                <w:color w:val="000000"/>
                <w:sz w:val="20"/>
                <w:szCs w:val="20"/>
              </w:rPr>
              <w:t xml:space="preserve">As-Built Clarification of Load Resource Participation in SCED and Non-Spin Qualification.  </w:t>
            </w:r>
            <w:r w:rsidRPr="00402A66">
              <w:rPr>
                <w:color w:val="000000"/>
                <w:sz w:val="20"/>
                <w:szCs w:val="20"/>
              </w:rPr>
              <w:t>This Nodal Protocol Revision Request (NPRR) clarifies that a Qualified Scheduling Entity (QSE) representing a Load Resource and submitting a bid to buy for participation in Security-Constrained Economic Dispatch (SCED) must also represent all Load Serving Entities (LSEs) for all sites within the Load Resource.  The NPRR also aligns Section 8.1.1.2.1.3 with the current requirement that a Load Resource may only qualify to provide Non-Spinning Reserve (Non-Spin) if they are a Controllable Load Resource qualified to participate in SCED. [ERCOT]</w:t>
            </w:r>
          </w:p>
        </w:tc>
        <w:tc>
          <w:tcPr>
            <w:tcW w:w="9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64A71" w:rsidRPr="00402A66" w:rsidRDefault="00564A71">
            <w:pPr>
              <w:jc w:val="center"/>
              <w:rPr>
                <w:color w:val="000000"/>
                <w:sz w:val="20"/>
                <w:szCs w:val="20"/>
              </w:rPr>
            </w:pPr>
            <w:r w:rsidRPr="00402A66">
              <w:rPr>
                <w:color w:val="000000"/>
                <w:sz w:val="20"/>
                <w:szCs w:val="20"/>
              </w:rPr>
              <w:t>N</w:t>
            </w:r>
          </w:p>
        </w:tc>
        <w:tc>
          <w:tcPr>
            <w:tcW w:w="33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64A71" w:rsidRPr="00402A66" w:rsidRDefault="00564A71">
            <w:pPr>
              <w:rPr>
                <w:rFonts w:ascii="Times New Roman" w:hAnsi="Times New Roman"/>
                <w:sz w:val="20"/>
                <w:szCs w:val="20"/>
              </w:rPr>
            </w:pPr>
            <w:r w:rsidRPr="00402A66">
              <w:rPr>
                <w:sz w:val="20"/>
                <w:szCs w:val="20"/>
              </w:rPr>
              <w:t>ERCOT supports approval of NPRR640 (ERCOT submitted NPRR)</w:t>
            </w:r>
          </w:p>
        </w:tc>
      </w:tr>
      <w:tr w:rsidR="00564A71" w:rsidTr="00402A66">
        <w:trPr>
          <w:trHeight w:val="1132"/>
        </w:trPr>
        <w:tc>
          <w:tcPr>
            <w:tcW w:w="185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64A71" w:rsidRPr="00402A66" w:rsidRDefault="00564A71">
            <w:pPr>
              <w:rPr>
                <w:b/>
                <w:bCs/>
                <w:color w:val="000000"/>
                <w:sz w:val="20"/>
                <w:szCs w:val="20"/>
              </w:rPr>
            </w:pPr>
            <w:r w:rsidRPr="00402A66">
              <w:rPr>
                <w:b/>
                <w:bCs/>
                <w:color w:val="000000"/>
                <w:sz w:val="20"/>
                <w:szCs w:val="20"/>
              </w:rPr>
              <w:t>647NPRR</w:t>
            </w:r>
          </w:p>
        </w:tc>
        <w:tc>
          <w:tcPr>
            <w:tcW w:w="45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64A71" w:rsidRPr="00402A66" w:rsidRDefault="00564A71">
            <w:pPr>
              <w:rPr>
                <w:b/>
                <w:bCs/>
                <w:color w:val="000000"/>
                <w:sz w:val="20"/>
                <w:szCs w:val="20"/>
              </w:rPr>
            </w:pPr>
            <w:r w:rsidRPr="00402A66">
              <w:rPr>
                <w:b/>
                <w:bCs/>
                <w:color w:val="000000"/>
                <w:sz w:val="20"/>
                <w:szCs w:val="20"/>
              </w:rPr>
              <w:t xml:space="preserve">CRR Auction Shadow Price Transparency. </w:t>
            </w:r>
            <w:r w:rsidRPr="00402A66">
              <w:rPr>
                <w:color w:val="000000"/>
                <w:sz w:val="20"/>
                <w:szCs w:val="20"/>
              </w:rPr>
              <w:t>This Nodal Protocol Revision Request (NPRR) requires ERCOT to post the Congestion Revenue Right (CRR) Auction Shadow Prices to the Market Information System (MIS) Public Area.  [Yes Energy]</w:t>
            </w:r>
          </w:p>
        </w:tc>
        <w:tc>
          <w:tcPr>
            <w:tcW w:w="9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64A71" w:rsidRPr="00402A66" w:rsidRDefault="00564A71">
            <w:pPr>
              <w:jc w:val="center"/>
              <w:rPr>
                <w:color w:val="000000"/>
                <w:sz w:val="20"/>
                <w:szCs w:val="20"/>
              </w:rPr>
            </w:pPr>
            <w:r w:rsidRPr="00402A66">
              <w:rPr>
                <w:color w:val="000000"/>
                <w:sz w:val="20"/>
                <w:szCs w:val="20"/>
              </w:rPr>
              <w:t>N</w:t>
            </w:r>
          </w:p>
        </w:tc>
        <w:tc>
          <w:tcPr>
            <w:tcW w:w="33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64A71" w:rsidRPr="00402A66" w:rsidRDefault="00564A71">
            <w:pPr>
              <w:rPr>
                <w:sz w:val="20"/>
                <w:szCs w:val="20"/>
              </w:rPr>
            </w:pPr>
            <w:r w:rsidRPr="00402A66">
              <w:rPr>
                <w:sz w:val="20"/>
                <w:szCs w:val="20"/>
              </w:rPr>
              <w:t>ERCOT supports NPRR647 as it provides increased CRR data transparency to the market</w:t>
            </w:r>
          </w:p>
        </w:tc>
      </w:tr>
      <w:tr w:rsidR="00564A71" w:rsidTr="00402A66">
        <w:trPr>
          <w:trHeight w:val="3067"/>
        </w:trPr>
        <w:tc>
          <w:tcPr>
            <w:tcW w:w="185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64A71" w:rsidRDefault="00564A71">
            <w:pPr>
              <w:rPr>
                <w:b/>
                <w:bCs/>
                <w:sz w:val="20"/>
                <w:szCs w:val="20"/>
              </w:rPr>
            </w:pPr>
            <w:r>
              <w:rPr>
                <w:b/>
                <w:bCs/>
                <w:sz w:val="20"/>
                <w:szCs w:val="20"/>
              </w:rPr>
              <w:t>781SCR</w:t>
            </w:r>
          </w:p>
        </w:tc>
        <w:tc>
          <w:tcPr>
            <w:tcW w:w="45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64A71" w:rsidRDefault="00564A71">
            <w:pPr>
              <w:rPr>
                <w:b/>
                <w:bCs/>
                <w:sz w:val="20"/>
                <w:szCs w:val="20"/>
              </w:rPr>
            </w:pPr>
            <w:r>
              <w:rPr>
                <w:b/>
                <w:bCs/>
                <w:sz w:val="20"/>
                <w:szCs w:val="20"/>
              </w:rPr>
              <w:t xml:space="preserve">MP Online Data Entry - Market Requirements. </w:t>
            </w:r>
            <w:r>
              <w:rPr>
                <w:sz w:val="20"/>
                <w:szCs w:val="20"/>
              </w:rPr>
              <w:t>This System Change Request (SCR) will replace the current Resource Asset Registration Form (RARF) spreadsheet and associated manual processes with MP Online Data Entry.  This will greatly enhance Resource registration data transparency, overall efficiencies in the submittal and validation process and improve the overall quality of the data.  The Resource Data Working Group (RDWG) has generated and prioritized the market requirements for this system.  This SCR represents those system requirements that the Market Participants request be implemented in the MP Online System. [RDWG]</w:t>
            </w:r>
          </w:p>
        </w:tc>
        <w:tc>
          <w:tcPr>
            <w:tcW w:w="9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64A71" w:rsidRDefault="00564A71">
            <w:pPr>
              <w:jc w:val="center"/>
              <w:rPr>
                <w:sz w:val="20"/>
                <w:szCs w:val="20"/>
              </w:rPr>
            </w:pPr>
            <w:r>
              <w:rPr>
                <w:sz w:val="20"/>
                <w:szCs w:val="20"/>
              </w:rPr>
              <w:t>N</w:t>
            </w:r>
          </w:p>
        </w:tc>
        <w:tc>
          <w:tcPr>
            <w:tcW w:w="33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64A71" w:rsidRDefault="00564A71">
            <w:pPr>
              <w:rPr>
                <w:color w:val="000000"/>
                <w:sz w:val="20"/>
                <w:szCs w:val="20"/>
              </w:rPr>
            </w:pPr>
            <w:r>
              <w:rPr>
                <w:color w:val="000000"/>
                <w:sz w:val="20"/>
                <w:szCs w:val="20"/>
              </w:rPr>
              <w:t>ERCOT supports SCR781 as it codifies requirements Market Participants consider critical to the success of the parent ERCOT project PR106-01, MP Online Data Entry</w:t>
            </w:r>
          </w:p>
        </w:tc>
      </w:tr>
    </w:tbl>
    <w:p w:rsidR="00564A71" w:rsidRPr="004D37AE" w:rsidRDefault="00564A71">
      <w:pPr>
        <w:rPr>
          <w:b/>
          <w:sz w:val="28"/>
          <w:szCs w:val="28"/>
        </w:rPr>
      </w:pPr>
    </w:p>
    <w:sectPr w:rsidR="00564A71" w:rsidRPr="004D37AE" w:rsidSect="004D37A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232"/>
    <w:rsid w:val="003C4AF0"/>
    <w:rsid w:val="00402A66"/>
    <w:rsid w:val="00450F64"/>
    <w:rsid w:val="004D37AE"/>
    <w:rsid w:val="00564A71"/>
    <w:rsid w:val="00900232"/>
    <w:rsid w:val="00BA690B"/>
    <w:rsid w:val="00D424FD"/>
    <w:rsid w:val="00FC0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23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23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4926">
      <w:bodyDiv w:val="1"/>
      <w:marLeft w:val="0"/>
      <w:marRight w:val="0"/>
      <w:marTop w:val="0"/>
      <w:marBottom w:val="0"/>
      <w:divBdr>
        <w:top w:val="none" w:sz="0" w:space="0" w:color="auto"/>
        <w:left w:val="none" w:sz="0" w:space="0" w:color="auto"/>
        <w:bottom w:val="none" w:sz="0" w:space="0" w:color="auto"/>
        <w:right w:val="none" w:sz="0" w:space="0" w:color="auto"/>
      </w:divBdr>
    </w:div>
    <w:div w:id="11340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355</Words>
  <Characters>2027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Albracht, Brittney</dc:creator>
  <cp:lastModifiedBy>Albracht, Brittney</cp:lastModifiedBy>
  <cp:revision>2</cp:revision>
  <dcterms:created xsi:type="dcterms:W3CDTF">2014-10-22T17:34:00Z</dcterms:created>
  <dcterms:modified xsi:type="dcterms:W3CDTF">2014-10-22T17:34:00Z</dcterms:modified>
</cp:coreProperties>
</file>