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A2A" w:rsidRPr="00860B35" w:rsidRDefault="00B348EB" w:rsidP="009F445E">
      <w:pPr>
        <w:jc w:val="center"/>
        <w:rPr>
          <w:rFonts w:asciiTheme="majorHAnsi" w:hAnsiTheme="majorHAnsi"/>
          <w:b/>
          <w:bCs/>
          <w:sz w:val="28"/>
          <w:szCs w:val="28"/>
        </w:rPr>
      </w:pPr>
      <w:r w:rsidRPr="00860B35">
        <w:rPr>
          <w:rFonts w:asciiTheme="majorHAnsi" w:hAnsiTheme="majorHAnsi"/>
          <w:b/>
          <w:bCs/>
          <w:sz w:val="28"/>
          <w:szCs w:val="28"/>
        </w:rPr>
        <w:t>DWG Report to ROS</w:t>
      </w:r>
    </w:p>
    <w:p w:rsidR="00453419" w:rsidRPr="00860B35" w:rsidRDefault="007E6139" w:rsidP="009F445E">
      <w:pPr>
        <w:jc w:val="center"/>
        <w:rPr>
          <w:rFonts w:asciiTheme="majorHAnsi" w:hAnsiTheme="majorHAnsi"/>
          <w:sz w:val="28"/>
          <w:szCs w:val="28"/>
        </w:rPr>
      </w:pPr>
      <w:r>
        <w:rPr>
          <w:rFonts w:asciiTheme="majorHAnsi" w:hAnsiTheme="majorHAnsi"/>
          <w:sz w:val="28"/>
          <w:szCs w:val="28"/>
        </w:rPr>
        <w:t>September</w:t>
      </w:r>
      <w:r w:rsidR="00C92106">
        <w:rPr>
          <w:rFonts w:asciiTheme="majorHAnsi" w:hAnsiTheme="majorHAnsi"/>
          <w:sz w:val="28"/>
          <w:szCs w:val="28"/>
        </w:rPr>
        <w:t xml:space="preserve"> </w:t>
      </w:r>
      <w:r w:rsidR="00453419" w:rsidRPr="00860B35">
        <w:rPr>
          <w:rFonts w:asciiTheme="majorHAnsi" w:hAnsiTheme="majorHAnsi"/>
          <w:sz w:val="28"/>
          <w:szCs w:val="28"/>
        </w:rPr>
        <w:t>201</w:t>
      </w:r>
      <w:r w:rsidR="00AE776F" w:rsidRPr="00860B35">
        <w:rPr>
          <w:rFonts w:asciiTheme="majorHAnsi" w:hAnsiTheme="majorHAnsi"/>
          <w:sz w:val="28"/>
          <w:szCs w:val="28"/>
        </w:rPr>
        <w:t>4</w:t>
      </w:r>
    </w:p>
    <w:p w:rsidR="00252682" w:rsidRDefault="00252682" w:rsidP="00E67AF6">
      <w:pPr>
        <w:pStyle w:val="ListParagraph"/>
        <w:numPr>
          <w:ilvl w:val="0"/>
          <w:numId w:val="1"/>
        </w:numPr>
        <w:rPr>
          <w:rFonts w:asciiTheme="majorHAnsi" w:hAnsiTheme="majorHAnsi" w:cstheme="minorHAnsi"/>
          <w:sz w:val="24"/>
          <w:szCs w:val="24"/>
        </w:rPr>
      </w:pPr>
      <w:r>
        <w:rPr>
          <w:rFonts w:asciiTheme="majorHAnsi" w:hAnsiTheme="majorHAnsi" w:cstheme="minorHAnsi"/>
          <w:sz w:val="24"/>
          <w:szCs w:val="24"/>
        </w:rPr>
        <w:t>Work</w:t>
      </w:r>
      <w:r w:rsidR="00C92106">
        <w:rPr>
          <w:rFonts w:asciiTheme="majorHAnsi" w:hAnsiTheme="majorHAnsi" w:cstheme="minorHAnsi"/>
          <w:sz w:val="24"/>
          <w:szCs w:val="24"/>
        </w:rPr>
        <w:t xml:space="preserve"> </w:t>
      </w:r>
      <w:r w:rsidR="005503C9">
        <w:rPr>
          <w:rFonts w:asciiTheme="majorHAnsi" w:hAnsiTheme="majorHAnsi" w:cstheme="minorHAnsi"/>
          <w:sz w:val="24"/>
          <w:szCs w:val="24"/>
        </w:rPr>
        <w:t>continues</w:t>
      </w:r>
      <w:r w:rsidR="00C92106">
        <w:rPr>
          <w:rFonts w:asciiTheme="majorHAnsi" w:hAnsiTheme="majorHAnsi" w:cstheme="minorHAnsi"/>
          <w:sz w:val="24"/>
          <w:szCs w:val="24"/>
        </w:rPr>
        <w:t xml:space="preserve"> on the HWLL2017 Flat Start Case.</w:t>
      </w:r>
    </w:p>
    <w:p w:rsidR="007E6139" w:rsidRDefault="007E6139" w:rsidP="007E6139">
      <w:pPr>
        <w:pStyle w:val="ListParagraph"/>
        <w:numPr>
          <w:ilvl w:val="1"/>
          <w:numId w:val="1"/>
        </w:numPr>
        <w:rPr>
          <w:rFonts w:asciiTheme="majorHAnsi" w:hAnsiTheme="majorHAnsi" w:cstheme="minorHAnsi"/>
          <w:sz w:val="24"/>
          <w:szCs w:val="24"/>
        </w:rPr>
      </w:pPr>
      <w:r>
        <w:rPr>
          <w:rFonts w:asciiTheme="majorHAnsi" w:hAnsiTheme="majorHAnsi" w:cstheme="minorHAnsi"/>
          <w:sz w:val="24"/>
          <w:szCs w:val="24"/>
        </w:rPr>
        <w:t>Several wind farms were not represented by the June TPIT case but met the Planning Guide criteria to be</w:t>
      </w:r>
      <w:r w:rsidR="005B57A4">
        <w:rPr>
          <w:rFonts w:asciiTheme="majorHAnsi" w:hAnsiTheme="majorHAnsi" w:cstheme="minorHAnsi"/>
          <w:sz w:val="24"/>
          <w:szCs w:val="24"/>
        </w:rPr>
        <w:t xml:space="preserve"> </w:t>
      </w:r>
      <w:r>
        <w:rPr>
          <w:rFonts w:asciiTheme="majorHAnsi" w:hAnsiTheme="majorHAnsi" w:cstheme="minorHAnsi"/>
          <w:sz w:val="24"/>
          <w:szCs w:val="24"/>
        </w:rPr>
        <w:t xml:space="preserve">included in the HWLL case. </w:t>
      </w:r>
    </w:p>
    <w:p w:rsidR="007E6139" w:rsidRDefault="007E6139" w:rsidP="007E6139">
      <w:pPr>
        <w:pStyle w:val="ListParagraph"/>
        <w:numPr>
          <w:ilvl w:val="1"/>
          <w:numId w:val="1"/>
        </w:numPr>
        <w:rPr>
          <w:rFonts w:asciiTheme="majorHAnsi" w:hAnsiTheme="majorHAnsi" w:cstheme="minorHAnsi"/>
          <w:sz w:val="24"/>
          <w:szCs w:val="24"/>
        </w:rPr>
      </w:pPr>
      <w:r>
        <w:rPr>
          <w:rFonts w:asciiTheme="majorHAnsi" w:hAnsiTheme="majorHAnsi" w:cstheme="minorHAnsi"/>
          <w:sz w:val="24"/>
          <w:szCs w:val="24"/>
        </w:rPr>
        <w:t xml:space="preserve">On the July 30 conference call, it was decided to keep the same amount of total wind but </w:t>
      </w:r>
      <w:proofErr w:type="spellStart"/>
      <w:r>
        <w:rPr>
          <w:rFonts w:asciiTheme="majorHAnsi" w:hAnsiTheme="majorHAnsi" w:cstheme="minorHAnsi"/>
          <w:sz w:val="24"/>
          <w:szCs w:val="24"/>
        </w:rPr>
        <w:t>redispatch</w:t>
      </w:r>
      <w:proofErr w:type="spellEnd"/>
      <w:r>
        <w:rPr>
          <w:rFonts w:asciiTheme="majorHAnsi" w:hAnsiTheme="majorHAnsi" w:cstheme="minorHAnsi"/>
          <w:sz w:val="24"/>
          <w:szCs w:val="24"/>
        </w:rPr>
        <w:t xml:space="preserve"> the wind to include the new wind.  Dispatch at </w:t>
      </w:r>
      <w:r w:rsidR="005B57A4">
        <w:rPr>
          <w:rFonts w:asciiTheme="majorHAnsi" w:hAnsiTheme="majorHAnsi" w:cstheme="minorHAnsi"/>
          <w:sz w:val="24"/>
          <w:szCs w:val="24"/>
        </w:rPr>
        <w:t>individual</w:t>
      </w:r>
      <w:r>
        <w:rPr>
          <w:rFonts w:asciiTheme="majorHAnsi" w:hAnsiTheme="majorHAnsi" w:cstheme="minorHAnsi"/>
          <w:sz w:val="24"/>
          <w:szCs w:val="24"/>
        </w:rPr>
        <w:t xml:space="preserve"> wind farms went from 97% to 71.5%</w:t>
      </w:r>
    </w:p>
    <w:p w:rsidR="007E6139" w:rsidRPr="007E6139" w:rsidRDefault="002A4D98" w:rsidP="007E6139">
      <w:pPr>
        <w:pStyle w:val="ListParagraph"/>
        <w:numPr>
          <w:ilvl w:val="0"/>
          <w:numId w:val="1"/>
        </w:numPr>
        <w:rPr>
          <w:rFonts w:asciiTheme="majorHAnsi" w:hAnsiTheme="majorHAnsi" w:cstheme="minorHAnsi"/>
          <w:sz w:val="24"/>
          <w:szCs w:val="24"/>
        </w:rPr>
      </w:pPr>
      <w:r>
        <w:rPr>
          <w:rFonts w:asciiTheme="majorHAnsi" w:hAnsiTheme="majorHAnsi" w:cstheme="minorHAnsi"/>
          <w:sz w:val="24"/>
          <w:szCs w:val="24"/>
        </w:rPr>
        <w:t xml:space="preserve">Work </w:t>
      </w:r>
      <w:r w:rsidR="00C06C90">
        <w:rPr>
          <w:rFonts w:asciiTheme="majorHAnsi" w:hAnsiTheme="majorHAnsi" w:cstheme="minorHAnsi"/>
          <w:sz w:val="24"/>
          <w:szCs w:val="24"/>
        </w:rPr>
        <w:t xml:space="preserve">continues </w:t>
      </w:r>
      <w:r>
        <w:rPr>
          <w:rFonts w:asciiTheme="majorHAnsi" w:hAnsiTheme="majorHAnsi" w:cstheme="minorHAnsi"/>
          <w:sz w:val="24"/>
          <w:szCs w:val="24"/>
        </w:rPr>
        <w:t>on the FY2020 flat Start Case.</w:t>
      </w:r>
    </w:p>
    <w:p w:rsidR="007E6139" w:rsidRDefault="007E6139" w:rsidP="007E6139">
      <w:pPr>
        <w:pStyle w:val="ListParagraph"/>
        <w:numPr>
          <w:ilvl w:val="0"/>
          <w:numId w:val="1"/>
        </w:numPr>
        <w:rPr>
          <w:rFonts w:asciiTheme="majorHAnsi" w:hAnsiTheme="majorHAnsi" w:cstheme="minorHAnsi"/>
          <w:sz w:val="24"/>
          <w:szCs w:val="24"/>
        </w:rPr>
      </w:pPr>
      <w:r>
        <w:rPr>
          <w:rFonts w:asciiTheme="majorHAnsi" w:hAnsiTheme="majorHAnsi" w:cstheme="minorHAnsi"/>
          <w:sz w:val="24"/>
          <w:szCs w:val="24"/>
        </w:rPr>
        <w:t>At the DWG meeting on Aug 14 015 , 2014</w:t>
      </w:r>
    </w:p>
    <w:p w:rsidR="007E6139" w:rsidRDefault="000A1E25" w:rsidP="007E6139">
      <w:pPr>
        <w:pStyle w:val="ListParagraph"/>
        <w:numPr>
          <w:ilvl w:val="1"/>
          <w:numId w:val="1"/>
        </w:numPr>
        <w:rPr>
          <w:rFonts w:asciiTheme="majorHAnsi" w:hAnsiTheme="majorHAnsi" w:cstheme="minorHAnsi"/>
          <w:sz w:val="24"/>
          <w:szCs w:val="24"/>
        </w:rPr>
      </w:pPr>
      <w:r>
        <w:rPr>
          <w:rFonts w:asciiTheme="majorHAnsi" w:hAnsiTheme="majorHAnsi" w:cstheme="minorHAnsi"/>
          <w:sz w:val="24"/>
          <w:szCs w:val="24"/>
        </w:rPr>
        <w:t>System</w:t>
      </w:r>
      <w:r w:rsidR="007E6139">
        <w:rPr>
          <w:rFonts w:asciiTheme="majorHAnsi" w:hAnsiTheme="majorHAnsi" w:cstheme="minorHAnsi"/>
          <w:sz w:val="24"/>
          <w:szCs w:val="24"/>
        </w:rPr>
        <w:t xml:space="preserve"> Strength Workshop was discussed.</w:t>
      </w:r>
    </w:p>
    <w:p w:rsidR="007E6139" w:rsidRDefault="007E6139" w:rsidP="007E6139">
      <w:pPr>
        <w:pStyle w:val="ListParagraph"/>
        <w:numPr>
          <w:ilvl w:val="2"/>
          <w:numId w:val="1"/>
        </w:numPr>
        <w:rPr>
          <w:rFonts w:asciiTheme="majorHAnsi" w:hAnsiTheme="majorHAnsi" w:cstheme="minorHAnsi"/>
          <w:sz w:val="24"/>
          <w:szCs w:val="24"/>
        </w:rPr>
      </w:pPr>
      <w:r>
        <w:rPr>
          <w:rFonts w:asciiTheme="majorHAnsi" w:hAnsiTheme="majorHAnsi" w:cstheme="minorHAnsi"/>
          <w:sz w:val="24"/>
          <w:szCs w:val="24"/>
        </w:rPr>
        <w:t xml:space="preserve">The group felt that both the CSCR and the WSCR were similar.  The WSCR seemed somewhat easier to implement since it did not require the topology change of zero impedance lines to gang wind farms.  The WSCR ratio also would show a difference in performance </w:t>
      </w:r>
      <w:r w:rsidR="000A1E25">
        <w:rPr>
          <w:rFonts w:asciiTheme="majorHAnsi" w:hAnsiTheme="majorHAnsi" w:cstheme="minorHAnsi"/>
          <w:sz w:val="24"/>
          <w:szCs w:val="24"/>
        </w:rPr>
        <w:t>in a case studying the impact of adding generation in at specific locations in an area.  This is because the generation in the area is not ganged together.</w:t>
      </w:r>
    </w:p>
    <w:p w:rsidR="000A1E25" w:rsidRPr="007E6139" w:rsidRDefault="000A1E25" w:rsidP="007E6139">
      <w:pPr>
        <w:pStyle w:val="ListParagraph"/>
        <w:numPr>
          <w:ilvl w:val="2"/>
          <w:numId w:val="1"/>
        </w:numPr>
        <w:rPr>
          <w:rFonts w:asciiTheme="majorHAnsi" w:hAnsiTheme="majorHAnsi" w:cstheme="minorHAnsi"/>
          <w:sz w:val="24"/>
          <w:szCs w:val="24"/>
        </w:rPr>
      </w:pPr>
      <w:r>
        <w:rPr>
          <w:rFonts w:asciiTheme="majorHAnsi" w:hAnsiTheme="majorHAnsi" w:cstheme="minorHAnsi"/>
          <w:sz w:val="24"/>
          <w:szCs w:val="24"/>
        </w:rPr>
        <w:t>As far as specific thresholds for each method, DWG felt that the existing information provided about specific thresholds for both methods was insufficient for DWG to endorse any particular threshold.</w:t>
      </w:r>
    </w:p>
    <w:p w:rsidR="00AD09A8" w:rsidRDefault="000A1E25" w:rsidP="003851C7">
      <w:pPr>
        <w:pStyle w:val="ListParagraph"/>
        <w:numPr>
          <w:ilvl w:val="1"/>
          <w:numId w:val="1"/>
        </w:numPr>
        <w:rPr>
          <w:rFonts w:asciiTheme="majorHAnsi" w:hAnsiTheme="majorHAnsi" w:cstheme="minorHAnsi"/>
          <w:sz w:val="24"/>
          <w:szCs w:val="24"/>
        </w:rPr>
      </w:pPr>
      <w:r>
        <w:rPr>
          <w:rFonts w:asciiTheme="majorHAnsi" w:hAnsiTheme="majorHAnsi" w:cstheme="minorHAnsi"/>
          <w:sz w:val="24"/>
          <w:szCs w:val="24"/>
        </w:rPr>
        <w:t xml:space="preserve">Procedure Manual revisions and changes to the Planning Guide were discussed to implement criteria needed </w:t>
      </w:r>
      <w:r w:rsidR="001F140C">
        <w:rPr>
          <w:rFonts w:asciiTheme="majorHAnsi" w:hAnsiTheme="majorHAnsi" w:cstheme="minorHAnsi"/>
          <w:sz w:val="24"/>
          <w:szCs w:val="24"/>
        </w:rPr>
        <w:t>for the upcoming NERC TPL 001-</w:t>
      </w:r>
      <w:r>
        <w:rPr>
          <w:rFonts w:asciiTheme="majorHAnsi" w:hAnsiTheme="majorHAnsi" w:cstheme="minorHAnsi"/>
          <w:sz w:val="24"/>
          <w:szCs w:val="24"/>
        </w:rPr>
        <w:t>4 standard.</w:t>
      </w:r>
    </w:p>
    <w:p w:rsidR="000A1E25" w:rsidRDefault="000A1E25" w:rsidP="003851C7">
      <w:pPr>
        <w:pStyle w:val="ListParagraph"/>
        <w:numPr>
          <w:ilvl w:val="2"/>
          <w:numId w:val="1"/>
        </w:numPr>
        <w:rPr>
          <w:rFonts w:asciiTheme="majorHAnsi" w:hAnsiTheme="majorHAnsi" w:cstheme="minorHAnsi"/>
          <w:sz w:val="24"/>
          <w:szCs w:val="24"/>
        </w:rPr>
      </w:pPr>
      <w:r>
        <w:rPr>
          <w:rFonts w:asciiTheme="majorHAnsi" w:hAnsiTheme="majorHAnsi" w:cstheme="minorHAnsi"/>
          <w:sz w:val="24"/>
          <w:szCs w:val="24"/>
        </w:rPr>
        <w:t>Number of flat starts</w:t>
      </w:r>
    </w:p>
    <w:p w:rsidR="000A1E25" w:rsidRDefault="000A1E25" w:rsidP="003851C7">
      <w:pPr>
        <w:pStyle w:val="ListParagraph"/>
        <w:numPr>
          <w:ilvl w:val="2"/>
          <w:numId w:val="1"/>
        </w:numPr>
        <w:rPr>
          <w:rFonts w:asciiTheme="majorHAnsi" w:hAnsiTheme="majorHAnsi" w:cstheme="minorHAnsi"/>
          <w:sz w:val="24"/>
          <w:szCs w:val="24"/>
        </w:rPr>
      </w:pPr>
      <w:r>
        <w:rPr>
          <w:rFonts w:asciiTheme="majorHAnsi" w:hAnsiTheme="majorHAnsi" w:cstheme="minorHAnsi"/>
          <w:sz w:val="24"/>
          <w:szCs w:val="24"/>
        </w:rPr>
        <w:t xml:space="preserve">Transient </w:t>
      </w:r>
      <w:r w:rsidR="00D2553C">
        <w:rPr>
          <w:rFonts w:asciiTheme="majorHAnsi" w:hAnsiTheme="majorHAnsi" w:cstheme="minorHAnsi"/>
          <w:sz w:val="24"/>
          <w:szCs w:val="24"/>
        </w:rPr>
        <w:t>v</w:t>
      </w:r>
      <w:r>
        <w:rPr>
          <w:rFonts w:asciiTheme="majorHAnsi" w:hAnsiTheme="majorHAnsi" w:cstheme="minorHAnsi"/>
          <w:sz w:val="24"/>
          <w:szCs w:val="24"/>
        </w:rPr>
        <w:t>oltage criteria</w:t>
      </w:r>
    </w:p>
    <w:p w:rsidR="000A1E25" w:rsidRDefault="000A1E25" w:rsidP="003851C7">
      <w:pPr>
        <w:pStyle w:val="ListParagraph"/>
        <w:numPr>
          <w:ilvl w:val="2"/>
          <w:numId w:val="1"/>
        </w:numPr>
        <w:rPr>
          <w:rFonts w:asciiTheme="majorHAnsi" w:hAnsiTheme="majorHAnsi" w:cstheme="minorHAnsi"/>
          <w:sz w:val="24"/>
          <w:szCs w:val="24"/>
        </w:rPr>
      </w:pPr>
      <w:r>
        <w:rPr>
          <w:rFonts w:asciiTheme="majorHAnsi" w:hAnsiTheme="majorHAnsi" w:cstheme="minorHAnsi"/>
          <w:sz w:val="24"/>
          <w:szCs w:val="24"/>
        </w:rPr>
        <w:t>Damping criteria</w:t>
      </w:r>
      <w:bookmarkStart w:id="0" w:name="_GoBack"/>
      <w:bookmarkEnd w:id="0"/>
    </w:p>
    <w:p w:rsidR="000A1E25" w:rsidRDefault="000A1E25" w:rsidP="003851C7">
      <w:pPr>
        <w:pStyle w:val="ListParagraph"/>
        <w:numPr>
          <w:ilvl w:val="1"/>
          <w:numId w:val="1"/>
        </w:numPr>
        <w:rPr>
          <w:rFonts w:asciiTheme="majorHAnsi" w:hAnsiTheme="majorHAnsi" w:cstheme="minorHAnsi"/>
          <w:sz w:val="24"/>
          <w:szCs w:val="24"/>
        </w:rPr>
      </w:pPr>
      <w:r>
        <w:rPr>
          <w:rFonts w:asciiTheme="majorHAnsi" w:hAnsiTheme="majorHAnsi" w:cstheme="minorHAnsi"/>
          <w:sz w:val="24"/>
          <w:szCs w:val="24"/>
        </w:rPr>
        <w:t>Additional Procedure manual changes were discussed</w:t>
      </w:r>
    </w:p>
    <w:p w:rsidR="000A1E25" w:rsidRDefault="000A1E25" w:rsidP="003851C7">
      <w:pPr>
        <w:pStyle w:val="ListParagraph"/>
        <w:numPr>
          <w:ilvl w:val="2"/>
          <w:numId w:val="1"/>
        </w:numPr>
        <w:rPr>
          <w:rFonts w:asciiTheme="majorHAnsi" w:hAnsiTheme="majorHAnsi" w:cstheme="minorHAnsi"/>
          <w:sz w:val="24"/>
          <w:szCs w:val="24"/>
        </w:rPr>
      </w:pPr>
      <w:r>
        <w:rPr>
          <w:rFonts w:asciiTheme="majorHAnsi" w:hAnsiTheme="majorHAnsi" w:cstheme="minorHAnsi"/>
          <w:sz w:val="24"/>
          <w:szCs w:val="24"/>
        </w:rPr>
        <w:t xml:space="preserve">DWG </w:t>
      </w:r>
      <w:r w:rsidR="00D2553C">
        <w:rPr>
          <w:rFonts w:asciiTheme="majorHAnsi" w:hAnsiTheme="majorHAnsi" w:cstheme="minorHAnsi"/>
          <w:sz w:val="24"/>
          <w:szCs w:val="24"/>
        </w:rPr>
        <w:t>c</w:t>
      </w:r>
      <w:r>
        <w:rPr>
          <w:rFonts w:asciiTheme="majorHAnsi" w:hAnsiTheme="majorHAnsi" w:cstheme="minorHAnsi"/>
          <w:sz w:val="24"/>
          <w:szCs w:val="24"/>
        </w:rPr>
        <w:t>ontingency list</w:t>
      </w:r>
    </w:p>
    <w:p w:rsidR="000A1E25" w:rsidRDefault="000A1E25" w:rsidP="003851C7">
      <w:pPr>
        <w:pStyle w:val="ListParagraph"/>
        <w:numPr>
          <w:ilvl w:val="2"/>
          <w:numId w:val="1"/>
        </w:numPr>
        <w:rPr>
          <w:rFonts w:asciiTheme="majorHAnsi" w:hAnsiTheme="majorHAnsi" w:cstheme="minorHAnsi"/>
          <w:sz w:val="24"/>
          <w:szCs w:val="24"/>
        </w:rPr>
      </w:pPr>
      <w:r>
        <w:rPr>
          <w:rFonts w:asciiTheme="majorHAnsi" w:hAnsiTheme="majorHAnsi" w:cstheme="minorHAnsi"/>
          <w:sz w:val="24"/>
          <w:szCs w:val="24"/>
        </w:rPr>
        <w:t>Load dynamic</w:t>
      </w:r>
      <w:r w:rsidR="005B57A4">
        <w:rPr>
          <w:rFonts w:asciiTheme="majorHAnsi" w:hAnsiTheme="majorHAnsi" w:cstheme="minorHAnsi"/>
          <w:sz w:val="24"/>
          <w:szCs w:val="24"/>
        </w:rPr>
        <w:t xml:space="preserve"> motor </w:t>
      </w:r>
      <w:r>
        <w:rPr>
          <w:rFonts w:asciiTheme="majorHAnsi" w:hAnsiTheme="majorHAnsi" w:cstheme="minorHAnsi"/>
          <w:sz w:val="24"/>
          <w:szCs w:val="24"/>
        </w:rPr>
        <w:t>models</w:t>
      </w:r>
      <w:r w:rsidR="005B57A4">
        <w:rPr>
          <w:rFonts w:asciiTheme="majorHAnsi" w:hAnsiTheme="majorHAnsi" w:cstheme="minorHAnsi"/>
          <w:sz w:val="24"/>
          <w:szCs w:val="24"/>
        </w:rPr>
        <w:t xml:space="preserve"> submitted with flat start</w:t>
      </w:r>
    </w:p>
    <w:p w:rsidR="000A1E25" w:rsidRPr="000A1E25" w:rsidRDefault="000A1E25" w:rsidP="003851C7">
      <w:pPr>
        <w:pStyle w:val="ListParagraph"/>
        <w:numPr>
          <w:ilvl w:val="2"/>
          <w:numId w:val="1"/>
        </w:numPr>
        <w:rPr>
          <w:rFonts w:asciiTheme="majorHAnsi" w:hAnsiTheme="majorHAnsi" w:cstheme="minorHAnsi"/>
          <w:sz w:val="24"/>
          <w:szCs w:val="24"/>
        </w:rPr>
      </w:pPr>
      <w:r>
        <w:rPr>
          <w:rFonts w:asciiTheme="majorHAnsi" w:hAnsiTheme="majorHAnsi" w:cstheme="minorHAnsi"/>
          <w:sz w:val="24"/>
          <w:szCs w:val="24"/>
        </w:rPr>
        <w:t xml:space="preserve">Relay models for generation swings and fast </w:t>
      </w:r>
      <w:r w:rsidR="005B57A4">
        <w:rPr>
          <w:rFonts w:asciiTheme="majorHAnsi" w:hAnsiTheme="majorHAnsi" w:cstheme="minorHAnsi"/>
          <w:sz w:val="24"/>
          <w:szCs w:val="24"/>
        </w:rPr>
        <w:t>reclosing relays</w:t>
      </w:r>
    </w:p>
    <w:p w:rsidR="00855FB5" w:rsidRDefault="00855FB5" w:rsidP="00E67AF6">
      <w:pPr>
        <w:pStyle w:val="ListParagraph"/>
        <w:numPr>
          <w:ilvl w:val="0"/>
          <w:numId w:val="1"/>
        </w:numPr>
        <w:rPr>
          <w:rFonts w:asciiTheme="majorHAnsi" w:hAnsiTheme="majorHAnsi" w:cstheme="minorHAnsi"/>
          <w:sz w:val="24"/>
          <w:szCs w:val="24"/>
        </w:rPr>
      </w:pPr>
      <w:r>
        <w:rPr>
          <w:rFonts w:asciiTheme="majorHAnsi" w:hAnsiTheme="majorHAnsi" w:cstheme="minorHAnsi"/>
          <w:sz w:val="24"/>
          <w:szCs w:val="24"/>
        </w:rPr>
        <w:t xml:space="preserve">Conference call is scheduled for Sept 3 to discuss </w:t>
      </w:r>
      <w:r w:rsidR="007177A5">
        <w:rPr>
          <w:rFonts w:asciiTheme="majorHAnsi" w:hAnsiTheme="majorHAnsi" w:cstheme="minorHAnsi"/>
          <w:sz w:val="24"/>
          <w:szCs w:val="24"/>
        </w:rPr>
        <w:t xml:space="preserve">DWG </w:t>
      </w:r>
      <w:r>
        <w:rPr>
          <w:rFonts w:asciiTheme="majorHAnsi" w:hAnsiTheme="majorHAnsi" w:cstheme="minorHAnsi"/>
          <w:sz w:val="24"/>
          <w:szCs w:val="24"/>
        </w:rPr>
        <w:t>Procedure</w:t>
      </w:r>
      <w:r w:rsidR="007177A5">
        <w:rPr>
          <w:rFonts w:asciiTheme="majorHAnsi" w:hAnsiTheme="majorHAnsi" w:cstheme="minorHAnsi"/>
          <w:sz w:val="24"/>
          <w:szCs w:val="24"/>
        </w:rPr>
        <w:t xml:space="preserve"> Manual</w:t>
      </w:r>
      <w:r>
        <w:rPr>
          <w:rFonts w:asciiTheme="majorHAnsi" w:hAnsiTheme="majorHAnsi" w:cstheme="minorHAnsi"/>
          <w:sz w:val="24"/>
          <w:szCs w:val="24"/>
        </w:rPr>
        <w:t xml:space="preserve"> revisions</w:t>
      </w:r>
    </w:p>
    <w:p w:rsidR="00855FB5" w:rsidRPr="00855FB5" w:rsidRDefault="007E6139" w:rsidP="00855FB5">
      <w:pPr>
        <w:pStyle w:val="ListParagraph"/>
        <w:numPr>
          <w:ilvl w:val="0"/>
          <w:numId w:val="1"/>
        </w:numPr>
        <w:rPr>
          <w:rFonts w:asciiTheme="majorHAnsi" w:hAnsiTheme="majorHAnsi" w:cstheme="minorHAnsi"/>
          <w:sz w:val="24"/>
          <w:szCs w:val="24"/>
        </w:rPr>
      </w:pPr>
      <w:r>
        <w:rPr>
          <w:rFonts w:asciiTheme="majorHAnsi" w:hAnsiTheme="majorHAnsi" w:cstheme="minorHAnsi"/>
          <w:sz w:val="24"/>
          <w:szCs w:val="24"/>
        </w:rPr>
        <w:t xml:space="preserve">Next meeting is scheduled for December 10-11, 2014.  </w:t>
      </w:r>
    </w:p>
    <w:p w:rsidR="00860B35" w:rsidRPr="00860B35" w:rsidRDefault="00860B35" w:rsidP="00860B35">
      <w:pPr>
        <w:rPr>
          <w:rFonts w:asciiTheme="majorHAnsi" w:hAnsiTheme="majorHAnsi"/>
          <w:sz w:val="24"/>
          <w:szCs w:val="24"/>
        </w:rPr>
      </w:pPr>
    </w:p>
    <w:sectPr w:rsidR="00860B35" w:rsidRPr="00860B35" w:rsidSect="00B74A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364AF"/>
    <w:multiLevelType w:val="multilevel"/>
    <w:tmpl w:val="1D6ADA4E"/>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53BB00BA"/>
    <w:multiLevelType w:val="hybridMultilevel"/>
    <w:tmpl w:val="254EAC60"/>
    <w:lvl w:ilvl="0" w:tplc="BF20AF7A">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9"/>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8EB"/>
    <w:rsid w:val="000073E6"/>
    <w:rsid w:val="00010682"/>
    <w:rsid w:val="0002421C"/>
    <w:rsid w:val="000A1E25"/>
    <w:rsid w:val="000C7FB7"/>
    <w:rsid w:val="000E22CE"/>
    <w:rsid w:val="00140095"/>
    <w:rsid w:val="00163ADC"/>
    <w:rsid w:val="001725E3"/>
    <w:rsid w:val="001855E0"/>
    <w:rsid w:val="001933A5"/>
    <w:rsid w:val="001C111B"/>
    <w:rsid w:val="001D35B1"/>
    <w:rsid w:val="001F140C"/>
    <w:rsid w:val="002110B9"/>
    <w:rsid w:val="002116E6"/>
    <w:rsid w:val="00221FB9"/>
    <w:rsid w:val="00252682"/>
    <w:rsid w:val="00261C12"/>
    <w:rsid w:val="002634AD"/>
    <w:rsid w:val="002828BE"/>
    <w:rsid w:val="002A0433"/>
    <w:rsid w:val="002A4D98"/>
    <w:rsid w:val="002B262F"/>
    <w:rsid w:val="00311553"/>
    <w:rsid w:val="00344332"/>
    <w:rsid w:val="003734F7"/>
    <w:rsid w:val="003851C7"/>
    <w:rsid w:val="00392991"/>
    <w:rsid w:val="00396DB4"/>
    <w:rsid w:val="003A3518"/>
    <w:rsid w:val="003F7B76"/>
    <w:rsid w:val="0045289A"/>
    <w:rsid w:val="00453419"/>
    <w:rsid w:val="004871B1"/>
    <w:rsid w:val="004B7A0E"/>
    <w:rsid w:val="004C69C5"/>
    <w:rsid w:val="004D2151"/>
    <w:rsid w:val="005503C9"/>
    <w:rsid w:val="005B57A4"/>
    <w:rsid w:val="005C0F97"/>
    <w:rsid w:val="006379B4"/>
    <w:rsid w:val="00654EEF"/>
    <w:rsid w:val="006723C6"/>
    <w:rsid w:val="006A3910"/>
    <w:rsid w:val="006B7372"/>
    <w:rsid w:val="006D5524"/>
    <w:rsid w:val="006E0B0E"/>
    <w:rsid w:val="00702B14"/>
    <w:rsid w:val="007177A5"/>
    <w:rsid w:val="00763A2D"/>
    <w:rsid w:val="007674B6"/>
    <w:rsid w:val="007E6139"/>
    <w:rsid w:val="00855FB5"/>
    <w:rsid w:val="00860B35"/>
    <w:rsid w:val="00895A9A"/>
    <w:rsid w:val="008A7A2D"/>
    <w:rsid w:val="008B174D"/>
    <w:rsid w:val="008E1EEB"/>
    <w:rsid w:val="008F462E"/>
    <w:rsid w:val="00924340"/>
    <w:rsid w:val="00931BEE"/>
    <w:rsid w:val="009453F8"/>
    <w:rsid w:val="0097244F"/>
    <w:rsid w:val="00980D87"/>
    <w:rsid w:val="009B073E"/>
    <w:rsid w:val="009F445E"/>
    <w:rsid w:val="00A31D8D"/>
    <w:rsid w:val="00A42F88"/>
    <w:rsid w:val="00A8591D"/>
    <w:rsid w:val="00AD09A8"/>
    <w:rsid w:val="00AE776F"/>
    <w:rsid w:val="00B06595"/>
    <w:rsid w:val="00B23280"/>
    <w:rsid w:val="00B24A2C"/>
    <w:rsid w:val="00B348EB"/>
    <w:rsid w:val="00B36785"/>
    <w:rsid w:val="00B74A2A"/>
    <w:rsid w:val="00B824E3"/>
    <w:rsid w:val="00BC5D0D"/>
    <w:rsid w:val="00BD78DB"/>
    <w:rsid w:val="00C01915"/>
    <w:rsid w:val="00C06C90"/>
    <w:rsid w:val="00C46E74"/>
    <w:rsid w:val="00C66124"/>
    <w:rsid w:val="00C67E8D"/>
    <w:rsid w:val="00C92106"/>
    <w:rsid w:val="00C95D7C"/>
    <w:rsid w:val="00CB3DF9"/>
    <w:rsid w:val="00CC6B71"/>
    <w:rsid w:val="00D2455D"/>
    <w:rsid w:val="00D2553C"/>
    <w:rsid w:val="00D55415"/>
    <w:rsid w:val="00D67FC1"/>
    <w:rsid w:val="00D731A7"/>
    <w:rsid w:val="00DA02BF"/>
    <w:rsid w:val="00DC7F8F"/>
    <w:rsid w:val="00DE0363"/>
    <w:rsid w:val="00E05D6E"/>
    <w:rsid w:val="00E26B1F"/>
    <w:rsid w:val="00E45873"/>
    <w:rsid w:val="00E63B6B"/>
    <w:rsid w:val="00E67AF6"/>
    <w:rsid w:val="00E72F06"/>
    <w:rsid w:val="00E83BEA"/>
    <w:rsid w:val="00EB39E3"/>
    <w:rsid w:val="00EB7852"/>
    <w:rsid w:val="00F01890"/>
    <w:rsid w:val="00F8683C"/>
    <w:rsid w:val="00FA4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48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48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52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Austin Energy</Company>
  <LinksUpToDate>false</LinksUpToDate>
  <CharactersWithSpaces>1675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ebrahimian</dc:creator>
  <cp:lastModifiedBy>Chessmore, Carol</cp:lastModifiedBy>
  <cp:revision>2</cp:revision>
  <dcterms:created xsi:type="dcterms:W3CDTF">2014-08-25T18:38:00Z</dcterms:created>
  <dcterms:modified xsi:type="dcterms:W3CDTF">2014-08-25T18:38:00Z</dcterms:modified>
</cp:coreProperties>
</file>