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C57360" w:rsidP="00A0788C">
      <w:pPr>
        <w:spacing w:after="0"/>
        <w:jc w:val="center"/>
        <w:rPr>
          <w:rFonts w:ascii="Times New Roman" w:hAnsi="Times New Roman" w:cs="Times New Roman"/>
        </w:rPr>
      </w:pPr>
      <w:r>
        <w:rPr>
          <w:rFonts w:ascii="Times New Roman" w:hAnsi="Times New Roman" w:cs="Times New Roman"/>
        </w:rPr>
        <w:t>August</w:t>
      </w:r>
      <w:r w:rsidR="00CE2E3E">
        <w:rPr>
          <w:rFonts w:ascii="Times New Roman" w:hAnsi="Times New Roman" w:cs="Times New Roman"/>
        </w:rPr>
        <w:t>, 2014</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C57360">
        <w:rPr>
          <w:rFonts w:ascii="Times New Roman" w:hAnsi="Times New Roman" w:cs="Times New Roman"/>
        </w:rPr>
        <w:t>g Group (OWG) met on July 22</w:t>
      </w:r>
      <w:r w:rsidR="00615C41">
        <w:rPr>
          <w:rFonts w:ascii="Times New Roman" w:hAnsi="Times New Roman" w:cs="Times New Roman"/>
        </w:rPr>
        <w:t>, 2014</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C57360">
        <w:rPr>
          <w:rFonts w:ascii="Times New Roman" w:hAnsi="Times New Roman" w:cs="Times New Roman"/>
        </w:rPr>
        <w:t>viewed and approved the June</w:t>
      </w:r>
      <w:r w:rsidR="001D6CCA">
        <w:rPr>
          <w:rFonts w:ascii="Times New Roman" w:hAnsi="Times New Roman" w:cs="Times New Roman"/>
        </w:rPr>
        <w:t xml:space="preserve"> 2014</w:t>
      </w:r>
      <w:r w:rsidR="004F1D7B">
        <w:rPr>
          <w:rFonts w:ascii="Times New Roman" w:hAnsi="Times New Roman" w:cs="Times New Roman"/>
        </w:rPr>
        <w:t xml:space="preserve"> meeting notes</w:t>
      </w:r>
      <w:r w:rsidR="004E1087">
        <w:rPr>
          <w:rFonts w:ascii="Times New Roman" w:hAnsi="Times New Roman" w:cs="Times New Roman"/>
        </w:rPr>
        <w:t xml:space="preserve"> with </w:t>
      </w:r>
      <w:r w:rsidR="001D6CCA">
        <w:rPr>
          <w:rFonts w:ascii="Times New Roman" w:hAnsi="Times New Roman" w:cs="Times New Roman"/>
        </w:rPr>
        <w:t>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621007" w:rsidRPr="009B6AA6" w:rsidRDefault="00BD3F7D" w:rsidP="00A0788C">
      <w:pPr>
        <w:spacing w:after="0"/>
        <w:rPr>
          <w:rFonts w:ascii="Times New Roman" w:hAnsi="Times New Roman" w:cs="Times New Roman"/>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r w:rsidR="00637621" w:rsidRPr="009B6AA6">
        <w:rPr>
          <w:rFonts w:ascii="Times New Roman" w:hAnsi="Times New Roman" w:cs="Times New Roman"/>
        </w:rPr>
        <w:tab/>
      </w:r>
      <w:r w:rsidR="00637621"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5D15AC" w:rsidRPr="009B6AA6" w:rsidTr="009E57FD">
        <w:tc>
          <w:tcPr>
            <w:tcW w:w="6390" w:type="dxa"/>
          </w:tcPr>
          <w:p w:rsidR="005D15AC" w:rsidRPr="009B6AA6" w:rsidRDefault="00406085" w:rsidP="00FC31B5">
            <w:pPr>
              <w:jc w:val="center"/>
              <w:rPr>
                <w:rFonts w:ascii="Times New Roman" w:hAnsi="Times New Roman" w:cs="Times New Roman"/>
                <w:b/>
                <w:color w:val="00B050"/>
              </w:rPr>
            </w:pPr>
            <w:r>
              <w:rPr>
                <w:rFonts w:ascii="Times New Roman" w:hAnsi="Times New Roman" w:cs="Times New Roman"/>
                <w:b/>
                <w:color w:val="00B050"/>
              </w:rPr>
              <w:t>132</w:t>
            </w:r>
            <w:r w:rsidR="005D15AC" w:rsidRPr="002E0064">
              <w:rPr>
                <w:rFonts w:ascii="Times New Roman" w:hAnsi="Times New Roman" w:cs="Times New Roman"/>
                <w:b/>
                <w:color w:val="00B050"/>
              </w:rPr>
              <w:t xml:space="preserve">NOGRR </w:t>
            </w:r>
            <w:r w:rsidR="005D15AC" w:rsidRPr="0006701A">
              <w:rPr>
                <w:rFonts w:ascii="Times New Roman" w:hAnsi="Times New Roman" w:cs="Times New Roman"/>
                <w:b/>
                <w:noProof/>
                <w:color w:val="00B050"/>
              </w:rPr>
              <w:drawing>
                <wp:inline distT="0" distB="0" distL="0" distR="0" wp14:anchorId="70EFC6C7" wp14:editId="39A9BB40">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5D15AC" w:rsidRPr="003600B6" w:rsidTr="009E57FD">
        <w:tc>
          <w:tcPr>
            <w:tcW w:w="6390" w:type="dxa"/>
          </w:tcPr>
          <w:p w:rsidR="005D15AC" w:rsidRPr="003600B6" w:rsidRDefault="00406085" w:rsidP="00FC31B5">
            <w:pPr>
              <w:jc w:val="center"/>
              <w:rPr>
                <w:rFonts w:ascii="Times New Roman" w:hAnsi="Times New Roman" w:cs="Times New Roman"/>
                <w:b/>
              </w:rPr>
            </w:pPr>
            <w:r w:rsidRPr="00406085">
              <w:rPr>
                <w:rFonts w:cs="Calibri"/>
                <w:b/>
                <w:bCs/>
              </w:rPr>
              <w:t>Automatic Under Voltage and Under Frequency Load Shedding Protection Systems Load Restoration</w:t>
            </w:r>
          </w:p>
        </w:tc>
      </w:tr>
      <w:tr w:rsidR="00615C41" w:rsidRPr="009B6AA6" w:rsidTr="009E57FD">
        <w:tc>
          <w:tcPr>
            <w:tcW w:w="6390" w:type="dxa"/>
          </w:tcPr>
          <w:p w:rsidR="00615C41" w:rsidRPr="009B6AA6" w:rsidRDefault="00406085" w:rsidP="00E442B3">
            <w:pPr>
              <w:jc w:val="center"/>
              <w:rPr>
                <w:rFonts w:ascii="Times New Roman" w:hAnsi="Times New Roman" w:cs="Times New Roman"/>
              </w:rPr>
            </w:pPr>
            <w:r>
              <w:rPr>
                <w:rFonts w:ascii="Times New Roman" w:hAnsi="Times New Roman" w:cs="Times New Roman"/>
              </w:rPr>
              <w:t>Language</w:t>
            </w:r>
            <w:r w:rsidR="00615C41"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406085">
              <w:rPr>
                <w:rFonts w:ascii="Times New Roman" w:hAnsi="Times New Roman" w:cs="Times New Roman"/>
                <w:color w:val="00B050"/>
              </w:rPr>
              <w:t>Return for IA review</w:t>
            </w:r>
            <w:r w:rsidRPr="009B6AA6">
              <w:rPr>
                <w:rFonts w:ascii="Times New Roman" w:hAnsi="Times New Roman" w:cs="Times New Roman"/>
                <w:noProof/>
                <w:color w:val="00B050"/>
              </w:rPr>
              <w:drawing>
                <wp:inline distT="0" distB="0" distL="0" distR="0" wp14:anchorId="68857A73" wp14:editId="63B787FC">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rPr>
              <w:t>Discussion:</w:t>
            </w:r>
          </w:p>
          <w:p w:rsidR="00615C41" w:rsidRPr="009B6AA6" w:rsidRDefault="00406085" w:rsidP="00CA487E">
            <w:pPr>
              <w:pStyle w:val="ListParagraph"/>
              <w:rPr>
                <w:rFonts w:ascii="Times New Roman" w:hAnsi="Times New Roman" w:cs="Times New Roman"/>
              </w:rPr>
            </w:pPr>
            <w:r w:rsidRPr="00406085">
              <w:t>This NOGRR adds a requirement for Under-Frequency Load Shedding (UFLS) and Under-Voltage Load Shedding (UVLS) systems Load restoration coordination consistent with that of manually shed Load for EEA 3 or Constraint Management Plan. [ERCOT</w:t>
            </w:r>
            <w:r w:rsidRPr="00406085">
              <w:rPr>
                <w:b/>
              </w:rPr>
              <w:t xml:space="preserve"> Brief discussion followed. OWG recommended approval of NOGRR 132 as written. NOGRR will return to OWG next month for IA Review.</w:t>
            </w: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r w:rsidR="00ED2C5D" w:rsidRPr="009B6AA6" w:rsidTr="008479D7">
        <w:tc>
          <w:tcPr>
            <w:tcW w:w="6390" w:type="dxa"/>
          </w:tcPr>
          <w:p w:rsidR="00ED2C5D" w:rsidRPr="009B6AA6" w:rsidRDefault="00CA487E" w:rsidP="008479D7">
            <w:pPr>
              <w:jc w:val="center"/>
              <w:rPr>
                <w:rFonts w:ascii="Times New Roman" w:hAnsi="Times New Roman" w:cs="Times New Roman"/>
                <w:b/>
                <w:color w:val="00B050"/>
              </w:rPr>
            </w:pPr>
            <w:r>
              <w:rPr>
                <w:rFonts w:ascii="Times New Roman" w:hAnsi="Times New Roman" w:cs="Times New Roman"/>
                <w:b/>
                <w:color w:val="00B050"/>
              </w:rPr>
              <w:t>134</w:t>
            </w:r>
            <w:r w:rsidR="00ED2C5D" w:rsidRPr="002E0064">
              <w:rPr>
                <w:rFonts w:ascii="Times New Roman" w:hAnsi="Times New Roman" w:cs="Times New Roman"/>
                <w:b/>
                <w:color w:val="00B050"/>
              </w:rPr>
              <w:t xml:space="preserve">NOGRR </w:t>
            </w:r>
            <w:r w:rsidR="00ED2C5D" w:rsidRPr="0006701A">
              <w:rPr>
                <w:rFonts w:ascii="Times New Roman" w:hAnsi="Times New Roman" w:cs="Times New Roman"/>
                <w:b/>
                <w:noProof/>
                <w:color w:val="00B050"/>
              </w:rPr>
              <w:drawing>
                <wp:inline distT="0" distB="0" distL="0" distR="0" wp14:anchorId="12E8B234" wp14:editId="04093EB3">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3600B6" w:rsidTr="008479D7">
        <w:tc>
          <w:tcPr>
            <w:tcW w:w="6390" w:type="dxa"/>
          </w:tcPr>
          <w:p w:rsidR="00ED2C5D" w:rsidRPr="003600B6" w:rsidRDefault="00CA487E" w:rsidP="008479D7">
            <w:pPr>
              <w:jc w:val="center"/>
              <w:rPr>
                <w:rFonts w:ascii="Times New Roman" w:hAnsi="Times New Roman" w:cs="Times New Roman"/>
                <w:b/>
              </w:rPr>
            </w:pPr>
            <w:r w:rsidRPr="00CA487E">
              <w:rPr>
                <w:rFonts w:ascii="Times New Roman" w:hAnsi="Times New Roman" w:cs="Times New Roman"/>
                <w:b/>
                <w:bCs/>
              </w:rPr>
              <w:t>Posting Process for Black Start Plans</w:t>
            </w:r>
          </w:p>
        </w:tc>
      </w:tr>
      <w:tr w:rsidR="00ED2C5D" w:rsidRPr="009B6AA6" w:rsidTr="008479D7">
        <w:tc>
          <w:tcPr>
            <w:tcW w:w="6390" w:type="dxa"/>
          </w:tcPr>
          <w:p w:rsidR="00ED2C5D" w:rsidRPr="009B6AA6" w:rsidRDefault="00CA487E" w:rsidP="008479D7">
            <w:pPr>
              <w:jc w:val="center"/>
              <w:rPr>
                <w:rFonts w:ascii="Times New Roman" w:hAnsi="Times New Roman" w:cs="Times New Roman"/>
              </w:rPr>
            </w:pPr>
            <w:r>
              <w:rPr>
                <w:rFonts w:ascii="Times New Roman" w:hAnsi="Times New Roman" w:cs="Times New Roman"/>
              </w:rPr>
              <w:t>IA</w:t>
            </w:r>
            <w:r w:rsidR="00ED2C5D" w:rsidRPr="00127C45">
              <w:rPr>
                <w:rFonts w:ascii="Times New Roman" w:hAnsi="Times New Roman" w:cs="Times New Roman"/>
              </w:rPr>
              <w:t xml:space="preserve"> Review</w:t>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CA487E">
              <w:rPr>
                <w:rFonts w:ascii="Times New Roman" w:hAnsi="Times New Roman" w:cs="Times New Roman"/>
                <w:color w:val="00B050"/>
              </w:rPr>
              <w:t>OWG Recommend ROS</w:t>
            </w:r>
            <w:r w:rsidRPr="009B6AA6">
              <w:rPr>
                <w:rFonts w:ascii="Times New Roman" w:hAnsi="Times New Roman" w:cs="Times New Roman"/>
                <w:noProof/>
                <w:color w:val="00B050"/>
              </w:rPr>
              <w:drawing>
                <wp:inline distT="0" distB="0" distL="0" distR="0" wp14:anchorId="71B70947" wp14:editId="15EBE819">
                  <wp:extent cx="135456" cy="118652"/>
                  <wp:effectExtent l="19050" t="0" r="0" b="0"/>
                  <wp:docPr id="6" name="Picture 6"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rPr>
              <w:t>Discussion:</w:t>
            </w:r>
          </w:p>
          <w:p w:rsidR="00CA487E" w:rsidRPr="00CA487E" w:rsidRDefault="00CA487E" w:rsidP="00CA487E">
            <w:pPr>
              <w:pStyle w:val="ListParagraph"/>
              <w:numPr>
                <w:ilvl w:val="0"/>
                <w:numId w:val="22"/>
              </w:numPr>
              <w:rPr>
                <w:b/>
              </w:rPr>
            </w:pPr>
            <w:r w:rsidRPr="00CA487E">
              <w:t xml:space="preserve">This NOGRR clarifies the responsibility of ERCOT to post the ERCOT Black Start plan on the Market Information System (MIS) Certified Area for Transmission Operators (TO) and post TOs’ new or revised Black Start plans on the MIS Certified Area for specified Market Participants. </w:t>
            </w:r>
            <w:r>
              <w:rPr>
                <w:b/>
              </w:rPr>
              <w:t>[ERCOT] IA</w:t>
            </w:r>
            <w:r w:rsidRPr="00CA487E">
              <w:rPr>
                <w:b/>
              </w:rPr>
              <w:t xml:space="preserve"> Review.</w:t>
            </w:r>
            <w:r w:rsidRPr="00CA487E">
              <w:rPr>
                <w:rFonts w:ascii="Calibri" w:eastAsia="Calibri" w:hAnsi="Calibri" w:cs="Times New Roman"/>
                <w:b/>
              </w:rPr>
              <w:t xml:space="preserve"> </w:t>
            </w:r>
            <w:r w:rsidRPr="00CA487E">
              <w:rPr>
                <w:b/>
              </w:rPr>
              <w:t>No impact from NOGRR 134. OWG recommended approval to ROS.</w:t>
            </w:r>
          </w:p>
          <w:p w:rsidR="00EF66B0" w:rsidRPr="009B6AA6" w:rsidRDefault="00EF66B0" w:rsidP="008479D7">
            <w:pPr>
              <w:pStyle w:val="ListParagraph"/>
              <w:rPr>
                <w:rFonts w:ascii="Times New Roman" w:hAnsi="Times New Roman" w:cs="Times New Roman"/>
              </w:rPr>
            </w:pPr>
          </w:p>
        </w:tc>
      </w:tr>
      <w:tr w:rsidR="004D3740" w:rsidTr="00B40050">
        <w:tc>
          <w:tcPr>
            <w:tcW w:w="6390" w:type="dxa"/>
            <w:shd w:val="clear" w:color="auto" w:fill="000000" w:themeFill="text1"/>
          </w:tcPr>
          <w:p w:rsidR="004D3740" w:rsidRDefault="004D3740" w:rsidP="00B40050">
            <w:pPr>
              <w:jc w:val="center"/>
              <w:rPr>
                <w:rFonts w:ascii="Times New Roman" w:hAnsi="Times New Roman" w:cs="Times New Roman"/>
                <w:b/>
                <w:color w:val="00B050"/>
              </w:rPr>
            </w:pPr>
          </w:p>
        </w:tc>
      </w:tr>
      <w:tr w:rsidR="00AB4E52" w:rsidTr="00B40050">
        <w:tc>
          <w:tcPr>
            <w:tcW w:w="6390" w:type="dxa"/>
            <w:shd w:val="clear" w:color="auto" w:fill="000000" w:themeFill="text1"/>
          </w:tcPr>
          <w:p w:rsidR="00AB4E52" w:rsidRDefault="00AB4E52" w:rsidP="00B40050">
            <w:pPr>
              <w:jc w:val="center"/>
              <w:rPr>
                <w:rFonts w:ascii="Times New Roman" w:hAnsi="Times New Roman" w:cs="Times New Roman"/>
                <w:b/>
                <w:color w:val="00B050"/>
              </w:rPr>
            </w:pPr>
          </w:p>
        </w:tc>
      </w:tr>
      <w:tr w:rsidR="00435A03" w:rsidTr="00FC31B5">
        <w:tc>
          <w:tcPr>
            <w:tcW w:w="6390" w:type="dxa"/>
          </w:tcPr>
          <w:p w:rsidR="00435A03" w:rsidRDefault="00435A03" w:rsidP="00FC31B5">
            <w:pPr>
              <w:jc w:val="center"/>
              <w:rPr>
                <w:rFonts w:ascii="Times New Roman" w:hAnsi="Times New Roman" w:cs="Times New Roman"/>
                <w:b/>
                <w:color w:val="00B050"/>
              </w:rPr>
            </w:pPr>
          </w:p>
        </w:tc>
      </w:tr>
      <w:tr w:rsidR="00435A03" w:rsidRPr="009B6AA6" w:rsidTr="00FC31B5">
        <w:tc>
          <w:tcPr>
            <w:tcW w:w="6390" w:type="dxa"/>
          </w:tcPr>
          <w:p w:rsidR="00435A03" w:rsidRPr="009B6AA6" w:rsidRDefault="00435A03" w:rsidP="00FC31B5">
            <w:pPr>
              <w:jc w:val="center"/>
              <w:rPr>
                <w:rFonts w:ascii="Times New Roman" w:hAnsi="Times New Roman" w:cs="Times New Roman"/>
              </w:rPr>
            </w:pPr>
          </w:p>
        </w:tc>
      </w:tr>
      <w:tr w:rsidR="00435A03" w:rsidRPr="009B6AA6" w:rsidTr="00FC31B5">
        <w:tc>
          <w:tcPr>
            <w:tcW w:w="6390" w:type="dxa"/>
          </w:tcPr>
          <w:p w:rsidR="00435A03" w:rsidRPr="009B6AA6" w:rsidRDefault="00435A03" w:rsidP="00FC31B5">
            <w:pPr>
              <w:pStyle w:val="ListParagraph"/>
              <w:rPr>
                <w:rFonts w:ascii="Times New Roman" w:hAnsi="Times New Roman" w:cs="Times New Roman"/>
              </w:rPr>
            </w:pPr>
          </w:p>
        </w:tc>
      </w:tr>
      <w:tr w:rsidR="00AB4E52" w:rsidRPr="009B6AA6" w:rsidTr="00FC31B5">
        <w:tc>
          <w:tcPr>
            <w:tcW w:w="6390" w:type="dxa"/>
          </w:tcPr>
          <w:p w:rsidR="00AB4E52" w:rsidRDefault="00AB4E52" w:rsidP="00FC31B5">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E2BCE" w:rsidRDefault="00AE2BCE" w:rsidP="00A0788C">
      <w:pPr>
        <w:spacing w:after="0"/>
        <w:rPr>
          <w:rFonts w:ascii="Times New Roman" w:hAnsi="Times New Roman" w:cs="Times New Roman"/>
          <w:b/>
          <w:sz w:val="24"/>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Pr="0087112B" w:rsidRDefault="00AE2BCE" w:rsidP="0087112B">
      <w:pPr>
        <w:pStyle w:val="ListParagraph"/>
        <w:numPr>
          <w:ilvl w:val="0"/>
          <w:numId w:val="33"/>
        </w:numPr>
        <w:spacing w:after="0"/>
        <w:rPr>
          <w:rFonts w:ascii="Times New Roman" w:hAnsi="Times New Roman" w:cs="Times New Roman"/>
          <w:sz w:val="24"/>
        </w:rPr>
      </w:pPr>
      <w:r>
        <w:rPr>
          <w:rFonts w:ascii="Times New Roman" w:hAnsi="Times New Roman" w:cs="Times New Roman"/>
          <w:sz w:val="24"/>
        </w:rPr>
        <w:t>Reviewed the report; no questions were asked</w:t>
      </w:r>
      <w:r w:rsidR="00257D1A" w:rsidRPr="00257D1A">
        <w:rPr>
          <w:rFonts w:ascii="Times New Roman" w:hAnsi="Times New Roman" w:cs="Times New Roman"/>
          <w:sz w:val="24"/>
        </w:rPr>
        <w:t>.</w:t>
      </w:r>
      <w:r w:rsidR="00B10CA5" w:rsidRPr="0087112B">
        <w:rPr>
          <w:rFonts w:ascii="Times New Roman" w:hAnsi="Times New Roman" w:cs="Times New Roman"/>
          <w:sz w:val="24"/>
        </w:rPr>
        <w:t xml:space="preserve"> </w:t>
      </w:r>
    </w:p>
    <w:p w:rsidR="00CA3A65" w:rsidRPr="009B6AA6" w:rsidRDefault="00CA3A65" w:rsidP="000030AD">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1D6CCA" w:rsidRPr="00DF64DC" w:rsidRDefault="00AE2BCE" w:rsidP="0016147B">
      <w:pPr>
        <w:pStyle w:val="ListParagraph"/>
        <w:numPr>
          <w:ilvl w:val="0"/>
          <w:numId w:val="33"/>
        </w:numPr>
        <w:spacing w:after="0" w:line="240" w:lineRule="auto"/>
        <w:rPr>
          <w:rFonts w:ascii="Times New Roman" w:hAnsi="Times New Roman" w:cs="Times New Roman"/>
          <w:sz w:val="24"/>
        </w:rPr>
      </w:pPr>
      <w:r w:rsidRPr="00AE2BCE">
        <w:rPr>
          <w:rFonts w:ascii="Times New Roman" w:hAnsi="Times New Roman" w:cs="Times New Roman"/>
          <w:sz w:val="24"/>
        </w:rPr>
        <w:t>No items on this month’s agenda</w:t>
      </w:r>
      <w:r>
        <w:rPr>
          <w:rFonts w:ascii="Times New Roman" w:hAnsi="Times New Roman" w:cs="Times New Roman"/>
          <w:sz w:val="24"/>
        </w:rPr>
        <w:t xml:space="preserve"> and will be retired upon approval of the OTWG</w:t>
      </w:r>
      <w:r w:rsidR="00BD442C" w:rsidRPr="00BD442C">
        <w:rPr>
          <w:rFonts w:ascii="Times New Roman" w:hAnsi="Times New Roman" w:cs="Times New Roman"/>
          <w:sz w:val="24"/>
        </w:rPr>
        <w:t>.</w:t>
      </w:r>
    </w:p>
    <w:p w:rsidR="00104A89" w:rsidRPr="00DF64DC" w:rsidRDefault="00104A89" w:rsidP="00C61410">
      <w:pPr>
        <w:spacing w:after="0"/>
        <w:rPr>
          <w:rFonts w:ascii="Times New Roman" w:hAnsi="Times New Roman" w:cs="Times New Roman"/>
          <w:sz w:val="24"/>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7F12A8" w:rsidRPr="00DF64DC" w:rsidRDefault="00AE2BCE" w:rsidP="0016147B">
      <w:pPr>
        <w:pStyle w:val="ListParagraph"/>
        <w:numPr>
          <w:ilvl w:val="0"/>
          <w:numId w:val="10"/>
        </w:numPr>
        <w:rPr>
          <w:rFonts w:ascii="Times New Roman" w:hAnsi="Times New Roman" w:cs="Times New Roman"/>
          <w:sz w:val="24"/>
        </w:rPr>
      </w:pPr>
      <w:r>
        <w:rPr>
          <w:rFonts w:ascii="Times New Roman" w:hAnsi="Times New Roman" w:cs="Times New Roman"/>
          <w:sz w:val="24"/>
        </w:rPr>
        <w:t>No report on this month’s agenda</w:t>
      </w:r>
      <w:r w:rsidR="00E53719" w:rsidRPr="00E53719">
        <w:rPr>
          <w:rFonts w:ascii="Times New Roman" w:hAnsi="Times New Roman" w:cs="Times New Roman"/>
          <w:sz w:val="24"/>
        </w:rPr>
        <w:t>.</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902E75" w:rsidRDefault="00AE2BCE" w:rsidP="00AE2BCE">
      <w:pPr>
        <w:pStyle w:val="ListParagraph"/>
        <w:numPr>
          <w:ilvl w:val="0"/>
          <w:numId w:val="10"/>
        </w:numPr>
        <w:spacing w:after="0"/>
        <w:rPr>
          <w:rFonts w:ascii="Times New Roman" w:hAnsi="Times New Roman" w:cs="Times New Roman"/>
          <w:sz w:val="24"/>
        </w:rPr>
      </w:pPr>
      <w:r w:rsidRPr="00AE2BCE">
        <w:rPr>
          <w:rFonts w:ascii="Times New Roman" w:hAnsi="Times New Roman" w:cs="Times New Roman"/>
          <w:sz w:val="24"/>
        </w:rPr>
        <w:t>Overview of standard updates was presented. Several questions were answered.</w:t>
      </w:r>
    </w:p>
    <w:p w:rsidR="00C9668B" w:rsidRPr="00C61410" w:rsidRDefault="00C9668B" w:rsidP="00902E75">
      <w:pPr>
        <w:pStyle w:val="ListParagraph"/>
        <w:spacing w:after="0"/>
        <w:ind w:left="108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A5619A" w:rsidRDefault="005A2E40" w:rsidP="005A2E40">
      <w:pPr>
        <w:pStyle w:val="ListParagraph"/>
        <w:numPr>
          <w:ilvl w:val="0"/>
          <w:numId w:val="34"/>
        </w:numPr>
        <w:spacing w:after="0"/>
        <w:rPr>
          <w:rFonts w:ascii="Times New Roman" w:hAnsi="Times New Roman" w:cs="Times New Roman"/>
        </w:rPr>
      </w:pPr>
      <w:r w:rsidRPr="005A2E40">
        <w:rPr>
          <w:rFonts w:ascii="Times New Roman" w:hAnsi="Times New Roman" w:cs="Times New Roman"/>
        </w:rPr>
        <w:t>Upcoming procedure changes related to scarcity conditions were detailed by ERCOT personnel. No questions were asked.</w:t>
      </w:r>
    </w:p>
    <w:p w:rsidR="00902E75" w:rsidRPr="009671A6" w:rsidRDefault="00902E75" w:rsidP="00902E75">
      <w:pPr>
        <w:pStyle w:val="ListParagraph"/>
        <w:spacing w:after="0"/>
        <w:ind w:left="1080"/>
        <w:rPr>
          <w:rFonts w:ascii="Times New Roman" w:hAnsi="Times New Roman" w:cs="Times New Roman"/>
        </w:rPr>
      </w:pPr>
    </w:p>
    <w:p w:rsidR="00006E8B" w:rsidRDefault="00672302" w:rsidP="00006E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5A2E40" w:rsidRPr="005A2E40" w:rsidRDefault="005A2E40" w:rsidP="005A2E40">
      <w:pPr>
        <w:pStyle w:val="ListParagraph"/>
        <w:spacing w:after="0"/>
        <w:ind w:left="1080"/>
        <w:rPr>
          <w:rFonts w:ascii="Times New Roman" w:hAnsi="Times New Roman" w:cs="Times New Roman"/>
          <w:b/>
          <w:bCs/>
          <w:sz w:val="24"/>
        </w:rPr>
      </w:pPr>
      <w:r w:rsidRPr="005A2E40">
        <w:rPr>
          <w:rFonts w:ascii="Times New Roman" w:hAnsi="Times New Roman" w:cs="Times New Roman"/>
          <w:sz w:val="24"/>
        </w:rPr>
        <w:t xml:space="preserve">ROS directive - Voltage support requirement for all Generation Resources greater than 20 MVA. (See Protocol Section 3.15, paragraph 2) Update on offline discussions. ERCOT Isabell is reviewing language submitted by Walter! </w:t>
      </w:r>
      <w:r w:rsidRPr="005A2E40">
        <w:rPr>
          <w:rFonts w:ascii="Times New Roman" w:hAnsi="Times New Roman" w:cs="Times New Roman"/>
          <w:b/>
          <w:bCs/>
          <w:sz w:val="24"/>
        </w:rPr>
        <w:t>ERCOT addressed this directive and indicated that ERCOT cannot support flexibility in voltage support requirements for Resources greater than 20 MVA. Isabell will email a summary of offline discussions to Frank Owens and OWG will report back to ROS.</w:t>
      </w:r>
    </w:p>
    <w:p w:rsidR="005A2E40" w:rsidRPr="005A2E40" w:rsidRDefault="005A2E40" w:rsidP="005A2E40">
      <w:pPr>
        <w:pStyle w:val="ListParagraph"/>
        <w:spacing w:after="0"/>
        <w:ind w:left="1080"/>
        <w:rPr>
          <w:rFonts w:ascii="Times New Roman" w:hAnsi="Times New Roman" w:cs="Times New Roman"/>
          <w:b/>
          <w:bCs/>
          <w:sz w:val="24"/>
        </w:rPr>
      </w:pPr>
    </w:p>
    <w:p w:rsidR="005A2E40" w:rsidRPr="005A2E40" w:rsidRDefault="005A2E40" w:rsidP="005A2E40">
      <w:pPr>
        <w:pStyle w:val="ListParagraph"/>
        <w:spacing w:after="0"/>
        <w:ind w:left="1080"/>
        <w:rPr>
          <w:rFonts w:ascii="Times New Roman" w:hAnsi="Times New Roman" w:cs="Times New Roman"/>
          <w:b/>
          <w:sz w:val="24"/>
        </w:rPr>
      </w:pPr>
      <w:proofErr w:type="gramStart"/>
      <w:r w:rsidRPr="005A2E40">
        <w:rPr>
          <w:rFonts w:ascii="Times New Roman" w:hAnsi="Times New Roman" w:cs="Times New Roman"/>
          <w:sz w:val="24"/>
        </w:rPr>
        <w:t>Possible review of draft NPRR and NOGRR on Voltage Control Requirements.</w:t>
      </w:r>
      <w:proofErr w:type="gramEnd"/>
      <w:r w:rsidRPr="005A2E40">
        <w:rPr>
          <w:rFonts w:ascii="Times New Roman" w:hAnsi="Times New Roman" w:cs="Times New Roman"/>
          <w:sz w:val="24"/>
        </w:rPr>
        <w:t xml:space="preserve"> Continue Discussions. </w:t>
      </w:r>
      <w:r w:rsidRPr="005A2E40">
        <w:rPr>
          <w:rFonts w:ascii="Times New Roman" w:hAnsi="Times New Roman" w:cs="Times New Roman"/>
          <w:b/>
          <w:sz w:val="24"/>
        </w:rPr>
        <w:t xml:space="preserve">OWG reviewed language in section 3.15 and associated subsections as well as in section 6.5 and associated subsections. OWG tabled the NPRR for further revisions at 12:00 PM. Frank Owens asked for volunteers to continue language review offline. The following attendees volunteered: Jeff Healy, Anthony Alford, </w:t>
      </w:r>
      <w:proofErr w:type="spellStart"/>
      <w:r w:rsidRPr="005A2E40">
        <w:rPr>
          <w:rFonts w:ascii="Times New Roman" w:hAnsi="Times New Roman" w:cs="Times New Roman"/>
          <w:b/>
          <w:sz w:val="24"/>
        </w:rPr>
        <w:t>Sephen</w:t>
      </w:r>
      <w:proofErr w:type="spellEnd"/>
      <w:r w:rsidRPr="005A2E40">
        <w:rPr>
          <w:rFonts w:ascii="Times New Roman" w:hAnsi="Times New Roman" w:cs="Times New Roman"/>
          <w:b/>
          <w:sz w:val="24"/>
        </w:rPr>
        <w:t xml:space="preserve"> Solis, Sherry Looney, Robert Bailey, Hugo Mena, John Abel, and Mike, </w:t>
      </w:r>
      <w:proofErr w:type="spellStart"/>
      <w:r w:rsidRPr="005A2E40">
        <w:rPr>
          <w:rFonts w:ascii="Times New Roman" w:hAnsi="Times New Roman" w:cs="Times New Roman"/>
          <w:b/>
          <w:sz w:val="24"/>
        </w:rPr>
        <w:t>Cruz-Montes</w:t>
      </w:r>
      <w:proofErr w:type="spellEnd"/>
      <w:r w:rsidRPr="005A2E40">
        <w:rPr>
          <w:rFonts w:ascii="Times New Roman" w:hAnsi="Times New Roman" w:cs="Times New Roman"/>
          <w:b/>
          <w:sz w:val="24"/>
        </w:rPr>
        <w:t>. In addition, ERCOT market rules volunteered to send a representative.</w:t>
      </w:r>
    </w:p>
    <w:p w:rsidR="00EF66B0" w:rsidRPr="00EF66B0" w:rsidRDefault="00EF66B0" w:rsidP="00EF66B0">
      <w:pPr>
        <w:pStyle w:val="ListParagraph"/>
        <w:spacing w:after="0"/>
        <w:ind w:left="108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Pr="00063B20" w:rsidRDefault="005A2E40" w:rsidP="007F12A8">
      <w:pPr>
        <w:pStyle w:val="ListParagraph"/>
        <w:numPr>
          <w:ilvl w:val="0"/>
          <w:numId w:val="28"/>
        </w:numPr>
        <w:rPr>
          <w:rFonts w:cs="Calibri"/>
        </w:rPr>
      </w:pPr>
      <w:r>
        <w:rPr>
          <w:rFonts w:ascii="Times New Roman" w:hAnsi="Times New Roman" w:cs="Times New Roman"/>
          <w:bCs/>
          <w:sz w:val="24"/>
        </w:rPr>
        <w:t>Tuesday</w:t>
      </w:r>
      <w:r w:rsidR="007F12A8" w:rsidRPr="00B61E55">
        <w:rPr>
          <w:rFonts w:ascii="Times New Roman" w:hAnsi="Times New Roman" w:cs="Times New Roman"/>
          <w:bCs/>
          <w:sz w:val="24"/>
        </w:rPr>
        <w:t xml:space="preserve"> </w:t>
      </w:r>
      <w:r>
        <w:rPr>
          <w:rFonts w:ascii="Times New Roman" w:hAnsi="Times New Roman" w:cs="Times New Roman"/>
          <w:bCs/>
          <w:sz w:val="24"/>
        </w:rPr>
        <w:t>August 19</w:t>
      </w:r>
      <w:r w:rsidRPr="005A2E40">
        <w:rPr>
          <w:rFonts w:ascii="Times New Roman" w:hAnsi="Times New Roman" w:cs="Times New Roman"/>
          <w:bCs/>
          <w:sz w:val="24"/>
          <w:vertAlign w:val="superscript"/>
        </w:rPr>
        <w:t>th</w:t>
      </w:r>
      <w:r w:rsidR="007F12A8" w:rsidRPr="00B61E55">
        <w:rPr>
          <w:rFonts w:ascii="Times New Roman" w:hAnsi="Times New Roman" w:cs="Times New Roman"/>
          <w:bCs/>
          <w:sz w:val="24"/>
        </w:rPr>
        <w:t xml:space="preserve">, 2014 – </w:t>
      </w:r>
      <w:r w:rsidR="0087112B" w:rsidRPr="00B61E55">
        <w:rPr>
          <w:rFonts w:ascii="Times New Roman" w:hAnsi="Times New Roman" w:cs="Times New Roman"/>
          <w:bCs/>
          <w:sz w:val="24"/>
        </w:rPr>
        <w:t>at the ERCOT Met Center</w:t>
      </w:r>
      <w:r w:rsidR="00795470">
        <w:rPr>
          <w:rFonts w:ascii="Times New Roman" w:hAnsi="Times New Roman" w:cs="Times New Roman"/>
          <w:bCs/>
          <w:sz w:val="24"/>
        </w:rPr>
        <w:t xml:space="preserve"> room 168</w:t>
      </w:r>
      <w:r w:rsidR="0087112B" w:rsidRPr="00B61E55">
        <w:rPr>
          <w:rFonts w:ascii="Times New Roman" w:hAnsi="Times New Roman" w:cs="Times New Roman"/>
          <w:bCs/>
          <w:sz w:val="24"/>
        </w:rPr>
        <w:t>.</w:t>
      </w:r>
    </w:p>
    <w:p w:rsidR="00063B20" w:rsidRPr="00063B20" w:rsidRDefault="00063B20" w:rsidP="00063B20">
      <w:pPr>
        <w:pStyle w:val="ListParagraph"/>
        <w:ind w:left="1080"/>
        <w:rPr>
          <w:rFonts w:cs="Calibri"/>
        </w:rPr>
      </w:pPr>
    </w:p>
    <w:p w:rsidR="00063B20" w:rsidRPr="00795470" w:rsidRDefault="00063B20" w:rsidP="00EA6EA7">
      <w:pPr>
        <w:pStyle w:val="ListParagraph"/>
        <w:ind w:left="1080"/>
        <w:rPr>
          <w:rFonts w:ascii="Times New Roman" w:hAnsi="Times New Roman" w:cs="Times New Roman"/>
          <w:bCs/>
          <w:sz w:val="24"/>
        </w:rPr>
      </w:pPr>
    </w:p>
    <w:sectPr w:rsidR="00063B20" w:rsidRPr="00795470" w:rsidSect="00CE226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09A" w:rsidRDefault="00E1409A" w:rsidP="00EF66B0">
      <w:pPr>
        <w:spacing w:after="0" w:line="240" w:lineRule="auto"/>
      </w:pPr>
      <w:r>
        <w:separator/>
      </w:r>
    </w:p>
  </w:endnote>
  <w:endnote w:type="continuationSeparator" w:id="0">
    <w:p w:rsidR="00E1409A" w:rsidRDefault="00E1409A" w:rsidP="00EF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p w:rsidR="00EF66B0" w:rsidRDefault="00EF66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09A" w:rsidRDefault="00E1409A" w:rsidP="00EF66B0">
      <w:pPr>
        <w:spacing w:after="0" w:line="240" w:lineRule="auto"/>
      </w:pPr>
      <w:r>
        <w:separator/>
      </w:r>
    </w:p>
  </w:footnote>
  <w:footnote w:type="continuationSeparator" w:id="0">
    <w:p w:rsidR="00E1409A" w:rsidRDefault="00E1409A" w:rsidP="00EF6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6C0"/>
    <w:multiLevelType w:val="hybridMultilevel"/>
    <w:tmpl w:val="7B0E4A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80036"/>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C7158DA"/>
    <w:multiLevelType w:val="hybridMultilevel"/>
    <w:tmpl w:val="F4608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F909B0"/>
    <w:multiLevelType w:val="hybridMultilevel"/>
    <w:tmpl w:val="C1F8FA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4E5485"/>
    <w:multiLevelType w:val="hybridMultilevel"/>
    <w:tmpl w:val="0CC8A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5">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7"/>
  </w:num>
  <w:num w:numId="3">
    <w:abstractNumId w:val="13"/>
  </w:num>
  <w:num w:numId="4">
    <w:abstractNumId w:val="22"/>
  </w:num>
  <w:num w:numId="5">
    <w:abstractNumId w:val="8"/>
  </w:num>
  <w:num w:numId="6">
    <w:abstractNumId w:val="1"/>
  </w:num>
  <w:num w:numId="7">
    <w:abstractNumId w:val="26"/>
  </w:num>
  <w:num w:numId="8">
    <w:abstractNumId w:val="7"/>
  </w:num>
  <w:num w:numId="9">
    <w:abstractNumId w:val="2"/>
  </w:num>
  <w:num w:numId="10">
    <w:abstractNumId w:val="10"/>
  </w:num>
  <w:num w:numId="11">
    <w:abstractNumId w:val="19"/>
  </w:num>
  <w:num w:numId="12">
    <w:abstractNumId w:val="24"/>
  </w:num>
  <w:num w:numId="13">
    <w:abstractNumId w:val="3"/>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5"/>
  </w:num>
  <w:num w:numId="17">
    <w:abstractNumId w:val="26"/>
  </w:num>
  <w:num w:numId="18">
    <w:abstractNumId w:val="21"/>
  </w:num>
  <w:num w:numId="19">
    <w:abstractNumId w:val="12"/>
  </w:num>
  <w:num w:numId="20">
    <w:abstractNumId w:val="23"/>
  </w:num>
  <w:num w:numId="21">
    <w:abstractNumId w:val="28"/>
  </w:num>
  <w:num w:numId="22">
    <w:abstractNumId w:val="5"/>
  </w:num>
  <w:num w:numId="23">
    <w:abstractNumId w:val="11"/>
  </w:num>
  <w:num w:numId="24">
    <w:abstractNumId w:val="17"/>
  </w:num>
  <w:num w:numId="25">
    <w:abstractNumId w:val="9"/>
  </w:num>
  <w:num w:numId="26">
    <w:abstractNumId w:val="31"/>
  </w:num>
  <w:num w:numId="27">
    <w:abstractNumId w:val="14"/>
  </w:num>
  <w:num w:numId="28">
    <w:abstractNumId w:val="18"/>
  </w:num>
  <w:num w:numId="29">
    <w:abstractNumId w:val="15"/>
  </w:num>
  <w:num w:numId="30">
    <w:abstractNumId w:val="29"/>
  </w:num>
  <w:num w:numId="31">
    <w:abstractNumId w:val="30"/>
  </w:num>
  <w:num w:numId="32">
    <w:abstractNumId w:val="16"/>
  </w:num>
  <w:num w:numId="33">
    <w:abstractNumId w:val="6"/>
  </w:num>
  <w:num w:numId="34">
    <w:abstractNumId w:val="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45AFB"/>
    <w:rsid w:val="00063B20"/>
    <w:rsid w:val="00065AD5"/>
    <w:rsid w:val="0006701A"/>
    <w:rsid w:val="000704FA"/>
    <w:rsid w:val="0009112E"/>
    <w:rsid w:val="00096811"/>
    <w:rsid w:val="000B118E"/>
    <w:rsid w:val="000B3FF4"/>
    <w:rsid w:val="000D191E"/>
    <w:rsid w:val="000E532A"/>
    <w:rsid w:val="000F2B8B"/>
    <w:rsid w:val="000F5DF9"/>
    <w:rsid w:val="001020AB"/>
    <w:rsid w:val="00104A89"/>
    <w:rsid w:val="00127C45"/>
    <w:rsid w:val="001300F3"/>
    <w:rsid w:val="001316EC"/>
    <w:rsid w:val="001401BB"/>
    <w:rsid w:val="0016147B"/>
    <w:rsid w:val="00163AC6"/>
    <w:rsid w:val="00165E52"/>
    <w:rsid w:val="00177504"/>
    <w:rsid w:val="001D6CCA"/>
    <w:rsid w:val="001E353E"/>
    <w:rsid w:val="001F34C9"/>
    <w:rsid w:val="00220365"/>
    <w:rsid w:val="00256EDE"/>
    <w:rsid w:val="00257D1A"/>
    <w:rsid w:val="00263CEA"/>
    <w:rsid w:val="00270734"/>
    <w:rsid w:val="002A23C9"/>
    <w:rsid w:val="002A4A9E"/>
    <w:rsid w:val="002B0CC9"/>
    <w:rsid w:val="002C200C"/>
    <w:rsid w:val="002C7D6A"/>
    <w:rsid w:val="002D07E0"/>
    <w:rsid w:val="002E0064"/>
    <w:rsid w:val="002E06C9"/>
    <w:rsid w:val="00302334"/>
    <w:rsid w:val="00310926"/>
    <w:rsid w:val="00325264"/>
    <w:rsid w:val="003277EF"/>
    <w:rsid w:val="00331489"/>
    <w:rsid w:val="00332881"/>
    <w:rsid w:val="00341694"/>
    <w:rsid w:val="00347FA3"/>
    <w:rsid w:val="003600B6"/>
    <w:rsid w:val="00364ED7"/>
    <w:rsid w:val="00370EC3"/>
    <w:rsid w:val="003966CC"/>
    <w:rsid w:val="00396E23"/>
    <w:rsid w:val="003A3691"/>
    <w:rsid w:val="003B2C22"/>
    <w:rsid w:val="003C7453"/>
    <w:rsid w:val="003D516B"/>
    <w:rsid w:val="003D5246"/>
    <w:rsid w:val="003D7863"/>
    <w:rsid w:val="003E3FA9"/>
    <w:rsid w:val="003F08E7"/>
    <w:rsid w:val="00400BC7"/>
    <w:rsid w:val="00406085"/>
    <w:rsid w:val="00411736"/>
    <w:rsid w:val="004308AD"/>
    <w:rsid w:val="0043403B"/>
    <w:rsid w:val="00435944"/>
    <w:rsid w:val="00435A03"/>
    <w:rsid w:val="004419B7"/>
    <w:rsid w:val="00447403"/>
    <w:rsid w:val="00462E30"/>
    <w:rsid w:val="004666B1"/>
    <w:rsid w:val="00471E94"/>
    <w:rsid w:val="0047273C"/>
    <w:rsid w:val="00480209"/>
    <w:rsid w:val="004805AC"/>
    <w:rsid w:val="0048327C"/>
    <w:rsid w:val="00485E20"/>
    <w:rsid w:val="00490EA6"/>
    <w:rsid w:val="004A1D02"/>
    <w:rsid w:val="004A2211"/>
    <w:rsid w:val="004A571E"/>
    <w:rsid w:val="004B3967"/>
    <w:rsid w:val="004D3740"/>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335DA"/>
    <w:rsid w:val="00541DA5"/>
    <w:rsid w:val="00542F30"/>
    <w:rsid w:val="00567D9B"/>
    <w:rsid w:val="00571107"/>
    <w:rsid w:val="00583676"/>
    <w:rsid w:val="00590BB0"/>
    <w:rsid w:val="00592401"/>
    <w:rsid w:val="005A2E40"/>
    <w:rsid w:val="005A4A3C"/>
    <w:rsid w:val="005B11F6"/>
    <w:rsid w:val="005B14A9"/>
    <w:rsid w:val="005D15AC"/>
    <w:rsid w:val="005F2520"/>
    <w:rsid w:val="00606352"/>
    <w:rsid w:val="00606E4D"/>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6B2F"/>
    <w:rsid w:val="006D7ADC"/>
    <w:rsid w:val="006E148A"/>
    <w:rsid w:val="006E32B0"/>
    <w:rsid w:val="006E6E77"/>
    <w:rsid w:val="007173AE"/>
    <w:rsid w:val="00725AFB"/>
    <w:rsid w:val="0072766A"/>
    <w:rsid w:val="00734CA7"/>
    <w:rsid w:val="00740FF4"/>
    <w:rsid w:val="00791A0B"/>
    <w:rsid w:val="00795470"/>
    <w:rsid w:val="007A1852"/>
    <w:rsid w:val="007A4B0F"/>
    <w:rsid w:val="007B1481"/>
    <w:rsid w:val="007C2415"/>
    <w:rsid w:val="007C6C5F"/>
    <w:rsid w:val="007D181D"/>
    <w:rsid w:val="007D1DD3"/>
    <w:rsid w:val="007E2D2D"/>
    <w:rsid w:val="007E7254"/>
    <w:rsid w:val="007E783C"/>
    <w:rsid w:val="007F12A8"/>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B4377"/>
    <w:rsid w:val="008B7149"/>
    <w:rsid w:val="008D27F6"/>
    <w:rsid w:val="008D4E27"/>
    <w:rsid w:val="008D4F78"/>
    <w:rsid w:val="008E5A3D"/>
    <w:rsid w:val="00902B74"/>
    <w:rsid w:val="00902E75"/>
    <w:rsid w:val="00904754"/>
    <w:rsid w:val="00910474"/>
    <w:rsid w:val="00914FA4"/>
    <w:rsid w:val="00956025"/>
    <w:rsid w:val="00960EB9"/>
    <w:rsid w:val="00966C2B"/>
    <w:rsid w:val="009671A6"/>
    <w:rsid w:val="00982C37"/>
    <w:rsid w:val="009842EB"/>
    <w:rsid w:val="0098702E"/>
    <w:rsid w:val="00992EBA"/>
    <w:rsid w:val="009B0C33"/>
    <w:rsid w:val="009B232B"/>
    <w:rsid w:val="009B2471"/>
    <w:rsid w:val="009B6AA6"/>
    <w:rsid w:val="009D208C"/>
    <w:rsid w:val="009D3D99"/>
    <w:rsid w:val="009D6052"/>
    <w:rsid w:val="009E3116"/>
    <w:rsid w:val="009E57FD"/>
    <w:rsid w:val="00A0788C"/>
    <w:rsid w:val="00A16300"/>
    <w:rsid w:val="00A31CDC"/>
    <w:rsid w:val="00A35D8B"/>
    <w:rsid w:val="00A36E51"/>
    <w:rsid w:val="00A41FB0"/>
    <w:rsid w:val="00A4207F"/>
    <w:rsid w:val="00A5083E"/>
    <w:rsid w:val="00A5128D"/>
    <w:rsid w:val="00A5619A"/>
    <w:rsid w:val="00A61108"/>
    <w:rsid w:val="00A64492"/>
    <w:rsid w:val="00A87BB0"/>
    <w:rsid w:val="00A90817"/>
    <w:rsid w:val="00AA04D0"/>
    <w:rsid w:val="00AA0E8A"/>
    <w:rsid w:val="00AA12E4"/>
    <w:rsid w:val="00AB0D6A"/>
    <w:rsid w:val="00AB4E52"/>
    <w:rsid w:val="00AC05C3"/>
    <w:rsid w:val="00AC57E7"/>
    <w:rsid w:val="00AC7B9F"/>
    <w:rsid w:val="00AD180D"/>
    <w:rsid w:val="00AD65B2"/>
    <w:rsid w:val="00AE2BCE"/>
    <w:rsid w:val="00AF4DA6"/>
    <w:rsid w:val="00AF6BFC"/>
    <w:rsid w:val="00AF711E"/>
    <w:rsid w:val="00B01D88"/>
    <w:rsid w:val="00B052BE"/>
    <w:rsid w:val="00B10CA5"/>
    <w:rsid w:val="00B1501A"/>
    <w:rsid w:val="00B248F7"/>
    <w:rsid w:val="00B25573"/>
    <w:rsid w:val="00B26430"/>
    <w:rsid w:val="00B3067B"/>
    <w:rsid w:val="00B32C21"/>
    <w:rsid w:val="00B33277"/>
    <w:rsid w:val="00B47021"/>
    <w:rsid w:val="00B52FEA"/>
    <w:rsid w:val="00B61E55"/>
    <w:rsid w:val="00B62A0A"/>
    <w:rsid w:val="00B62AF1"/>
    <w:rsid w:val="00B648B1"/>
    <w:rsid w:val="00B66BCE"/>
    <w:rsid w:val="00B70617"/>
    <w:rsid w:val="00B86D5C"/>
    <w:rsid w:val="00BA3F5E"/>
    <w:rsid w:val="00BC3EC5"/>
    <w:rsid w:val="00BD145D"/>
    <w:rsid w:val="00BD3F7D"/>
    <w:rsid w:val="00BD442C"/>
    <w:rsid w:val="00BE016D"/>
    <w:rsid w:val="00BE26DA"/>
    <w:rsid w:val="00BF17E4"/>
    <w:rsid w:val="00C14DF3"/>
    <w:rsid w:val="00C14F61"/>
    <w:rsid w:val="00C23097"/>
    <w:rsid w:val="00C276F4"/>
    <w:rsid w:val="00C37408"/>
    <w:rsid w:val="00C46AA0"/>
    <w:rsid w:val="00C57360"/>
    <w:rsid w:val="00C609A4"/>
    <w:rsid w:val="00C61410"/>
    <w:rsid w:val="00C63FD8"/>
    <w:rsid w:val="00C7085D"/>
    <w:rsid w:val="00C7365B"/>
    <w:rsid w:val="00C802BB"/>
    <w:rsid w:val="00C925C6"/>
    <w:rsid w:val="00C9668B"/>
    <w:rsid w:val="00CA3A65"/>
    <w:rsid w:val="00CA487E"/>
    <w:rsid w:val="00CD2EFF"/>
    <w:rsid w:val="00CE2266"/>
    <w:rsid w:val="00CE2E3E"/>
    <w:rsid w:val="00CF22F6"/>
    <w:rsid w:val="00D0006E"/>
    <w:rsid w:val="00D008AA"/>
    <w:rsid w:val="00D07C8F"/>
    <w:rsid w:val="00D11489"/>
    <w:rsid w:val="00D1227C"/>
    <w:rsid w:val="00D207D6"/>
    <w:rsid w:val="00D229AE"/>
    <w:rsid w:val="00D51E3F"/>
    <w:rsid w:val="00D540B2"/>
    <w:rsid w:val="00D57471"/>
    <w:rsid w:val="00D63E5E"/>
    <w:rsid w:val="00D94ABD"/>
    <w:rsid w:val="00DA136F"/>
    <w:rsid w:val="00DB285C"/>
    <w:rsid w:val="00DB4A8A"/>
    <w:rsid w:val="00DC08A7"/>
    <w:rsid w:val="00DC685A"/>
    <w:rsid w:val="00DC7520"/>
    <w:rsid w:val="00DE221D"/>
    <w:rsid w:val="00DF3D5F"/>
    <w:rsid w:val="00DF64DC"/>
    <w:rsid w:val="00DF69FA"/>
    <w:rsid w:val="00DF6B58"/>
    <w:rsid w:val="00E1409A"/>
    <w:rsid w:val="00E140EF"/>
    <w:rsid w:val="00E30BFB"/>
    <w:rsid w:val="00E3174F"/>
    <w:rsid w:val="00E53719"/>
    <w:rsid w:val="00E54337"/>
    <w:rsid w:val="00E573DB"/>
    <w:rsid w:val="00E6058A"/>
    <w:rsid w:val="00E6359E"/>
    <w:rsid w:val="00E65BFD"/>
    <w:rsid w:val="00E850B4"/>
    <w:rsid w:val="00EA6EA7"/>
    <w:rsid w:val="00EB3317"/>
    <w:rsid w:val="00ED2C5D"/>
    <w:rsid w:val="00EE2055"/>
    <w:rsid w:val="00EE6C8A"/>
    <w:rsid w:val="00EF66B0"/>
    <w:rsid w:val="00F05CF9"/>
    <w:rsid w:val="00F12322"/>
    <w:rsid w:val="00F15C5B"/>
    <w:rsid w:val="00F15D1D"/>
    <w:rsid w:val="00F3274F"/>
    <w:rsid w:val="00F61369"/>
    <w:rsid w:val="00F624F4"/>
    <w:rsid w:val="00F66950"/>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A867F6-64D3-410B-A251-792D5E037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2014-08-06T20:18:00Z</dcterms:created>
  <dcterms:modified xsi:type="dcterms:W3CDTF">2014-08-06T20:32:00Z</dcterms:modified>
</cp:coreProperties>
</file>