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5D15AC" w:rsidP="00A0788C">
      <w:pPr>
        <w:spacing w:after="0"/>
        <w:jc w:val="center"/>
        <w:rPr>
          <w:rFonts w:ascii="Times New Roman" w:hAnsi="Times New Roman" w:cs="Times New Roman"/>
        </w:rPr>
      </w:pPr>
      <w:r>
        <w:rPr>
          <w:rFonts w:ascii="Times New Roman" w:hAnsi="Times New Roman" w:cs="Times New Roman"/>
        </w:rPr>
        <w:t>July</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5D15AC">
        <w:rPr>
          <w:rFonts w:ascii="Times New Roman" w:hAnsi="Times New Roman" w:cs="Times New Roman"/>
        </w:rPr>
        <w:t>g Group (OWG) met on June 25</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5D15AC">
        <w:rPr>
          <w:rFonts w:ascii="Times New Roman" w:hAnsi="Times New Roman" w:cs="Times New Roman"/>
        </w:rPr>
        <w:t>viewed and approved the May</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1D6CCA">
        <w:rPr>
          <w:rFonts w:ascii="Times New Roman" w:hAnsi="Times New Roman" w:cs="Times New Roman"/>
        </w:rPr>
        <w:t>minor</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621007" w:rsidRPr="009B6AA6" w:rsidRDefault="00BD3F7D" w:rsidP="00A0788C">
      <w:pPr>
        <w:spacing w:after="0"/>
        <w:rPr>
          <w:rFonts w:ascii="Times New Roman" w:hAnsi="Times New Roman" w:cs="Times New Roman"/>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r w:rsidR="00637621" w:rsidRPr="009B6AA6">
        <w:rPr>
          <w:rFonts w:ascii="Times New Roman" w:hAnsi="Times New Roman" w:cs="Times New Roman"/>
        </w:rPr>
        <w:tab/>
      </w:r>
      <w:r w:rsidR="00637621"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5D15AC" w:rsidRPr="009B6AA6" w:rsidTr="009E57FD">
        <w:tc>
          <w:tcPr>
            <w:tcW w:w="6390" w:type="dxa"/>
          </w:tcPr>
          <w:p w:rsidR="005D15AC" w:rsidRPr="009B6AA6" w:rsidRDefault="005D15AC" w:rsidP="00FC31B5">
            <w:pPr>
              <w:jc w:val="center"/>
              <w:rPr>
                <w:rFonts w:ascii="Times New Roman" w:hAnsi="Times New Roman" w:cs="Times New Roman"/>
                <w:b/>
                <w:color w:val="00B050"/>
              </w:rPr>
            </w:pPr>
            <w:r>
              <w:rPr>
                <w:rFonts w:ascii="Times New Roman" w:hAnsi="Times New Roman" w:cs="Times New Roman"/>
                <w:b/>
                <w:color w:val="00B050"/>
              </w:rPr>
              <w:t>131</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92EFF6F" wp14:editId="5B0A1891">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5D15AC" w:rsidRPr="003600B6" w:rsidTr="009E57FD">
        <w:tc>
          <w:tcPr>
            <w:tcW w:w="6390" w:type="dxa"/>
          </w:tcPr>
          <w:p w:rsidR="005D15AC" w:rsidRPr="003600B6" w:rsidRDefault="005D15AC" w:rsidP="00FC31B5">
            <w:pPr>
              <w:jc w:val="center"/>
              <w:rPr>
                <w:rFonts w:ascii="Times New Roman" w:hAnsi="Times New Roman" w:cs="Times New Roman"/>
                <w:b/>
              </w:rPr>
            </w:pPr>
            <w:r w:rsidRPr="00BE016D">
              <w:rPr>
                <w:rFonts w:cs="Calibri"/>
                <w:b/>
                <w:bCs/>
              </w:rPr>
              <w:t>Clarification for generation Resources During an EEA</w:t>
            </w:r>
          </w:p>
        </w:tc>
      </w:tr>
      <w:tr w:rsidR="00615C41" w:rsidRPr="009B6AA6" w:rsidTr="009E57FD">
        <w:tc>
          <w:tcPr>
            <w:tcW w:w="6390" w:type="dxa"/>
          </w:tcPr>
          <w:p w:rsidR="00615C41" w:rsidRPr="009B6AA6" w:rsidRDefault="005D15AC" w:rsidP="00E442B3">
            <w:pPr>
              <w:jc w:val="center"/>
              <w:rPr>
                <w:rFonts w:ascii="Times New Roman" w:hAnsi="Times New Roman" w:cs="Times New Roman"/>
              </w:rPr>
            </w:pPr>
            <w:r>
              <w:rPr>
                <w:rFonts w:ascii="Times New Roman" w:hAnsi="Times New Roman" w:cs="Times New Roman"/>
              </w:rPr>
              <w:t>IA</w:t>
            </w:r>
            <w:r w:rsidR="00615C41"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ED2C5D">
              <w:rPr>
                <w:rFonts w:ascii="Times New Roman" w:hAnsi="Times New Roman" w:cs="Times New Roman"/>
                <w:color w:val="00B050"/>
              </w:rPr>
              <w:t>Recommend to ROS</w:t>
            </w:r>
            <w:r w:rsidRPr="009B6AA6">
              <w:rPr>
                <w:rFonts w:ascii="Times New Roman" w:hAnsi="Times New Roman" w:cs="Times New Roman"/>
                <w:noProof/>
                <w:color w:val="00B050"/>
              </w:rPr>
              <w:drawing>
                <wp:inline distT="0" distB="0" distL="0" distR="0" wp14:anchorId="2D5D6B50" wp14:editId="73EAA078">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B47021" w:rsidRPr="00B47021" w:rsidRDefault="005D15AC" w:rsidP="00BE016D">
            <w:pPr>
              <w:pStyle w:val="ListParagraph"/>
              <w:rPr>
                <w:b/>
              </w:rPr>
            </w:pPr>
            <w:r w:rsidRPr="005D15AC">
              <w:t xml:space="preserve">This Nodal Operating Guide Revision Request (NOGRR) clarifies language that when ERCOT is in an Energy Emergency Alert (EEA), Qualified Scheduling Entities (QSEs) must receive authorization from ERCOT prior to manually removing an On-Line Resource. [ERCOT] Language Review. </w:t>
            </w:r>
            <w:r w:rsidRPr="005D15AC">
              <w:rPr>
                <w:b/>
              </w:rPr>
              <w:t>Reviewed Luminant comme</w:t>
            </w:r>
            <w:r w:rsidR="00E140EF">
              <w:rPr>
                <w:b/>
              </w:rPr>
              <w:t>nts. OWG recommended</w:t>
            </w:r>
            <w:r w:rsidRPr="005D15AC">
              <w:rPr>
                <w:b/>
              </w:rPr>
              <w:t xml:space="preserve"> </w:t>
            </w:r>
            <w:r w:rsidR="00E140EF">
              <w:rPr>
                <w:b/>
              </w:rPr>
              <w:t xml:space="preserve">approval of </w:t>
            </w:r>
            <w:r w:rsidRPr="005D15AC">
              <w:rPr>
                <w:b/>
              </w:rPr>
              <w:t>NOGRR131</w:t>
            </w:r>
            <w:r w:rsidR="00E140EF">
              <w:rPr>
                <w:b/>
              </w:rPr>
              <w:t xml:space="preserve"> to ROS.</w:t>
            </w:r>
          </w:p>
          <w:p w:rsidR="00615C41" w:rsidRPr="009B6AA6" w:rsidRDefault="00615C41" w:rsidP="00B47021">
            <w:pPr>
              <w:pStyle w:val="ListParagraph"/>
              <w:rPr>
                <w:rFonts w:ascii="Times New Roman" w:hAnsi="Times New Roman" w:cs="Times New Roman"/>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ED2C5D" w:rsidRPr="009B6AA6" w:rsidTr="008479D7">
        <w:tc>
          <w:tcPr>
            <w:tcW w:w="6390" w:type="dxa"/>
          </w:tcPr>
          <w:p w:rsidR="00ED2C5D" w:rsidRPr="009B6AA6" w:rsidRDefault="00E140EF" w:rsidP="008479D7">
            <w:pPr>
              <w:jc w:val="center"/>
              <w:rPr>
                <w:rFonts w:ascii="Times New Roman" w:hAnsi="Times New Roman" w:cs="Times New Roman"/>
                <w:b/>
                <w:color w:val="00B050"/>
              </w:rPr>
            </w:pPr>
            <w:r>
              <w:rPr>
                <w:rFonts w:ascii="Times New Roman" w:hAnsi="Times New Roman" w:cs="Times New Roman"/>
                <w:b/>
                <w:color w:val="00B050"/>
              </w:rPr>
              <w:t>132</w:t>
            </w:r>
            <w:r w:rsidR="00ED2C5D" w:rsidRPr="002E0064">
              <w:rPr>
                <w:rFonts w:ascii="Times New Roman" w:hAnsi="Times New Roman" w:cs="Times New Roman"/>
                <w:b/>
                <w:color w:val="00B050"/>
              </w:rPr>
              <w:t xml:space="preserve">NOGRR </w:t>
            </w:r>
            <w:r w:rsidR="00ED2C5D" w:rsidRPr="0006701A">
              <w:rPr>
                <w:rFonts w:ascii="Times New Roman" w:hAnsi="Times New Roman" w:cs="Times New Roman"/>
                <w:b/>
                <w:noProof/>
                <w:color w:val="00B050"/>
              </w:rPr>
              <w:drawing>
                <wp:inline distT="0" distB="0" distL="0" distR="0" wp14:anchorId="0B1B1595" wp14:editId="29179D84">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3600B6" w:rsidTr="008479D7">
        <w:tc>
          <w:tcPr>
            <w:tcW w:w="6390" w:type="dxa"/>
          </w:tcPr>
          <w:p w:rsidR="00ED2C5D" w:rsidRPr="003600B6" w:rsidRDefault="00E140EF" w:rsidP="008479D7">
            <w:pPr>
              <w:jc w:val="center"/>
              <w:rPr>
                <w:rFonts w:ascii="Times New Roman" w:hAnsi="Times New Roman" w:cs="Times New Roman"/>
                <w:b/>
              </w:rPr>
            </w:pPr>
            <w:r w:rsidRPr="00E140EF">
              <w:rPr>
                <w:rFonts w:cs="Calibri"/>
                <w:b/>
                <w:bCs/>
              </w:rPr>
              <w:t>Automatic Under Voltage and Under Frequency Load Shedding Protection Systems Load Restoration</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5335DA" w:rsidRPr="005335DA">
              <w:rPr>
                <w:rFonts w:ascii="Times New Roman" w:hAnsi="Times New Roman" w:cs="Times New Roman"/>
                <w:color w:val="00B050"/>
              </w:rPr>
              <w:t>OWG Tabled</w:t>
            </w:r>
            <w:r w:rsidRPr="009B6AA6">
              <w:rPr>
                <w:rFonts w:ascii="Times New Roman" w:hAnsi="Times New Roman" w:cs="Times New Roman"/>
                <w:noProof/>
                <w:color w:val="00B050"/>
              </w:rPr>
              <w:drawing>
                <wp:inline distT="0" distB="0" distL="0" distR="0" wp14:anchorId="0A02A720" wp14:editId="22D225C2">
                  <wp:extent cx="135456" cy="118652"/>
                  <wp:effectExtent l="19050" t="0" r="0" b="0"/>
                  <wp:docPr id="6" name="Picture 6"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rPr>
              <w:t>Discussion:</w:t>
            </w:r>
          </w:p>
          <w:p w:rsidR="00ED2C5D" w:rsidRDefault="00E140EF" w:rsidP="008479D7">
            <w:pPr>
              <w:pStyle w:val="ListParagraph"/>
              <w:rPr>
                <w:b/>
              </w:rPr>
            </w:pPr>
            <w:r w:rsidRPr="00E140EF">
              <w:t>This NOGRR adds a requirement for Under-Frequency Load Shedding (UFLS) and Under-Voltage Load Shedding (UVLS) systems Load restoration coordination consistent with that of manually shed Load for EEA 3 or Cons</w:t>
            </w:r>
            <w:r w:rsidR="005335DA">
              <w:t>traint Management Plan. [ERCOT]</w:t>
            </w:r>
            <w:r w:rsidRPr="00E140EF">
              <w:t xml:space="preserve"> </w:t>
            </w:r>
            <w:r w:rsidRPr="00E140EF">
              <w:rPr>
                <w:b/>
              </w:rPr>
              <w:t>Language was reviewed by ERCOT personnel. Several questions related to UVLS restoration were fielded. Related language was also reviewed by OWG. Language in section 5 was revised to reflect that Loads will be restored when specifically authorized by ERCOT. OWG tabled the NOGRR pending further discussions and revisions with ERCOT.</w:t>
            </w:r>
          </w:p>
          <w:p w:rsidR="00EF66B0" w:rsidRDefault="00EF66B0" w:rsidP="008479D7">
            <w:pPr>
              <w:pStyle w:val="ListParagraph"/>
              <w:rPr>
                <w:b/>
              </w:rPr>
            </w:pPr>
          </w:p>
          <w:p w:rsidR="00EF66B0" w:rsidRDefault="00EF66B0" w:rsidP="008479D7">
            <w:pPr>
              <w:pStyle w:val="ListParagraph"/>
              <w:rPr>
                <w:b/>
              </w:rPr>
            </w:pPr>
          </w:p>
          <w:p w:rsidR="00EF66B0" w:rsidRPr="009B6AA6" w:rsidRDefault="00EF66B0" w:rsidP="008479D7">
            <w:pPr>
              <w:pStyle w:val="ListParagraph"/>
              <w:rPr>
                <w:rFonts w:ascii="Times New Roman" w:hAnsi="Times New Roman" w:cs="Times New Roman"/>
              </w:rPr>
            </w:pPr>
          </w:p>
        </w:tc>
      </w:tr>
      <w:tr w:rsidR="004D3740" w:rsidTr="00B40050">
        <w:tc>
          <w:tcPr>
            <w:tcW w:w="6390" w:type="dxa"/>
            <w:shd w:val="clear" w:color="auto" w:fill="000000" w:themeFill="text1"/>
          </w:tcPr>
          <w:p w:rsidR="004D3740" w:rsidRDefault="004D3740" w:rsidP="00B40050">
            <w:pPr>
              <w:jc w:val="center"/>
              <w:rPr>
                <w:rFonts w:ascii="Times New Roman" w:hAnsi="Times New Roman" w:cs="Times New Roman"/>
                <w:b/>
                <w:color w:val="00B050"/>
              </w:rPr>
            </w:pPr>
          </w:p>
        </w:tc>
      </w:tr>
      <w:tr w:rsidR="00AB4E52" w:rsidTr="00B40050">
        <w:tc>
          <w:tcPr>
            <w:tcW w:w="6390" w:type="dxa"/>
            <w:shd w:val="clear" w:color="auto" w:fill="000000" w:themeFill="text1"/>
          </w:tcPr>
          <w:p w:rsidR="00AB4E52" w:rsidRDefault="00AB4E52" w:rsidP="00B40050">
            <w:pPr>
              <w:jc w:val="center"/>
              <w:rPr>
                <w:rFonts w:ascii="Times New Roman" w:hAnsi="Times New Roman" w:cs="Times New Roman"/>
                <w:b/>
                <w:color w:val="00B050"/>
              </w:rPr>
            </w:pPr>
          </w:p>
        </w:tc>
      </w:tr>
      <w:tr w:rsidR="00435A03" w:rsidTr="00FC31B5">
        <w:tc>
          <w:tcPr>
            <w:tcW w:w="6390" w:type="dxa"/>
          </w:tcPr>
          <w:p w:rsidR="00435A03" w:rsidRDefault="00435A03" w:rsidP="00FC31B5">
            <w:pPr>
              <w:jc w:val="center"/>
              <w:rPr>
                <w:rFonts w:ascii="Times New Roman" w:hAnsi="Times New Roman" w:cs="Times New Roman"/>
                <w:b/>
                <w:color w:val="00B050"/>
              </w:rPr>
            </w:pPr>
          </w:p>
        </w:tc>
      </w:tr>
      <w:tr w:rsidR="00435A03" w:rsidRPr="009B6AA6" w:rsidTr="00FC31B5">
        <w:tc>
          <w:tcPr>
            <w:tcW w:w="6390" w:type="dxa"/>
          </w:tcPr>
          <w:p w:rsidR="00435A03" w:rsidRPr="009B6AA6" w:rsidRDefault="00AB4E52" w:rsidP="00FC31B5">
            <w:pPr>
              <w:jc w:val="center"/>
              <w:rPr>
                <w:rFonts w:ascii="Times New Roman" w:hAnsi="Times New Roman" w:cs="Times New Roman"/>
                <w:b/>
                <w:color w:val="00B050"/>
              </w:rPr>
            </w:pPr>
            <w:r>
              <w:rPr>
                <w:rFonts w:ascii="Times New Roman" w:hAnsi="Times New Roman" w:cs="Times New Roman"/>
                <w:b/>
                <w:color w:val="00B050"/>
              </w:rPr>
              <w:t>134</w:t>
            </w:r>
            <w:r w:rsidR="00435A03" w:rsidRPr="002E0064">
              <w:rPr>
                <w:rFonts w:ascii="Times New Roman" w:hAnsi="Times New Roman" w:cs="Times New Roman"/>
                <w:b/>
                <w:color w:val="00B050"/>
              </w:rPr>
              <w:t xml:space="preserve">NOGRR </w:t>
            </w:r>
            <w:r w:rsidR="00435A03" w:rsidRPr="0006701A">
              <w:rPr>
                <w:rFonts w:ascii="Times New Roman" w:hAnsi="Times New Roman" w:cs="Times New Roman"/>
                <w:b/>
                <w:noProof/>
                <w:color w:val="00B050"/>
              </w:rPr>
              <w:drawing>
                <wp:inline distT="0" distB="0" distL="0" distR="0" wp14:anchorId="72FF409E" wp14:editId="455ECFA1">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435A03" w:rsidRPr="003600B6" w:rsidTr="00FC31B5">
        <w:tc>
          <w:tcPr>
            <w:tcW w:w="6390" w:type="dxa"/>
          </w:tcPr>
          <w:p w:rsidR="00435A03" w:rsidRPr="003600B6" w:rsidRDefault="00AB4E52" w:rsidP="00FC31B5">
            <w:pPr>
              <w:jc w:val="center"/>
              <w:rPr>
                <w:rFonts w:ascii="Times New Roman" w:hAnsi="Times New Roman" w:cs="Times New Roman"/>
                <w:b/>
              </w:rPr>
            </w:pPr>
            <w:r w:rsidRPr="00AB4E52">
              <w:rPr>
                <w:rFonts w:cs="Calibri"/>
                <w:b/>
                <w:bCs/>
              </w:rPr>
              <w:t>Posting Process for Black Start Plans</w:t>
            </w:r>
          </w:p>
        </w:tc>
      </w:tr>
      <w:tr w:rsidR="00435A03" w:rsidRPr="009B6AA6" w:rsidTr="00EF66B0">
        <w:trPr>
          <w:trHeight w:val="50"/>
        </w:trPr>
        <w:tc>
          <w:tcPr>
            <w:tcW w:w="6390" w:type="dxa"/>
          </w:tcPr>
          <w:p w:rsidR="00435A03" w:rsidRPr="009B6AA6" w:rsidRDefault="00435A03" w:rsidP="00FC31B5">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435A03" w:rsidRPr="009B6AA6" w:rsidTr="00FC31B5">
        <w:tc>
          <w:tcPr>
            <w:tcW w:w="6390" w:type="dxa"/>
          </w:tcPr>
          <w:p w:rsidR="00435A03" w:rsidRPr="009B6AA6" w:rsidRDefault="00435A03" w:rsidP="00FC31B5">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257D1A">
              <w:rPr>
                <w:rFonts w:ascii="Times New Roman" w:hAnsi="Times New Roman" w:cs="Times New Roman"/>
                <w:color w:val="00B050"/>
              </w:rPr>
              <w:t>OWG Recommend for IA</w:t>
            </w:r>
            <w:r w:rsidRPr="009B6AA6">
              <w:rPr>
                <w:rFonts w:ascii="Times New Roman" w:hAnsi="Times New Roman" w:cs="Times New Roman"/>
                <w:noProof/>
                <w:color w:val="00B050"/>
              </w:rPr>
              <w:drawing>
                <wp:inline distT="0" distB="0" distL="0" distR="0" wp14:anchorId="6150326C" wp14:editId="5CAB3864">
                  <wp:extent cx="135456" cy="118652"/>
                  <wp:effectExtent l="19050" t="0" r="0" b="0"/>
                  <wp:docPr id="9" name="Picture 9"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435A03" w:rsidRPr="009B6AA6" w:rsidTr="00FC31B5">
        <w:tc>
          <w:tcPr>
            <w:tcW w:w="6390" w:type="dxa"/>
          </w:tcPr>
          <w:p w:rsidR="00435A03" w:rsidRPr="009B6AA6" w:rsidRDefault="00435A03" w:rsidP="00FC31B5">
            <w:pPr>
              <w:jc w:val="center"/>
              <w:rPr>
                <w:rFonts w:ascii="Times New Roman" w:hAnsi="Times New Roman" w:cs="Times New Roman"/>
              </w:rPr>
            </w:pPr>
            <w:r w:rsidRPr="009B6AA6">
              <w:rPr>
                <w:rFonts w:ascii="Times New Roman" w:hAnsi="Times New Roman" w:cs="Times New Roman"/>
              </w:rPr>
              <w:t>Discussion:</w:t>
            </w:r>
          </w:p>
          <w:p w:rsidR="00435A03" w:rsidRPr="009B6AA6" w:rsidRDefault="00AB4E52" w:rsidP="00FC31B5">
            <w:pPr>
              <w:pStyle w:val="ListParagraph"/>
              <w:rPr>
                <w:rFonts w:ascii="Times New Roman" w:hAnsi="Times New Roman" w:cs="Times New Roman"/>
              </w:rPr>
            </w:pPr>
            <w:r w:rsidRPr="00AB4E52">
              <w:t>This NOGRR clarifies the responsibility of ERCOT to post the ERCOT Black Start plan on the Market Information System (MIS) Certified Area for Transmission Operators (TO) and post TOs’ new or revised Black Start plans on the MIS Certified Area for specified Market Participants. [ERCOT] Language Review.</w:t>
            </w:r>
            <w:r>
              <w:t xml:space="preserve"> </w:t>
            </w:r>
            <w:r w:rsidRPr="00AB4E52">
              <w:rPr>
                <w:b/>
              </w:rPr>
              <w:t>Language background and content was reviewed by ERCOT personnel. Questions were answered. OWG approved of the language and NOGRR will return next month to OWG for IA.</w:t>
            </w:r>
          </w:p>
        </w:tc>
      </w:tr>
      <w:tr w:rsidR="00AB4E52" w:rsidRPr="009B6AA6" w:rsidTr="00FC31B5">
        <w:tc>
          <w:tcPr>
            <w:tcW w:w="6390" w:type="dxa"/>
          </w:tcPr>
          <w:p w:rsidR="00AB4E52" w:rsidRDefault="00AB4E52" w:rsidP="00FC31B5">
            <w:pPr>
              <w:jc w:val="cente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0030AD" w:rsidRPr="0087112B" w:rsidRDefault="00257D1A" w:rsidP="0087112B">
      <w:pPr>
        <w:pStyle w:val="ListParagraph"/>
        <w:numPr>
          <w:ilvl w:val="0"/>
          <w:numId w:val="33"/>
        </w:numPr>
        <w:spacing w:after="0"/>
        <w:rPr>
          <w:rFonts w:ascii="Times New Roman" w:hAnsi="Times New Roman" w:cs="Times New Roman"/>
          <w:sz w:val="24"/>
        </w:rPr>
      </w:pPr>
      <w:r w:rsidRPr="00257D1A">
        <w:rPr>
          <w:rFonts w:ascii="Times New Roman" w:hAnsi="Times New Roman" w:cs="Times New Roman"/>
          <w:sz w:val="24"/>
        </w:rPr>
        <w:t>Reviewed the report; two questions were answered.</w:t>
      </w:r>
      <w:r w:rsidR="00B10CA5" w:rsidRPr="0087112B">
        <w:rPr>
          <w:rFonts w:ascii="Times New Roman" w:hAnsi="Times New Roman" w:cs="Times New Roman"/>
          <w:sz w:val="24"/>
        </w:rPr>
        <w:t xml:space="preserve"> </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1D6CCA" w:rsidRPr="00DF64DC" w:rsidRDefault="00BD442C" w:rsidP="0016147B">
      <w:pPr>
        <w:pStyle w:val="ListParagraph"/>
        <w:numPr>
          <w:ilvl w:val="0"/>
          <w:numId w:val="33"/>
        </w:numPr>
        <w:spacing w:after="0" w:line="240" w:lineRule="auto"/>
        <w:rPr>
          <w:rFonts w:ascii="Times New Roman" w:hAnsi="Times New Roman" w:cs="Times New Roman"/>
          <w:sz w:val="24"/>
        </w:rPr>
      </w:pPr>
      <w:r w:rsidRPr="00BD442C">
        <w:rPr>
          <w:rFonts w:ascii="Times New Roman" w:hAnsi="Times New Roman" w:cs="Times New Roman"/>
          <w:sz w:val="24"/>
        </w:rPr>
        <w:t>ERCOT personnel presented the results of the recent hurricane drill. Several questions were answered.</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BD442C" w:rsidP="0016147B">
      <w:pPr>
        <w:pStyle w:val="ListParagraph"/>
        <w:numPr>
          <w:ilvl w:val="0"/>
          <w:numId w:val="10"/>
        </w:numPr>
        <w:rPr>
          <w:rFonts w:ascii="Times New Roman" w:hAnsi="Times New Roman" w:cs="Times New Roman"/>
          <w:sz w:val="24"/>
        </w:rPr>
      </w:pPr>
      <w:r>
        <w:rPr>
          <w:rFonts w:ascii="Times New Roman" w:hAnsi="Times New Roman" w:cs="Times New Roman"/>
          <w:sz w:val="24"/>
        </w:rPr>
        <w:t>ERCOT gave a presentation on the OTS results</w:t>
      </w:r>
      <w:r w:rsidR="00E53719" w:rsidRPr="00E53719">
        <w:rPr>
          <w:rFonts w:ascii="Times New Roman" w:hAnsi="Times New Roman" w:cs="Times New Roman"/>
          <w:sz w:val="24"/>
        </w:rPr>
        <w:t>.</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902E75" w:rsidRDefault="00C9668B" w:rsidP="00C9668B">
      <w:pPr>
        <w:pStyle w:val="ListParagraph"/>
        <w:numPr>
          <w:ilvl w:val="0"/>
          <w:numId w:val="10"/>
        </w:numPr>
        <w:spacing w:after="0"/>
        <w:rPr>
          <w:rFonts w:ascii="Times New Roman" w:hAnsi="Times New Roman" w:cs="Times New Roman"/>
          <w:sz w:val="24"/>
        </w:rPr>
      </w:pPr>
      <w:r w:rsidRPr="00C9668B">
        <w:rPr>
          <w:rFonts w:ascii="Times New Roman" w:hAnsi="Times New Roman" w:cs="Times New Roman"/>
          <w:sz w:val="24"/>
        </w:rPr>
        <w:t>Overview of standard updates was presented. No questions were asked.</w:t>
      </w:r>
    </w:p>
    <w:p w:rsidR="00C9668B" w:rsidRPr="00C61410" w:rsidRDefault="00C9668B" w:rsidP="00902E75">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C9668B" w:rsidP="00471E94">
      <w:pPr>
        <w:pStyle w:val="ListParagraph"/>
        <w:numPr>
          <w:ilvl w:val="0"/>
          <w:numId w:val="34"/>
        </w:numPr>
        <w:spacing w:after="0"/>
        <w:rPr>
          <w:rFonts w:ascii="Times New Roman" w:hAnsi="Times New Roman" w:cs="Times New Roman"/>
        </w:rPr>
      </w:pPr>
      <w:r>
        <w:rPr>
          <w:rFonts w:ascii="Times New Roman" w:hAnsi="Times New Roman" w:cs="Times New Roman"/>
        </w:rPr>
        <w:t>No new items this month</w:t>
      </w:r>
      <w:r w:rsidR="00902E75">
        <w:rPr>
          <w:rFonts w:ascii="Times New Roman" w:hAnsi="Times New Roman" w:cs="Times New Roman"/>
        </w:rPr>
        <w:t>.</w:t>
      </w:r>
    </w:p>
    <w:p w:rsidR="00902E75" w:rsidRPr="009671A6" w:rsidRDefault="00902E75" w:rsidP="00902E75">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471E94" w:rsidRPr="00063B20" w:rsidRDefault="00902E75" w:rsidP="00902E75">
      <w:pPr>
        <w:pStyle w:val="ListParagraph"/>
        <w:numPr>
          <w:ilvl w:val="0"/>
          <w:numId w:val="34"/>
        </w:numPr>
        <w:spacing w:after="0"/>
        <w:rPr>
          <w:rFonts w:ascii="Times New Roman" w:hAnsi="Times New Roman" w:cs="Times New Roman"/>
          <w:b/>
          <w:sz w:val="24"/>
        </w:rPr>
      </w:pPr>
      <w:r w:rsidRPr="00902E75">
        <w:rPr>
          <w:rFonts w:ascii="Times New Roman" w:hAnsi="Times New Roman" w:cs="Times New Roman"/>
          <w:sz w:val="24"/>
        </w:rPr>
        <w:t xml:space="preserve">ROS directive - Voltage support requirement for all Generation Resources greater than 20 MVA. (See Protocol Section 3.15, paragraph 2) Update on offline discussions. </w:t>
      </w:r>
      <w:r w:rsidRPr="00DF69FA">
        <w:rPr>
          <w:rFonts w:ascii="Times New Roman" w:hAnsi="Times New Roman" w:cs="Times New Roman"/>
          <w:b/>
          <w:sz w:val="24"/>
        </w:rPr>
        <w:t xml:space="preserve">No </w:t>
      </w:r>
      <w:r w:rsidR="00EA6EA7">
        <w:rPr>
          <w:rFonts w:ascii="Times New Roman" w:hAnsi="Times New Roman" w:cs="Times New Roman"/>
          <w:b/>
          <w:sz w:val="24"/>
        </w:rPr>
        <w:t>update given by ERCOT or Walter</w:t>
      </w:r>
      <w:r w:rsidR="00C9668B">
        <w:rPr>
          <w:rFonts w:ascii="Times New Roman" w:hAnsi="Times New Roman" w:cs="Times New Roman"/>
          <w:b/>
          <w:bCs/>
          <w:sz w:val="24"/>
        </w:rPr>
        <w:t>.</w:t>
      </w:r>
    </w:p>
    <w:p w:rsidR="00DF69FA" w:rsidRPr="006D6B2F" w:rsidRDefault="006D6B2F" w:rsidP="00DF69FA">
      <w:pPr>
        <w:pStyle w:val="ListParagraph"/>
        <w:numPr>
          <w:ilvl w:val="0"/>
          <w:numId w:val="34"/>
        </w:numPr>
        <w:spacing w:after="0"/>
        <w:rPr>
          <w:rFonts w:ascii="Times New Roman" w:hAnsi="Times New Roman" w:cs="Times New Roman"/>
          <w:b/>
          <w:sz w:val="24"/>
        </w:rPr>
      </w:pPr>
      <w:r w:rsidRPr="006D6B2F">
        <w:rPr>
          <w:rFonts w:ascii="Times New Roman" w:hAnsi="Times New Roman" w:cs="Times New Roman"/>
          <w:bCs/>
          <w:sz w:val="24"/>
        </w:rPr>
        <w:t>Possible review of draft NPRR and NOGRR on Voltage Control Requirements.</w:t>
      </w:r>
      <w:r w:rsidRPr="006D6B2F">
        <w:rPr>
          <w:rFonts w:ascii="Times New Roman" w:hAnsi="Times New Roman" w:cs="Times New Roman"/>
          <w:b/>
          <w:bCs/>
          <w:sz w:val="24"/>
        </w:rPr>
        <w:t xml:space="preserve"> OWG reviewed the NPRR and stopped at 3.15.2 on DSP and Resource Entity (within a Private Use Network) Responsibilities Related to Voltage Support.</w:t>
      </w:r>
    </w:p>
    <w:p w:rsidR="00EF66B0" w:rsidRPr="00EF66B0" w:rsidRDefault="006D6B2F" w:rsidP="00EF66B0">
      <w:pPr>
        <w:pStyle w:val="ListParagraph"/>
        <w:numPr>
          <w:ilvl w:val="0"/>
          <w:numId w:val="34"/>
        </w:numPr>
        <w:spacing w:after="0"/>
        <w:rPr>
          <w:rFonts w:ascii="Times New Roman" w:hAnsi="Times New Roman" w:cs="Times New Roman"/>
        </w:rPr>
      </w:pPr>
      <w:r w:rsidRPr="00EF66B0">
        <w:rPr>
          <w:rFonts w:ascii="Times New Roman" w:hAnsi="Times New Roman" w:cs="Times New Roman"/>
          <w:b/>
          <w:bCs/>
          <w:sz w:val="24"/>
        </w:rPr>
        <w:t>TWG Presentation – ERCOT Kelly Blackmer gave a presentation on the newly proposed Trainers Working Group. OWG members were supportive.</w:t>
      </w:r>
    </w:p>
    <w:p w:rsidR="00EF66B0" w:rsidRPr="00EF66B0" w:rsidRDefault="00EF66B0" w:rsidP="00EF66B0">
      <w:pPr>
        <w:pStyle w:val="ListParagraph"/>
        <w:spacing w:after="0"/>
        <w:ind w:left="108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Pr="00063B20" w:rsidRDefault="00DF69FA" w:rsidP="007F12A8">
      <w:pPr>
        <w:pStyle w:val="ListParagraph"/>
        <w:numPr>
          <w:ilvl w:val="0"/>
          <w:numId w:val="28"/>
        </w:numPr>
        <w:rPr>
          <w:rFonts w:cs="Calibri"/>
        </w:rPr>
      </w:pPr>
      <w:r>
        <w:rPr>
          <w:rFonts w:ascii="Times New Roman" w:hAnsi="Times New Roman" w:cs="Times New Roman"/>
          <w:bCs/>
          <w:sz w:val="24"/>
        </w:rPr>
        <w:t>Wednesday</w:t>
      </w:r>
      <w:r w:rsidR="007F12A8" w:rsidRPr="00B61E55">
        <w:rPr>
          <w:rFonts w:ascii="Times New Roman" w:hAnsi="Times New Roman" w:cs="Times New Roman"/>
          <w:bCs/>
          <w:sz w:val="24"/>
        </w:rPr>
        <w:t xml:space="preserve"> </w:t>
      </w:r>
      <w:r w:rsidR="006D6B2F">
        <w:rPr>
          <w:rFonts w:ascii="Times New Roman" w:hAnsi="Times New Roman" w:cs="Times New Roman"/>
          <w:bCs/>
          <w:sz w:val="24"/>
        </w:rPr>
        <w:t>July</w:t>
      </w:r>
      <w:r w:rsidR="00EA6EA7">
        <w:rPr>
          <w:rFonts w:ascii="Times New Roman" w:hAnsi="Times New Roman" w:cs="Times New Roman"/>
          <w:bCs/>
          <w:sz w:val="24"/>
        </w:rPr>
        <w:t xml:space="preserve"> 22</w:t>
      </w:r>
      <w:r w:rsidR="00EA6EA7" w:rsidRPr="00EA6EA7">
        <w:rPr>
          <w:rFonts w:ascii="Times New Roman" w:hAnsi="Times New Roman" w:cs="Times New Roman"/>
          <w:bCs/>
          <w:sz w:val="24"/>
          <w:vertAlign w:val="superscript"/>
        </w:rPr>
        <w:t>nd</w:t>
      </w:r>
      <w:r w:rsidR="007F12A8" w:rsidRPr="00B61E55">
        <w:rPr>
          <w:rFonts w:ascii="Times New Roman" w:hAnsi="Times New Roman" w:cs="Times New Roman"/>
          <w:bCs/>
          <w:sz w:val="24"/>
        </w:rPr>
        <w:t xml:space="preserve">, 2014 – </w:t>
      </w:r>
      <w:r w:rsidR="0087112B" w:rsidRPr="00B61E55">
        <w:rPr>
          <w:rFonts w:ascii="Times New Roman" w:hAnsi="Times New Roman" w:cs="Times New Roman"/>
          <w:bCs/>
          <w:sz w:val="24"/>
        </w:rPr>
        <w:t>at the ERCOT Met Center</w:t>
      </w:r>
      <w:r w:rsidR="00795470">
        <w:rPr>
          <w:rFonts w:ascii="Times New Roman" w:hAnsi="Times New Roman" w:cs="Times New Roman"/>
          <w:bCs/>
          <w:sz w:val="24"/>
        </w:rPr>
        <w:t xml:space="preserve"> room 168</w:t>
      </w:r>
      <w:r w:rsidR="0087112B" w:rsidRPr="00B61E55">
        <w:rPr>
          <w:rFonts w:ascii="Times New Roman" w:hAnsi="Times New Roman" w:cs="Times New Roman"/>
          <w:bCs/>
          <w:sz w:val="24"/>
        </w:rPr>
        <w:t>.</w:t>
      </w:r>
    </w:p>
    <w:p w:rsidR="00063B20" w:rsidRPr="00063B20" w:rsidRDefault="00063B20" w:rsidP="00063B20">
      <w:pPr>
        <w:pStyle w:val="ListParagraph"/>
        <w:ind w:left="1080"/>
        <w:rPr>
          <w:rFonts w:cs="Calibri"/>
        </w:rPr>
      </w:pPr>
    </w:p>
    <w:p w:rsidR="00063B20" w:rsidRPr="00795470" w:rsidRDefault="00063B20" w:rsidP="00EA6EA7">
      <w:pPr>
        <w:pStyle w:val="ListParagraph"/>
        <w:ind w:left="1080"/>
        <w:rPr>
          <w:rFonts w:ascii="Times New Roman" w:hAnsi="Times New Roman" w:cs="Times New Roman"/>
          <w:bCs/>
          <w:sz w:val="24"/>
        </w:rPr>
      </w:pPr>
    </w:p>
    <w:sectPr w:rsidR="00063B20" w:rsidRPr="00795470" w:rsidSect="00CE226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AF7" w:rsidRDefault="00D67AF7" w:rsidP="00EF66B0">
      <w:pPr>
        <w:spacing w:after="0" w:line="240" w:lineRule="auto"/>
      </w:pPr>
      <w:r>
        <w:separator/>
      </w:r>
    </w:p>
  </w:endnote>
  <w:endnote w:type="continuationSeparator" w:id="0">
    <w:p w:rsidR="00D67AF7" w:rsidRDefault="00D67AF7" w:rsidP="00EF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p w:rsidR="00EF66B0" w:rsidRDefault="00EF66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AF7" w:rsidRDefault="00D67AF7" w:rsidP="00EF66B0">
      <w:pPr>
        <w:spacing w:after="0" w:line="240" w:lineRule="auto"/>
      </w:pPr>
      <w:r>
        <w:separator/>
      </w:r>
    </w:p>
  </w:footnote>
  <w:footnote w:type="continuationSeparator" w:id="0">
    <w:p w:rsidR="00D67AF7" w:rsidRDefault="00D67AF7" w:rsidP="00EF6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7B0E4A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D80036"/>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1F909B0"/>
    <w:multiLevelType w:val="hybridMultilevel"/>
    <w:tmpl w:val="C1F8FA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14E5485"/>
    <w:multiLevelType w:val="hybridMultilevel"/>
    <w:tmpl w:val="0CC8A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5">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7"/>
  </w:num>
  <w:num w:numId="3">
    <w:abstractNumId w:val="13"/>
  </w:num>
  <w:num w:numId="4">
    <w:abstractNumId w:val="22"/>
  </w:num>
  <w:num w:numId="5">
    <w:abstractNumId w:val="8"/>
  </w:num>
  <w:num w:numId="6">
    <w:abstractNumId w:val="1"/>
  </w:num>
  <w:num w:numId="7">
    <w:abstractNumId w:val="26"/>
  </w:num>
  <w:num w:numId="8">
    <w:abstractNumId w:val="7"/>
  </w:num>
  <w:num w:numId="9">
    <w:abstractNumId w:val="2"/>
  </w:num>
  <w:num w:numId="10">
    <w:abstractNumId w:val="10"/>
  </w:num>
  <w:num w:numId="11">
    <w:abstractNumId w:val="19"/>
  </w:num>
  <w:num w:numId="12">
    <w:abstractNumId w:val="24"/>
  </w:num>
  <w:num w:numId="13">
    <w:abstractNumId w:val="3"/>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25"/>
  </w:num>
  <w:num w:numId="17">
    <w:abstractNumId w:val="26"/>
  </w:num>
  <w:num w:numId="18">
    <w:abstractNumId w:val="21"/>
  </w:num>
  <w:num w:numId="19">
    <w:abstractNumId w:val="12"/>
  </w:num>
  <w:num w:numId="20">
    <w:abstractNumId w:val="23"/>
  </w:num>
  <w:num w:numId="21">
    <w:abstractNumId w:val="28"/>
  </w:num>
  <w:num w:numId="22">
    <w:abstractNumId w:val="5"/>
  </w:num>
  <w:num w:numId="23">
    <w:abstractNumId w:val="11"/>
  </w:num>
  <w:num w:numId="24">
    <w:abstractNumId w:val="17"/>
  </w:num>
  <w:num w:numId="25">
    <w:abstractNumId w:val="9"/>
  </w:num>
  <w:num w:numId="26">
    <w:abstractNumId w:val="31"/>
  </w:num>
  <w:num w:numId="27">
    <w:abstractNumId w:val="14"/>
  </w:num>
  <w:num w:numId="28">
    <w:abstractNumId w:val="18"/>
  </w:num>
  <w:num w:numId="29">
    <w:abstractNumId w:val="15"/>
  </w:num>
  <w:num w:numId="30">
    <w:abstractNumId w:val="29"/>
  </w:num>
  <w:num w:numId="31">
    <w:abstractNumId w:val="30"/>
  </w:num>
  <w:num w:numId="32">
    <w:abstractNumId w:val="16"/>
  </w:num>
  <w:num w:numId="33">
    <w:abstractNumId w:val="6"/>
  </w:num>
  <w:num w:numId="34">
    <w:abstractNumId w:val="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45AFB"/>
    <w:rsid w:val="00063B20"/>
    <w:rsid w:val="00065AD5"/>
    <w:rsid w:val="0006701A"/>
    <w:rsid w:val="000704FA"/>
    <w:rsid w:val="0009112E"/>
    <w:rsid w:val="00096811"/>
    <w:rsid w:val="000B118E"/>
    <w:rsid w:val="000B3FF4"/>
    <w:rsid w:val="000D191E"/>
    <w:rsid w:val="000E532A"/>
    <w:rsid w:val="000F2B8B"/>
    <w:rsid w:val="000F5DF9"/>
    <w:rsid w:val="001020AB"/>
    <w:rsid w:val="00104A89"/>
    <w:rsid w:val="00127C45"/>
    <w:rsid w:val="001300F3"/>
    <w:rsid w:val="001316EC"/>
    <w:rsid w:val="001401BB"/>
    <w:rsid w:val="00146E12"/>
    <w:rsid w:val="0016147B"/>
    <w:rsid w:val="00163AC6"/>
    <w:rsid w:val="00165E52"/>
    <w:rsid w:val="00177504"/>
    <w:rsid w:val="001D6CCA"/>
    <w:rsid w:val="001E353E"/>
    <w:rsid w:val="001F34C9"/>
    <w:rsid w:val="00220365"/>
    <w:rsid w:val="00256EDE"/>
    <w:rsid w:val="00257D1A"/>
    <w:rsid w:val="00263CEA"/>
    <w:rsid w:val="00270734"/>
    <w:rsid w:val="002A23C9"/>
    <w:rsid w:val="002A4A9E"/>
    <w:rsid w:val="002B0CC9"/>
    <w:rsid w:val="002C200C"/>
    <w:rsid w:val="002C7D6A"/>
    <w:rsid w:val="002D07E0"/>
    <w:rsid w:val="002E0064"/>
    <w:rsid w:val="002E06C9"/>
    <w:rsid w:val="00302334"/>
    <w:rsid w:val="00310926"/>
    <w:rsid w:val="00325264"/>
    <w:rsid w:val="003277EF"/>
    <w:rsid w:val="00331489"/>
    <w:rsid w:val="00332881"/>
    <w:rsid w:val="00341694"/>
    <w:rsid w:val="00347FA3"/>
    <w:rsid w:val="003600B6"/>
    <w:rsid w:val="00364ED7"/>
    <w:rsid w:val="00370EC3"/>
    <w:rsid w:val="003966CC"/>
    <w:rsid w:val="00396E23"/>
    <w:rsid w:val="003A3691"/>
    <w:rsid w:val="003B2C22"/>
    <w:rsid w:val="003C7453"/>
    <w:rsid w:val="003D516B"/>
    <w:rsid w:val="003D5246"/>
    <w:rsid w:val="003D7863"/>
    <w:rsid w:val="003E3FA9"/>
    <w:rsid w:val="003F08E7"/>
    <w:rsid w:val="00400BC7"/>
    <w:rsid w:val="00411736"/>
    <w:rsid w:val="004308AD"/>
    <w:rsid w:val="0043403B"/>
    <w:rsid w:val="00435944"/>
    <w:rsid w:val="00435A03"/>
    <w:rsid w:val="004419B7"/>
    <w:rsid w:val="00447403"/>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5166"/>
    <w:rsid w:val="004E092A"/>
    <w:rsid w:val="004E1087"/>
    <w:rsid w:val="004E1642"/>
    <w:rsid w:val="004E39E2"/>
    <w:rsid w:val="004E6C24"/>
    <w:rsid w:val="004F1D7B"/>
    <w:rsid w:val="00504A51"/>
    <w:rsid w:val="00513F5C"/>
    <w:rsid w:val="005178A8"/>
    <w:rsid w:val="00521C01"/>
    <w:rsid w:val="00527D2D"/>
    <w:rsid w:val="0053172D"/>
    <w:rsid w:val="00532610"/>
    <w:rsid w:val="005335DA"/>
    <w:rsid w:val="00541DA5"/>
    <w:rsid w:val="00542F30"/>
    <w:rsid w:val="00567D9B"/>
    <w:rsid w:val="00571107"/>
    <w:rsid w:val="00583676"/>
    <w:rsid w:val="00590BB0"/>
    <w:rsid w:val="00592401"/>
    <w:rsid w:val="005A4A3C"/>
    <w:rsid w:val="005B11F6"/>
    <w:rsid w:val="005B14A9"/>
    <w:rsid w:val="005D15AC"/>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6B2F"/>
    <w:rsid w:val="006D7ADC"/>
    <w:rsid w:val="006E148A"/>
    <w:rsid w:val="006E32B0"/>
    <w:rsid w:val="006E6E77"/>
    <w:rsid w:val="007173AE"/>
    <w:rsid w:val="00725AFB"/>
    <w:rsid w:val="0072766A"/>
    <w:rsid w:val="00734CA7"/>
    <w:rsid w:val="00740FF4"/>
    <w:rsid w:val="00795470"/>
    <w:rsid w:val="007A1852"/>
    <w:rsid w:val="007A4B0F"/>
    <w:rsid w:val="007B1481"/>
    <w:rsid w:val="007C2415"/>
    <w:rsid w:val="007C6C5F"/>
    <w:rsid w:val="007D181D"/>
    <w:rsid w:val="007D1DD3"/>
    <w:rsid w:val="007E2D2D"/>
    <w:rsid w:val="007E7254"/>
    <w:rsid w:val="007E783C"/>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8E5A3D"/>
    <w:rsid w:val="00902B74"/>
    <w:rsid w:val="00902E75"/>
    <w:rsid w:val="00904754"/>
    <w:rsid w:val="00910474"/>
    <w:rsid w:val="00914FA4"/>
    <w:rsid w:val="00956025"/>
    <w:rsid w:val="00960EB9"/>
    <w:rsid w:val="00966C2B"/>
    <w:rsid w:val="009671A6"/>
    <w:rsid w:val="00982C37"/>
    <w:rsid w:val="009842EB"/>
    <w:rsid w:val="0098702E"/>
    <w:rsid w:val="00992EBA"/>
    <w:rsid w:val="009B0C33"/>
    <w:rsid w:val="009B232B"/>
    <w:rsid w:val="009B2471"/>
    <w:rsid w:val="009B6AA6"/>
    <w:rsid w:val="009D208C"/>
    <w:rsid w:val="009D3D99"/>
    <w:rsid w:val="009D6052"/>
    <w:rsid w:val="009E3116"/>
    <w:rsid w:val="009E57FD"/>
    <w:rsid w:val="00A0788C"/>
    <w:rsid w:val="00A16300"/>
    <w:rsid w:val="00A31CDC"/>
    <w:rsid w:val="00A35D8B"/>
    <w:rsid w:val="00A36E51"/>
    <w:rsid w:val="00A41FB0"/>
    <w:rsid w:val="00A4207F"/>
    <w:rsid w:val="00A5083E"/>
    <w:rsid w:val="00A5128D"/>
    <w:rsid w:val="00A5619A"/>
    <w:rsid w:val="00A61108"/>
    <w:rsid w:val="00A64492"/>
    <w:rsid w:val="00A87BB0"/>
    <w:rsid w:val="00A90817"/>
    <w:rsid w:val="00AA04D0"/>
    <w:rsid w:val="00AA0E8A"/>
    <w:rsid w:val="00AA12E4"/>
    <w:rsid w:val="00AB0D6A"/>
    <w:rsid w:val="00AB4E52"/>
    <w:rsid w:val="00AC05C3"/>
    <w:rsid w:val="00AC57E7"/>
    <w:rsid w:val="00AC7B9F"/>
    <w:rsid w:val="00AD180D"/>
    <w:rsid w:val="00AD65B2"/>
    <w:rsid w:val="00AF4DA6"/>
    <w:rsid w:val="00AF6BFC"/>
    <w:rsid w:val="00AF711E"/>
    <w:rsid w:val="00B01D88"/>
    <w:rsid w:val="00B052BE"/>
    <w:rsid w:val="00B10CA5"/>
    <w:rsid w:val="00B1501A"/>
    <w:rsid w:val="00B248F7"/>
    <w:rsid w:val="00B25573"/>
    <w:rsid w:val="00B26430"/>
    <w:rsid w:val="00B3067B"/>
    <w:rsid w:val="00B32C21"/>
    <w:rsid w:val="00B33277"/>
    <w:rsid w:val="00B47021"/>
    <w:rsid w:val="00B52FEA"/>
    <w:rsid w:val="00B61E55"/>
    <w:rsid w:val="00B62A0A"/>
    <w:rsid w:val="00B62AF1"/>
    <w:rsid w:val="00B648B1"/>
    <w:rsid w:val="00B66BCE"/>
    <w:rsid w:val="00B70617"/>
    <w:rsid w:val="00B86D5C"/>
    <w:rsid w:val="00BA3F5E"/>
    <w:rsid w:val="00BC3EC5"/>
    <w:rsid w:val="00BD145D"/>
    <w:rsid w:val="00BD3F7D"/>
    <w:rsid w:val="00BD442C"/>
    <w:rsid w:val="00BE016D"/>
    <w:rsid w:val="00BE26DA"/>
    <w:rsid w:val="00BF17E4"/>
    <w:rsid w:val="00C14DF3"/>
    <w:rsid w:val="00C14F61"/>
    <w:rsid w:val="00C23097"/>
    <w:rsid w:val="00C276F4"/>
    <w:rsid w:val="00C37408"/>
    <w:rsid w:val="00C46AA0"/>
    <w:rsid w:val="00C609A4"/>
    <w:rsid w:val="00C61410"/>
    <w:rsid w:val="00C63FD8"/>
    <w:rsid w:val="00C7085D"/>
    <w:rsid w:val="00C7365B"/>
    <w:rsid w:val="00C802BB"/>
    <w:rsid w:val="00C925C6"/>
    <w:rsid w:val="00C9668B"/>
    <w:rsid w:val="00CA3A65"/>
    <w:rsid w:val="00CD2EFF"/>
    <w:rsid w:val="00CE2266"/>
    <w:rsid w:val="00CE2E3E"/>
    <w:rsid w:val="00CF22F6"/>
    <w:rsid w:val="00D0006E"/>
    <w:rsid w:val="00D008AA"/>
    <w:rsid w:val="00D07C8F"/>
    <w:rsid w:val="00D11489"/>
    <w:rsid w:val="00D1227C"/>
    <w:rsid w:val="00D229AE"/>
    <w:rsid w:val="00D51E3F"/>
    <w:rsid w:val="00D540B2"/>
    <w:rsid w:val="00D57471"/>
    <w:rsid w:val="00D63E5E"/>
    <w:rsid w:val="00D67AF7"/>
    <w:rsid w:val="00D94ABD"/>
    <w:rsid w:val="00DA136F"/>
    <w:rsid w:val="00DB285C"/>
    <w:rsid w:val="00DB4A8A"/>
    <w:rsid w:val="00DC08A7"/>
    <w:rsid w:val="00DC685A"/>
    <w:rsid w:val="00DC7520"/>
    <w:rsid w:val="00DE221D"/>
    <w:rsid w:val="00DF3D5F"/>
    <w:rsid w:val="00DF64DC"/>
    <w:rsid w:val="00DF69FA"/>
    <w:rsid w:val="00DF6B58"/>
    <w:rsid w:val="00E140EF"/>
    <w:rsid w:val="00E30BFB"/>
    <w:rsid w:val="00E3174F"/>
    <w:rsid w:val="00E53719"/>
    <w:rsid w:val="00E54337"/>
    <w:rsid w:val="00E573DB"/>
    <w:rsid w:val="00E6058A"/>
    <w:rsid w:val="00E6359E"/>
    <w:rsid w:val="00E65BFD"/>
    <w:rsid w:val="00E850B4"/>
    <w:rsid w:val="00EA6EA7"/>
    <w:rsid w:val="00EB3317"/>
    <w:rsid w:val="00ED2C5D"/>
    <w:rsid w:val="00EE2055"/>
    <w:rsid w:val="00EE6C8A"/>
    <w:rsid w:val="00EF66B0"/>
    <w:rsid w:val="00F05CF9"/>
    <w:rsid w:val="00F12322"/>
    <w:rsid w:val="00F15C5B"/>
    <w:rsid w:val="00F15D1D"/>
    <w:rsid w:val="00F3274F"/>
    <w:rsid w:val="00F61369"/>
    <w:rsid w:val="00F624F4"/>
    <w:rsid w:val="00F66950"/>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94C7B-3137-409F-ADA2-04BCC0372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4</cp:revision>
  <dcterms:created xsi:type="dcterms:W3CDTF">2014-07-03T21:58:00Z</dcterms:created>
  <dcterms:modified xsi:type="dcterms:W3CDTF">2014-07-03T22:27:00Z</dcterms:modified>
</cp:coreProperties>
</file>