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3B6" w:rsidRDefault="00B133B6" w:rsidP="00B133B6">
      <w:pPr>
        <w:jc w:val="center"/>
      </w:pPr>
      <w:r>
        <w:t>ERCOT System Protection Working Group</w:t>
      </w:r>
    </w:p>
    <w:p w:rsidR="00B133B6" w:rsidRDefault="00B133B6" w:rsidP="00B133B6">
      <w:pPr>
        <w:jc w:val="center"/>
      </w:pPr>
      <w:r>
        <w:t>Meeting Minutes – November 2</w:t>
      </w:r>
      <w:r>
        <w:t>2</w:t>
      </w:r>
      <w:r>
        <w:t>, 2013</w:t>
      </w:r>
    </w:p>
    <w:p w:rsidR="00B133B6" w:rsidRDefault="00B133B6" w:rsidP="00B133B6">
      <w:pPr>
        <w:jc w:val="center"/>
      </w:pPr>
      <w:r>
        <w:t>Austin, TX</w:t>
      </w:r>
    </w:p>
    <w:p w:rsidR="005B0106" w:rsidRDefault="005B0106" w:rsidP="00B133B6">
      <w:pPr>
        <w:pStyle w:val="ListParagraph"/>
        <w:numPr>
          <w:ilvl w:val="0"/>
          <w:numId w:val="1"/>
        </w:numPr>
      </w:pPr>
      <w:r>
        <w:t xml:space="preserve">8:33 Danny </w:t>
      </w:r>
      <w:proofErr w:type="spellStart"/>
      <w:r>
        <w:t>Ee</w:t>
      </w:r>
      <w:proofErr w:type="spellEnd"/>
      <w:r>
        <w:t xml:space="preserve"> began the meeting</w:t>
      </w:r>
      <w:r w:rsidR="00B133B6">
        <w:t xml:space="preserve"> by reading the ERCOT Antitrust Admonition.</w:t>
      </w:r>
    </w:p>
    <w:p w:rsidR="005B0106" w:rsidRDefault="005B0106" w:rsidP="00B133B6">
      <w:pPr>
        <w:pStyle w:val="ListParagraph"/>
        <w:numPr>
          <w:ilvl w:val="0"/>
          <w:numId w:val="1"/>
        </w:numPr>
      </w:pPr>
      <w:r>
        <w:t xml:space="preserve">8:35 Brian Clowe </w:t>
      </w:r>
      <w:r w:rsidR="00B133B6">
        <w:t>gave a</w:t>
      </w:r>
      <w:r>
        <w:t xml:space="preserve"> presentation on Geomagnetic disturbance</w:t>
      </w:r>
      <w:r w:rsidR="00B133B6">
        <w:t xml:space="preserve"> and </w:t>
      </w:r>
      <w:proofErr w:type="spellStart"/>
      <w:r w:rsidR="00B133B6">
        <w:t>Centerpoint’s</w:t>
      </w:r>
      <w:proofErr w:type="spellEnd"/>
      <w:r w:rsidR="00B133B6">
        <w:t xml:space="preserve"> involvement with GMD research.</w:t>
      </w:r>
    </w:p>
    <w:p w:rsidR="005B0106" w:rsidRDefault="00F77CED" w:rsidP="00B133B6">
      <w:pPr>
        <w:pStyle w:val="ListParagraph"/>
        <w:numPr>
          <w:ilvl w:val="0"/>
          <w:numId w:val="1"/>
        </w:numPr>
      </w:pPr>
      <w:r>
        <w:t>8:58 Andrew</w:t>
      </w:r>
      <w:r w:rsidR="00B133B6">
        <w:t xml:space="preserve"> Mattei gave a presentation on End-to-End Protective Relay Testing using GPS time-synchronized test sets.</w:t>
      </w:r>
    </w:p>
    <w:p w:rsidR="00A568A8" w:rsidRDefault="00A568A8" w:rsidP="00B133B6">
      <w:pPr>
        <w:pStyle w:val="ListParagraph"/>
        <w:numPr>
          <w:ilvl w:val="0"/>
          <w:numId w:val="1"/>
        </w:numPr>
      </w:pPr>
      <w:r>
        <w:t>9:35 Danny</w:t>
      </w:r>
      <w:r w:rsidR="00B133B6">
        <w:t xml:space="preserve"> </w:t>
      </w:r>
      <w:proofErr w:type="spellStart"/>
      <w:r w:rsidR="00B133B6">
        <w:t>Ee</w:t>
      </w:r>
      <w:proofErr w:type="spellEnd"/>
      <w:r w:rsidR="00B133B6">
        <w:t xml:space="preserve"> showed</w:t>
      </w:r>
      <w:r>
        <w:t xml:space="preserve"> pictures of </w:t>
      </w:r>
      <w:r w:rsidR="00B133B6">
        <w:t xml:space="preserve">Austin Energy’s </w:t>
      </w:r>
      <w:r>
        <w:t>Onion Creek substation water damage</w:t>
      </w:r>
      <w:r w:rsidR="00B133B6">
        <w:t xml:space="preserve"> when a river went over its banks.</w:t>
      </w:r>
    </w:p>
    <w:p w:rsidR="00A568A8" w:rsidRDefault="00FF758A" w:rsidP="00FF758A">
      <w:pPr>
        <w:pStyle w:val="ListParagraph"/>
        <w:numPr>
          <w:ilvl w:val="0"/>
          <w:numId w:val="1"/>
        </w:numPr>
      </w:pPr>
      <w:r>
        <w:t>9:45 Kris K – Short Circuit Case Building Manual – added mutual coupling, updated example for 2014</w:t>
      </w:r>
      <w:proofErr w:type="gramStart"/>
      <w:r>
        <w:t>.</w:t>
      </w:r>
      <w:r w:rsidR="00A568A8">
        <w:t xml:space="preserve"> </w:t>
      </w:r>
      <w:proofErr w:type="gramEnd"/>
      <w:r w:rsidR="00A568A8">
        <w:t>P</w:t>
      </w:r>
      <w:r>
        <w:t>er Perry</w:t>
      </w:r>
      <w:r w:rsidR="00A568A8">
        <w:t xml:space="preserve"> Brown </w:t>
      </w:r>
      <w:r w:rsidR="00BE6936">
        <w:t>–</w:t>
      </w:r>
      <w:r w:rsidR="00A568A8">
        <w:t xml:space="preserve"> </w:t>
      </w:r>
      <w:r w:rsidR="00BE6936">
        <w:t>Need to update to at least ASPEN 12.3</w:t>
      </w:r>
      <w:r>
        <w:t>, as 12.2 had numerous issues.</w:t>
      </w:r>
    </w:p>
    <w:p w:rsidR="00BE6936" w:rsidRDefault="009E0D9A" w:rsidP="00FF758A">
      <w:pPr>
        <w:pStyle w:val="ListParagraph"/>
        <w:numPr>
          <w:ilvl w:val="0"/>
          <w:numId w:val="1"/>
        </w:numPr>
      </w:pPr>
      <w:r>
        <w:t xml:space="preserve">Action Item: </w:t>
      </w:r>
      <w:r w:rsidRPr="00FF758A">
        <w:rPr>
          <w:highlight w:val="yellow"/>
        </w:rPr>
        <w:t>Email out SPWG Procedure Doc, send out on Monday, back in 2 weeks from comments</w:t>
      </w:r>
      <w:proofErr w:type="gramStart"/>
      <w:r w:rsidRPr="00FF758A">
        <w:rPr>
          <w:highlight w:val="yellow"/>
        </w:rPr>
        <w:t>.</w:t>
      </w:r>
      <w:r>
        <w:t xml:space="preserve"> </w:t>
      </w:r>
      <w:proofErr w:type="gramEnd"/>
      <w:r>
        <w:t>Need latest PSS/E version number</w:t>
      </w:r>
      <w:proofErr w:type="gramStart"/>
      <w:r>
        <w:t>.</w:t>
      </w:r>
      <w:r w:rsidR="00FF758A">
        <w:t xml:space="preserve"> </w:t>
      </w:r>
      <w:proofErr w:type="gramEnd"/>
      <w:r w:rsidR="00FF758A">
        <w:t>Group editing of procedure document.</w:t>
      </w:r>
    </w:p>
    <w:p w:rsidR="00FF758A" w:rsidRDefault="00FF758A" w:rsidP="00FF758A">
      <w:pPr>
        <w:pStyle w:val="ListParagraph"/>
        <w:numPr>
          <w:ilvl w:val="0"/>
          <w:numId w:val="1"/>
        </w:numPr>
      </w:pPr>
      <w:r>
        <w:t>10:15, group took a break.</w:t>
      </w:r>
    </w:p>
    <w:p w:rsidR="00FF758A" w:rsidRDefault="0074368A" w:rsidP="00FF758A">
      <w:pPr>
        <w:pStyle w:val="ListParagraph"/>
        <w:numPr>
          <w:ilvl w:val="0"/>
          <w:numId w:val="1"/>
        </w:numPr>
      </w:pPr>
      <w:r>
        <w:t>10:35</w:t>
      </w:r>
      <w:r w:rsidR="00FF758A">
        <w:t>,</w:t>
      </w:r>
      <w:r>
        <w:t xml:space="preserve"> back from break</w:t>
      </w:r>
    </w:p>
    <w:p w:rsidR="0074368A" w:rsidRDefault="0074368A" w:rsidP="00FF758A">
      <w:pPr>
        <w:pStyle w:val="ListParagraph"/>
        <w:numPr>
          <w:ilvl w:val="0"/>
          <w:numId w:val="1"/>
        </w:numPr>
      </w:pPr>
      <w:r>
        <w:t>D</w:t>
      </w:r>
      <w:r w:rsidR="00FF758A">
        <w:t xml:space="preserve">avid </w:t>
      </w:r>
      <w:r>
        <w:t>P</w:t>
      </w:r>
      <w:r w:rsidR="00FF758A">
        <w:t>enney</w:t>
      </w:r>
      <w:r>
        <w:t xml:space="preserve"> – any interest in </w:t>
      </w:r>
      <w:r w:rsidR="00FF758A">
        <w:t xml:space="preserve">this group seeing the </w:t>
      </w:r>
      <w:r>
        <w:t>TADS data</w:t>
      </w:r>
      <w:r w:rsidR="00FF758A">
        <w:t xml:space="preserve"> metrics</w:t>
      </w:r>
      <w:proofErr w:type="gramStart"/>
      <w:r>
        <w:t xml:space="preserve">? </w:t>
      </w:r>
      <w:proofErr w:type="gramEnd"/>
      <w:r>
        <w:t>Not really</w:t>
      </w:r>
      <w:proofErr w:type="gramStart"/>
      <w:r>
        <w:t>.</w:t>
      </w:r>
      <w:r w:rsidR="00FF758A">
        <w:t xml:space="preserve"> </w:t>
      </w:r>
      <w:proofErr w:type="gramEnd"/>
      <w:r w:rsidR="00FF758A">
        <w:t>“Lower end of what’s interesting</w:t>
      </w:r>
      <w:proofErr w:type="gramStart"/>
      <w:r w:rsidR="00FF758A">
        <w:t>”.</w:t>
      </w:r>
      <w:proofErr w:type="gramEnd"/>
    </w:p>
    <w:p w:rsidR="0074368A" w:rsidRDefault="00FF758A" w:rsidP="00FF758A">
      <w:pPr>
        <w:pStyle w:val="ListParagraph"/>
        <w:numPr>
          <w:ilvl w:val="0"/>
          <w:numId w:val="1"/>
        </w:numPr>
      </w:pPr>
      <w:r>
        <w:t xml:space="preserve">Question from </w:t>
      </w:r>
      <w:r w:rsidR="0074368A">
        <w:t xml:space="preserve">Perry – </w:t>
      </w:r>
      <w:r>
        <w:t>He needs the schedule</w:t>
      </w:r>
      <w:r w:rsidR="0074368A">
        <w:t xml:space="preserve"> for future year </w:t>
      </w:r>
      <w:r>
        <w:t xml:space="preserve">build cycles </w:t>
      </w:r>
      <w:r w:rsidR="0074368A">
        <w:t>– Management wants to see for scheduling workload</w:t>
      </w:r>
      <w:r w:rsidR="000A3775">
        <w:t xml:space="preserve"> (to be discussed when Jay Teixeira joins meeting).</w:t>
      </w:r>
    </w:p>
    <w:p w:rsidR="00FF758A" w:rsidRDefault="000A3775" w:rsidP="00FF758A">
      <w:pPr>
        <w:pStyle w:val="ListParagraph"/>
        <w:numPr>
          <w:ilvl w:val="0"/>
          <w:numId w:val="1"/>
        </w:numPr>
      </w:pPr>
      <w:r>
        <w:t>There was a d</w:t>
      </w:r>
      <w:r w:rsidR="00FF758A">
        <w:t>iscussion on future meeting dates for group in 2014</w:t>
      </w:r>
      <w:r>
        <w:t>, a group of dates were proposed</w:t>
      </w:r>
      <w:r w:rsidR="00FF758A">
        <w:t>.</w:t>
      </w:r>
    </w:p>
    <w:p w:rsidR="009C1A42" w:rsidRDefault="009C1A42" w:rsidP="00022313">
      <w:pPr>
        <w:pStyle w:val="ListParagraph"/>
        <w:numPr>
          <w:ilvl w:val="0"/>
          <w:numId w:val="1"/>
        </w:numPr>
      </w:pPr>
      <w:r>
        <w:t xml:space="preserve">11:05 Case </w:t>
      </w:r>
      <w:proofErr w:type="gramStart"/>
      <w:r>
        <w:t>building</w:t>
      </w:r>
      <w:r w:rsidR="00022313">
        <w:t xml:space="preserve"> - </w:t>
      </w:r>
      <w:r>
        <w:t>2014 Spreadsheet</w:t>
      </w:r>
      <w:r w:rsidR="007205B9">
        <w:t xml:space="preserve"> – update</w:t>
      </w:r>
      <w:proofErr w:type="gramEnd"/>
      <w:r w:rsidR="007205B9">
        <w:t xml:space="preserve"> dates, Danny Edited</w:t>
      </w:r>
      <w:r w:rsidR="00022313">
        <w:t>.</w:t>
      </w:r>
    </w:p>
    <w:p w:rsidR="007205B9" w:rsidRDefault="00866D73" w:rsidP="00022313">
      <w:pPr>
        <w:pStyle w:val="ListParagraph"/>
        <w:numPr>
          <w:ilvl w:val="0"/>
          <w:numId w:val="1"/>
        </w:numPr>
      </w:pPr>
      <w:r>
        <w:t xml:space="preserve">Action item: </w:t>
      </w:r>
      <w:r w:rsidRPr="00022313">
        <w:rPr>
          <w:highlight w:val="yellow"/>
        </w:rPr>
        <w:t xml:space="preserve">Confirm that </w:t>
      </w:r>
      <w:proofErr w:type="spellStart"/>
      <w:r w:rsidRPr="00022313">
        <w:rPr>
          <w:highlight w:val="yellow"/>
        </w:rPr>
        <w:t>Sharyland</w:t>
      </w:r>
      <w:proofErr w:type="spellEnd"/>
      <w:r w:rsidRPr="00022313">
        <w:rPr>
          <w:highlight w:val="yellow"/>
        </w:rPr>
        <w:t xml:space="preserve"> receives this information and knows the schedule for information that needs to be provided.</w:t>
      </w:r>
    </w:p>
    <w:p w:rsidR="00866D73" w:rsidRDefault="00022313" w:rsidP="00022313">
      <w:pPr>
        <w:pStyle w:val="ListParagraph"/>
        <w:numPr>
          <w:ilvl w:val="0"/>
          <w:numId w:val="1"/>
        </w:numPr>
      </w:pPr>
      <w:r>
        <w:t xml:space="preserve">Question from </w:t>
      </w:r>
      <w:r w:rsidR="00C930BF">
        <w:t>Perry – How deep are we going to go with representing solar and wind</w:t>
      </w:r>
      <w:proofErr w:type="gramStart"/>
      <w:r w:rsidR="00C930BF">
        <w:t xml:space="preserve">? </w:t>
      </w:r>
      <w:proofErr w:type="gramEnd"/>
      <w:r w:rsidR="00C930BF">
        <w:t>34.5kV level or GSU level</w:t>
      </w:r>
      <w:proofErr w:type="gramStart"/>
      <w:r w:rsidR="00C930BF">
        <w:t xml:space="preserve">? </w:t>
      </w:r>
      <w:proofErr w:type="gramEnd"/>
      <w:r w:rsidR="00C930BF">
        <w:t>Peter – in ASPEN</w:t>
      </w:r>
      <w:r>
        <w:t>’s description</w:t>
      </w:r>
      <w:r w:rsidR="00C930BF">
        <w:t xml:space="preserve"> for</w:t>
      </w:r>
      <w:r>
        <w:t xml:space="preserve"> the</w:t>
      </w:r>
      <w:r w:rsidR="00C930BF">
        <w:t xml:space="preserve"> current limited </w:t>
      </w:r>
      <w:r>
        <w:t>generator</w:t>
      </w:r>
      <w:r w:rsidR="00C930BF">
        <w:t>, probably need down to pad mounted transformer</w:t>
      </w:r>
      <w:proofErr w:type="gramStart"/>
      <w:r w:rsidR="00C930BF">
        <w:t>.</w:t>
      </w:r>
      <w:r>
        <w:t xml:space="preserve"> </w:t>
      </w:r>
      <w:proofErr w:type="gramEnd"/>
      <w:r>
        <w:t>Bus numbers and bus ranges for those also</w:t>
      </w:r>
      <w:proofErr w:type="gramStart"/>
      <w:r>
        <w:t>?</w:t>
      </w:r>
      <w:r w:rsidR="00EA5D39">
        <w:t xml:space="preserve"> </w:t>
      </w:r>
      <w:proofErr w:type="gramEnd"/>
      <w:r w:rsidR="00EA5D39" w:rsidRPr="00EA5D39">
        <w:rPr>
          <w:highlight w:val="green"/>
        </w:rPr>
        <w:t>No real answer here</w:t>
      </w:r>
      <w:proofErr w:type="gramStart"/>
      <w:r w:rsidR="00EA5D39">
        <w:t xml:space="preserve">. </w:t>
      </w:r>
      <w:proofErr w:type="gramEnd"/>
      <w:r w:rsidR="00EA5D39">
        <w:t xml:space="preserve">Depends on the data that is provided to ERCOT and </w:t>
      </w:r>
      <w:proofErr w:type="gramStart"/>
      <w:r w:rsidR="00EA5D39">
        <w:t>TO’s</w:t>
      </w:r>
      <w:proofErr w:type="gramEnd"/>
      <w:r w:rsidR="00EA5D39">
        <w:t>.</w:t>
      </w:r>
    </w:p>
    <w:p w:rsidR="00EA5D39" w:rsidRDefault="00EA5D39" w:rsidP="00022313">
      <w:pPr>
        <w:pStyle w:val="ListParagraph"/>
        <w:numPr>
          <w:ilvl w:val="0"/>
          <w:numId w:val="1"/>
        </w:numPr>
      </w:pPr>
      <w:r>
        <w:t>Kris K - Perhaps give us some information from ERCOT regarding generation RARF data provided to TO’s for comparison to short circuit case</w:t>
      </w:r>
      <w:proofErr w:type="gramStart"/>
      <w:r>
        <w:t xml:space="preserve">? </w:t>
      </w:r>
      <w:proofErr w:type="gramEnd"/>
      <w:r>
        <w:t>Make sure generation data didn’t get egregiously changed.</w:t>
      </w:r>
    </w:p>
    <w:p w:rsidR="0034624E" w:rsidRDefault="00EA5D39" w:rsidP="00EA5D39">
      <w:pPr>
        <w:pStyle w:val="ListParagraph"/>
        <w:numPr>
          <w:ilvl w:val="0"/>
          <w:numId w:val="1"/>
        </w:numPr>
      </w:pPr>
      <w:r>
        <w:t>Perry led a</w:t>
      </w:r>
      <w:r w:rsidR="00022313">
        <w:t xml:space="preserve"> conversation on u</w:t>
      </w:r>
      <w:r w:rsidR="0034624E">
        <w:t>pdat</w:t>
      </w:r>
      <w:r w:rsidR="00022313">
        <w:t>ing</w:t>
      </w:r>
      <w:r w:rsidR="0034624E">
        <w:t xml:space="preserve"> Short Circuit Case Building – Figure 3, Figure 6 – uncheck Convert Loads – update the file names as well, Figure 9 – uncheck loads; </w:t>
      </w:r>
      <w:r w:rsidR="00CA285C">
        <w:t xml:space="preserve">Page 18 – ASPEN to PTI – update to correct version; Zero sequence impedance connection, if </w:t>
      </w:r>
      <w:r w:rsidR="00CA285C">
        <w:lastRenderedPageBreak/>
        <w:t>there’s a switch in there under Network – Options – third white box Switch Reactance = default=.0001 per unit on 100MVA base – on stations that have bus tie breaker represented by switch, or switches for bypasses for series caps, that if that number isn’t the right level, the fault current will be bad when performing studies. The correct number for AEP .00001 – it is case specific, it stays with the case</w:t>
      </w:r>
      <w:proofErr w:type="gramStart"/>
      <w:r w:rsidR="00CA285C">
        <w:t xml:space="preserve">. </w:t>
      </w:r>
      <w:proofErr w:type="gramEnd"/>
      <w:r w:rsidR="00CA285C">
        <w:t xml:space="preserve">If it is not saved in other cases, it will ‘come back’. </w:t>
      </w:r>
    </w:p>
    <w:p w:rsidR="00C930BF" w:rsidRDefault="00CA285C" w:rsidP="00EA5D39">
      <w:pPr>
        <w:pStyle w:val="ListParagraph"/>
        <w:numPr>
          <w:ilvl w:val="0"/>
          <w:numId w:val="1"/>
        </w:numPr>
      </w:pPr>
      <w:r>
        <w:t>Under HELP it explains rationale behind the</w:t>
      </w:r>
      <w:r w:rsidR="00EA5D39">
        <w:t xml:space="preserve"> switch reactance in Per Unit</w:t>
      </w:r>
      <w:proofErr w:type="gramStart"/>
      <w:r w:rsidR="00EA5D39">
        <w:t xml:space="preserve">. </w:t>
      </w:r>
      <w:proofErr w:type="gramEnd"/>
      <w:r w:rsidR="00EA5D39">
        <w:t>AEP was finding</w:t>
      </w:r>
      <w:r>
        <w:t xml:space="preserve"> a 200-300 amp difference in fault numbers</w:t>
      </w:r>
      <w:proofErr w:type="gramStart"/>
      <w:r>
        <w:t xml:space="preserve">. </w:t>
      </w:r>
      <w:proofErr w:type="gramEnd"/>
      <w:r w:rsidR="00EA5D39">
        <w:t>This becomes s</w:t>
      </w:r>
      <w:r>
        <w:t>ignificant when dealing with short lines.</w:t>
      </w:r>
    </w:p>
    <w:p w:rsidR="00EA5D39" w:rsidRDefault="00EA5D39" w:rsidP="00EA5D39">
      <w:pPr>
        <w:pStyle w:val="ListParagraph"/>
        <w:numPr>
          <w:ilvl w:val="0"/>
          <w:numId w:val="1"/>
        </w:numPr>
      </w:pPr>
      <w:r>
        <w:t>11:50, meeting adjourned</w:t>
      </w:r>
    </w:p>
    <w:p w:rsidR="00EA5D39" w:rsidRDefault="00EA5D39" w:rsidP="00EA5D39">
      <w:pPr>
        <w:pStyle w:val="ListParagraph"/>
        <w:numPr>
          <w:ilvl w:val="0"/>
          <w:numId w:val="1"/>
        </w:numPr>
      </w:pPr>
      <w:r>
        <w:t>Some members went to tour Austin Energy’s new Dispatch / Operations facility after the meeting.</w:t>
      </w:r>
    </w:p>
    <w:p w:rsidR="00B133B6" w:rsidRDefault="00EA5D39">
      <w:r>
        <w:t>Day 2 Attendees:</w:t>
      </w:r>
    </w:p>
    <w:tbl>
      <w:tblPr>
        <w:tblStyle w:val="TableGrid"/>
        <w:tblW w:w="0" w:type="auto"/>
        <w:tblLook w:val="04A0" w:firstRow="1" w:lastRow="0" w:firstColumn="1" w:lastColumn="0" w:noHBand="0" w:noVBand="1"/>
      </w:tblPr>
      <w:tblGrid>
        <w:gridCol w:w="3192"/>
        <w:gridCol w:w="3192"/>
        <w:gridCol w:w="3192"/>
      </w:tblGrid>
      <w:tr w:rsidR="00EA5D39" w:rsidTr="00CE5771">
        <w:tc>
          <w:tcPr>
            <w:tcW w:w="3192" w:type="dxa"/>
          </w:tcPr>
          <w:p w:rsidR="00EA5D39" w:rsidRDefault="00EA5D39" w:rsidP="00CE5771">
            <w:r>
              <w:t xml:space="preserve">Danny </w:t>
            </w:r>
            <w:proofErr w:type="spellStart"/>
            <w:r>
              <w:t>Ee</w:t>
            </w:r>
            <w:proofErr w:type="spellEnd"/>
          </w:p>
          <w:p w:rsidR="00EA5D39" w:rsidRDefault="00EA5D39" w:rsidP="00CE5771">
            <w:r>
              <w:t>Austin Energy</w:t>
            </w:r>
          </w:p>
          <w:p w:rsidR="00EA5D39" w:rsidRDefault="00EA5D39" w:rsidP="00CE5771"/>
          <w:p w:rsidR="00EA5D39" w:rsidRDefault="00EA5D39" w:rsidP="00CE5771">
            <w:r>
              <w:t>Andrew Mattei</w:t>
            </w:r>
          </w:p>
          <w:p w:rsidR="00EA5D39" w:rsidRDefault="00EA5D39" w:rsidP="00CE5771">
            <w:r>
              <w:t>Brazos Electric</w:t>
            </w:r>
          </w:p>
          <w:p w:rsidR="00EA5D39" w:rsidRDefault="00EA5D39" w:rsidP="00CE5771"/>
          <w:p w:rsidR="00EA5D39" w:rsidRDefault="00EA5D39" w:rsidP="00CE5771">
            <w:proofErr w:type="spellStart"/>
            <w:r>
              <w:t>Kristian</w:t>
            </w:r>
            <w:proofErr w:type="spellEnd"/>
            <w:r>
              <w:t xml:space="preserve"> </w:t>
            </w:r>
            <w:proofErr w:type="spellStart"/>
            <w:r>
              <w:t>Koellner</w:t>
            </w:r>
            <w:proofErr w:type="spellEnd"/>
          </w:p>
          <w:p w:rsidR="00EA5D39" w:rsidRDefault="00EA5D39" w:rsidP="00CE5771">
            <w:r>
              <w:t>LCRA</w:t>
            </w:r>
          </w:p>
          <w:p w:rsidR="00EA5D39" w:rsidRDefault="00EA5D39" w:rsidP="00CE5771"/>
          <w:p w:rsidR="00EA5D39" w:rsidRDefault="00EA5D39" w:rsidP="00CE5771">
            <w:r>
              <w:t xml:space="preserve">Peter </w:t>
            </w:r>
            <w:proofErr w:type="spellStart"/>
            <w:r>
              <w:t>Belkin</w:t>
            </w:r>
            <w:proofErr w:type="spellEnd"/>
          </w:p>
          <w:p w:rsidR="00EA5D39" w:rsidRDefault="00EA5D39" w:rsidP="00CE5771">
            <w:r>
              <w:t>AEP</w:t>
            </w:r>
          </w:p>
          <w:p w:rsidR="00EA5D39" w:rsidRDefault="00EA5D39" w:rsidP="00CE5771"/>
          <w:p w:rsidR="00EA5D39" w:rsidRDefault="00EA5D39" w:rsidP="00CE5771">
            <w:r>
              <w:t>Mark Chronister</w:t>
            </w:r>
          </w:p>
          <w:p w:rsidR="00EA5D39" w:rsidRDefault="00EA5D39" w:rsidP="00CE5771">
            <w:proofErr w:type="spellStart"/>
            <w:r>
              <w:t>Oncor</w:t>
            </w:r>
            <w:proofErr w:type="spellEnd"/>
          </w:p>
          <w:p w:rsidR="00EA5D39" w:rsidRDefault="00EA5D39" w:rsidP="00CE5771"/>
          <w:p w:rsidR="00EA5D39" w:rsidRDefault="00EA5D39" w:rsidP="00CE5771">
            <w:r>
              <w:t>Stan Ginsburg</w:t>
            </w:r>
          </w:p>
          <w:p w:rsidR="00EA5D39" w:rsidRDefault="00EA5D39" w:rsidP="00CE5771">
            <w:r>
              <w:t>Brazos Electric</w:t>
            </w:r>
          </w:p>
          <w:p w:rsidR="00EA5D39" w:rsidRDefault="00EA5D39" w:rsidP="00CE5771"/>
          <w:p w:rsidR="00EA5D39" w:rsidRDefault="00EA5D39" w:rsidP="00CE5771">
            <w:r>
              <w:t xml:space="preserve">Glenn </w:t>
            </w:r>
            <w:proofErr w:type="spellStart"/>
            <w:r>
              <w:t>Hargrave</w:t>
            </w:r>
            <w:proofErr w:type="spellEnd"/>
          </w:p>
          <w:p w:rsidR="00EA5D39" w:rsidRDefault="00EA5D39" w:rsidP="00CE5771">
            <w:r>
              <w:t>CPS Energy</w:t>
            </w:r>
          </w:p>
          <w:p w:rsidR="00EA5D39" w:rsidRDefault="00EA5D39" w:rsidP="00CE5771"/>
          <w:p w:rsidR="00EA5D39" w:rsidRDefault="00EA5D39" w:rsidP="00CE5771">
            <w:r>
              <w:t>James Wang</w:t>
            </w:r>
          </w:p>
          <w:p w:rsidR="00EA5D39" w:rsidRDefault="00EA5D39" w:rsidP="00CE5771">
            <w:r>
              <w:t>LCRA</w:t>
            </w:r>
          </w:p>
          <w:p w:rsidR="00EA5D39" w:rsidRDefault="00EA5D39" w:rsidP="00CE5771"/>
          <w:p w:rsidR="00EA5D39" w:rsidRDefault="00EA5D39" w:rsidP="00CE5771">
            <w:r>
              <w:t xml:space="preserve">Bret </w:t>
            </w:r>
            <w:proofErr w:type="spellStart"/>
            <w:r>
              <w:t>Burford</w:t>
            </w:r>
            <w:proofErr w:type="spellEnd"/>
          </w:p>
          <w:p w:rsidR="00EA5D39" w:rsidRDefault="00EA5D39" w:rsidP="00CE5771">
            <w:r>
              <w:t>AEP</w:t>
            </w:r>
          </w:p>
        </w:tc>
        <w:tc>
          <w:tcPr>
            <w:tcW w:w="3192" w:type="dxa"/>
          </w:tcPr>
          <w:p w:rsidR="00EA5D39" w:rsidRDefault="00EA5D39" w:rsidP="00CE5771">
            <w:r>
              <w:t>Ivan Ivanov</w:t>
            </w:r>
          </w:p>
          <w:p w:rsidR="00EA5D39" w:rsidRDefault="00EA5D39" w:rsidP="00CE5771">
            <w:r>
              <w:t>Garland</w:t>
            </w:r>
          </w:p>
          <w:p w:rsidR="00EA5D39" w:rsidRDefault="00EA5D39" w:rsidP="00CE5771"/>
          <w:p w:rsidR="00EA5D39" w:rsidRDefault="00EA5D39" w:rsidP="00CE5771">
            <w:r>
              <w:t>Dung Nguyen</w:t>
            </w:r>
          </w:p>
          <w:p w:rsidR="00EA5D39" w:rsidRDefault="00EA5D39" w:rsidP="00CE5771">
            <w:r>
              <w:t>STEC</w:t>
            </w:r>
          </w:p>
          <w:p w:rsidR="00EA5D39" w:rsidRDefault="00EA5D39" w:rsidP="00CE5771"/>
          <w:p w:rsidR="00EA5D39" w:rsidRDefault="00EA5D39" w:rsidP="00CE5771">
            <w:r>
              <w:t>Bill Tucker</w:t>
            </w:r>
          </w:p>
          <w:p w:rsidR="00EA5D39" w:rsidRDefault="00EA5D39" w:rsidP="00CE5771">
            <w:r>
              <w:t>AEP</w:t>
            </w:r>
          </w:p>
          <w:p w:rsidR="00EA5D39" w:rsidRDefault="00EA5D39" w:rsidP="00CE5771"/>
          <w:p w:rsidR="00EA5D39" w:rsidRDefault="00EA5D39" w:rsidP="00CE5771">
            <w:r>
              <w:t>David Penney</w:t>
            </w:r>
          </w:p>
          <w:p w:rsidR="00EA5D39" w:rsidRDefault="00EA5D39" w:rsidP="00CE5771">
            <w:r>
              <w:t>TRE</w:t>
            </w:r>
          </w:p>
          <w:p w:rsidR="00EA5D39" w:rsidRDefault="00EA5D39" w:rsidP="00CE5771"/>
          <w:p w:rsidR="00EA5D39" w:rsidRDefault="00EA5D39" w:rsidP="00CE5771">
            <w:r>
              <w:t>Brian Clowe</w:t>
            </w:r>
          </w:p>
          <w:p w:rsidR="00EA5D39" w:rsidRDefault="00EA5D39" w:rsidP="00CE5771">
            <w:proofErr w:type="spellStart"/>
            <w:r>
              <w:t>Centerpoint</w:t>
            </w:r>
            <w:proofErr w:type="spellEnd"/>
            <w:r>
              <w:t xml:space="preserve"> Energy</w:t>
            </w:r>
          </w:p>
          <w:p w:rsidR="00EA5D39" w:rsidRDefault="00EA5D39" w:rsidP="00CE5771"/>
          <w:p w:rsidR="00EA5D39" w:rsidRDefault="00EA5D39" w:rsidP="00CE5771">
            <w:r>
              <w:t xml:space="preserve">Matt </w:t>
            </w:r>
            <w:proofErr w:type="spellStart"/>
            <w:r>
              <w:t>Boecker</w:t>
            </w:r>
            <w:proofErr w:type="spellEnd"/>
          </w:p>
          <w:p w:rsidR="00EA5D39" w:rsidRDefault="00EA5D39" w:rsidP="00CE5771">
            <w:r>
              <w:t>LCRA</w:t>
            </w:r>
          </w:p>
          <w:p w:rsidR="00EA5D39" w:rsidRDefault="00EA5D39" w:rsidP="00CE5771"/>
          <w:p w:rsidR="00EA5D39" w:rsidRDefault="00EA5D39" w:rsidP="00CE5771">
            <w:r>
              <w:t>Keith Calle</w:t>
            </w:r>
          </w:p>
          <w:p w:rsidR="00EA5D39" w:rsidRDefault="00EA5D39" w:rsidP="00CE5771">
            <w:r>
              <w:t>CPS Energy</w:t>
            </w:r>
          </w:p>
          <w:p w:rsidR="00EA5D39" w:rsidRDefault="00EA5D39" w:rsidP="00CE5771"/>
          <w:p w:rsidR="00EA5D39" w:rsidRDefault="00EA5D39" w:rsidP="00CE5771">
            <w:r>
              <w:t>Saad Syed</w:t>
            </w:r>
          </w:p>
          <w:p w:rsidR="00EA5D39" w:rsidRDefault="00EA5D39" w:rsidP="00CE5771">
            <w:r>
              <w:t>ERCOT</w:t>
            </w:r>
          </w:p>
        </w:tc>
        <w:tc>
          <w:tcPr>
            <w:tcW w:w="3192" w:type="dxa"/>
          </w:tcPr>
          <w:p w:rsidR="00EA5D39" w:rsidRDefault="00EA5D39" w:rsidP="00CE5771">
            <w:r>
              <w:t>WebEx:</w:t>
            </w:r>
          </w:p>
          <w:p w:rsidR="00EA5D39" w:rsidRDefault="00EA5D39" w:rsidP="00CE5771"/>
          <w:p w:rsidR="00EA5D39" w:rsidRDefault="00EA5D39" w:rsidP="00CE5771">
            <w:r>
              <w:t xml:space="preserve">Derek </w:t>
            </w:r>
            <w:proofErr w:type="spellStart"/>
            <w:r>
              <w:t>Merta</w:t>
            </w:r>
            <w:proofErr w:type="spellEnd"/>
            <w:r>
              <w:t xml:space="preserve"> – BTU</w:t>
            </w:r>
          </w:p>
          <w:p w:rsidR="00EA5D39" w:rsidRDefault="00EA5D39" w:rsidP="00CE5771"/>
          <w:p w:rsidR="00EA5D39" w:rsidRDefault="00EA5D39" w:rsidP="00CE5771">
            <w:r>
              <w:t>Tim Cook (CTT)</w:t>
            </w:r>
          </w:p>
          <w:p w:rsidR="00EA5D39" w:rsidRDefault="00EA5D39" w:rsidP="00CE5771"/>
          <w:p w:rsidR="00EA5D39" w:rsidRDefault="00EA5D39" w:rsidP="00CE5771">
            <w:r>
              <w:t>Perry Brown</w:t>
            </w:r>
          </w:p>
          <w:p w:rsidR="00EA5D39" w:rsidRDefault="00EA5D39" w:rsidP="00CE5771"/>
          <w:p w:rsidR="00EA5D39" w:rsidRDefault="00EA5D39" w:rsidP="00CE5771">
            <w:r>
              <w:t>Jay Teixeira</w:t>
            </w:r>
          </w:p>
        </w:tc>
      </w:tr>
    </w:tbl>
    <w:p w:rsidR="00EA5D39" w:rsidRDefault="00EA5D39" w:rsidP="00EA5D39"/>
    <w:p w:rsidR="00B133B6" w:rsidRDefault="00B133B6">
      <w:bookmarkStart w:id="0" w:name="_GoBack"/>
      <w:bookmarkEnd w:id="0"/>
    </w:p>
    <w:sectPr w:rsidR="00B13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D0619"/>
    <w:multiLevelType w:val="hybridMultilevel"/>
    <w:tmpl w:val="484A8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106"/>
    <w:rsid w:val="00022313"/>
    <w:rsid w:val="000A3775"/>
    <w:rsid w:val="0034624E"/>
    <w:rsid w:val="005B0106"/>
    <w:rsid w:val="007205B9"/>
    <w:rsid w:val="0074368A"/>
    <w:rsid w:val="00866D73"/>
    <w:rsid w:val="009C1A42"/>
    <w:rsid w:val="009E0D9A"/>
    <w:rsid w:val="00A568A8"/>
    <w:rsid w:val="00B133B6"/>
    <w:rsid w:val="00BE6936"/>
    <w:rsid w:val="00C11BBD"/>
    <w:rsid w:val="00C930BF"/>
    <w:rsid w:val="00CA285C"/>
    <w:rsid w:val="00EA5D39"/>
    <w:rsid w:val="00EB0C35"/>
    <w:rsid w:val="00F77CED"/>
    <w:rsid w:val="00FF7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3B6"/>
    <w:pPr>
      <w:ind w:left="720"/>
      <w:contextualSpacing/>
    </w:pPr>
  </w:style>
  <w:style w:type="table" w:styleId="TableGrid">
    <w:name w:val="Table Grid"/>
    <w:basedOn w:val="TableNormal"/>
    <w:uiPriority w:val="59"/>
    <w:rsid w:val="00EA5D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3B6"/>
    <w:pPr>
      <w:ind w:left="720"/>
      <w:contextualSpacing/>
    </w:pPr>
  </w:style>
  <w:style w:type="table" w:styleId="TableGrid">
    <w:name w:val="Table Grid"/>
    <w:basedOn w:val="TableNormal"/>
    <w:uiPriority w:val="59"/>
    <w:rsid w:val="00EA5D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K. Mattei</dc:creator>
  <cp:lastModifiedBy>Andrew K. Mattei</cp:lastModifiedBy>
  <cp:revision>5</cp:revision>
  <dcterms:created xsi:type="dcterms:W3CDTF">2013-11-22T14:37:00Z</dcterms:created>
  <dcterms:modified xsi:type="dcterms:W3CDTF">2014-01-03T19:17:00Z</dcterms:modified>
</cp:coreProperties>
</file>