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2E4" w:rsidRDefault="00C71622" w:rsidP="00630146">
      <w:pPr>
        <w:pStyle w:val="NoSpacing"/>
        <w:jc w:val="center"/>
      </w:pPr>
      <w:r>
        <w:t xml:space="preserve">ERCOT </w:t>
      </w:r>
      <w:r w:rsidR="00174FF3">
        <w:t>Synchrophasor Task Force</w:t>
      </w:r>
      <w:r w:rsidR="00B322E4">
        <w:t xml:space="preserve"> (S</w:t>
      </w:r>
      <w:r w:rsidR="00174FF3">
        <w:t>TF</w:t>
      </w:r>
      <w:r w:rsidR="00B322E4">
        <w:t>)</w:t>
      </w:r>
    </w:p>
    <w:p w:rsidR="00B322E4" w:rsidRDefault="00AC20C5" w:rsidP="00630146">
      <w:pPr>
        <w:pStyle w:val="NoSpacing"/>
        <w:jc w:val="center"/>
      </w:pPr>
      <w:r>
        <w:t xml:space="preserve">monthly </w:t>
      </w:r>
      <w:r w:rsidR="00B322E4">
        <w:t>report to</w:t>
      </w:r>
    </w:p>
    <w:p w:rsidR="00B322E4" w:rsidRDefault="00B322E4" w:rsidP="00630146">
      <w:pPr>
        <w:pStyle w:val="NoSpacing"/>
        <w:jc w:val="center"/>
      </w:pPr>
      <w:r>
        <w:t>ERCOT Reliability Operation Subcommittee (ROS)</w:t>
      </w:r>
    </w:p>
    <w:p w:rsidR="00B322E4" w:rsidRPr="00AC20C5" w:rsidRDefault="0021782F" w:rsidP="00630146">
      <w:pPr>
        <w:pStyle w:val="NoSpacing"/>
        <w:jc w:val="center"/>
      </w:pPr>
      <w:r>
        <w:t>March</w:t>
      </w:r>
      <w:r w:rsidR="00FD6D8D">
        <w:t xml:space="preserve"> </w:t>
      </w:r>
      <w:r>
        <w:t>6</w:t>
      </w:r>
      <w:r w:rsidR="00DB0204">
        <w:t>, 2014</w:t>
      </w:r>
    </w:p>
    <w:p w:rsidR="00B322E4" w:rsidRDefault="00B322E4" w:rsidP="00630146">
      <w:pPr>
        <w:pStyle w:val="NoSpacing"/>
        <w:jc w:val="both"/>
      </w:pPr>
    </w:p>
    <w:p w:rsidR="00B322E4" w:rsidRPr="00B322E4" w:rsidRDefault="007F64A9" w:rsidP="00630146">
      <w:pPr>
        <w:pStyle w:val="NoSpacing"/>
        <w:jc w:val="both"/>
        <w:rPr>
          <w:b/>
        </w:rPr>
      </w:pPr>
      <w:r>
        <w:rPr>
          <w:b/>
        </w:rPr>
        <w:t>S</w:t>
      </w:r>
      <w:r w:rsidR="00174FF3">
        <w:rPr>
          <w:b/>
        </w:rPr>
        <w:t>TF</w:t>
      </w:r>
      <w:r>
        <w:rPr>
          <w:b/>
        </w:rPr>
        <w:t xml:space="preserve"> m</w:t>
      </w:r>
      <w:r w:rsidR="00B322E4" w:rsidRPr="00B322E4">
        <w:rPr>
          <w:b/>
        </w:rPr>
        <w:t>eetings since last ROS meeting:</w:t>
      </w:r>
    </w:p>
    <w:p w:rsidR="00B322E4" w:rsidRDefault="00B322E4" w:rsidP="00630146">
      <w:pPr>
        <w:pStyle w:val="NoSpacing"/>
        <w:jc w:val="both"/>
      </w:pPr>
    </w:p>
    <w:p w:rsidR="0021782F" w:rsidRDefault="0021782F" w:rsidP="0021782F">
      <w:pPr>
        <w:pStyle w:val="NoSpacing"/>
      </w:pPr>
      <w:r>
        <w:t xml:space="preserve">The </w:t>
      </w:r>
      <w:r w:rsidR="00FD6D8D">
        <w:t>S</w:t>
      </w:r>
      <w:r w:rsidR="00174FF3">
        <w:t>TF</w:t>
      </w:r>
      <w:r w:rsidR="00FD6D8D">
        <w:t xml:space="preserve"> </w:t>
      </w:r>
      <w:r>
        <w:t>last</w:t>
      </w:r>
      <w:r w:rsidR="00FD6D8D">
        <w:t xml:space="preserve"> met </w:t>
      </w:r>
      <w:r>
        <w:t>on 2/5/14.  At that meeting, Dave Costello w/SEL was our guest speaker in the morning.  In the afternoon we reviewed our Issues List and confirmed each area is assigned to one or more leads.  The latest copy of our Issues List is attached to this report.  The STF list-</w:t>
      </w:r>
      <w:proofErr w:type="spellStart"/>
      <w:r>
        <w:t>serv</w:t>
      </w:r>
      <w:proofErr w:type="spellEnd"/>
      <w:r>
        <w:t xml:space="preserve"> now has 36 subscribers.</w:t>
      </w:r>
    </w:p>
    <w:p w:rsidR="00B322E4" w:rsidRDefault="00B322E4" w:rsidP="00630146">
      <w:pPr>
        <w:pStyle w:val="NoSpacing"/>
        <w:jc w:val="both"/>
      </w:pPr>
    </w:p>
    <w:p w:rsidR="00B322E4" w:rsidRPr="00B322E4" w:rsidRDefault="00B322E4" w:rsidP="00630146">
      <w:pPr>
        <w:pStyle w:val="NoSpacing"/>
        <w:jc w:val="both"/>
        <w:rPr>
          <w:b/>
        </w:rPr>
      </w:pPr>
      <w:r w:rsidRPr="00B322E4">
        <w:rPr>
          <w:b/>
        </w:rPr>
        <w:t>Current group activity:</w:t>
      </w:r>
    </w:p>
    <w:p w:rsidR="00B322E4" w:rsidRDefault="00B322E4" w:rsidP="00630146">
      <w:pPr>
        <w:pStyle w:val="NoSpacing"/>
        <w:jc w:val="both"/>
      </w:pPr>
    </w:p>
    <w:p w:rsidR="000628B3" w:rsidRDefault="00174FF3" w:rsidP="00174FF3">
      <w:pPr>
        <w:pStyle w:val="NoSpacing"/>
        <w:jc w:val="both"/>
      </w:pPr>
      <w:r>
        <w:t>The 2014 meeting</w:t>
      </w:r>
      <w:r w:rsidR="0021782F">
        <w:t xml:space="preserve"> &amp; WebEx</w:t>
      </w:r>
      <w:r>
        <w:t xml:space="preserve"> schedule has been established</w:t>
      </w:r>
      <w:r w:rsidR="0021782F">
        <w:t xml:space="preserve"> and is posted</w:t>
      </w:r>
      <w:r>
        <w:t>.</w:t>
      </w:r>
    </w:p>
    <w:p w:rsidR="00174FF3" w:rsidRDefault="00174FF3" w:rsidP="00174FF3">
      <w:pPr>
        <w:pStyle w:val="NoSpacing"/>
        <w:jc w:val="both"/>
      </w:pPr>
    </w:p>
    <w:p w:rsidR="0021782F" w:rsidRDefault="0021782F" w:rsidP="00174FF3">
      <w:pPr>
        <w:pStyle w:val="NoSpacing"/>
        <w:jc w:val="both"/>
      </w:pPr>
      <w:r>
        <w:t>An ERCOT PMU data specification survey has been developed and routed to the membership to gather baseline info on existing ERCOT PMU systems.</w:t>
      </w:r>
    </w:p>
    <w:p w:rsidR="0021782F" w:rsidRDefault="0021782F" w:rsidP="00174FF3">
      <w:pPr>
        <w:pStyle w:val="NoSpacing"/>
        <w:jc w:val="both"/>
      </w:pPr>
    </w:p>
    <w:p w:rsidR="0021782F" w:rsidRDefault="00174FF3" w:rsidP="00174FF3">
      <w:pPr>
        <w:pStyle w:val="NoSpacing"/>
        <w:jc w:val="both"/>
      </w:pPr>
      <w:r>
        <w:t xml:space="preserve">An </w:t>
      </w:r>
      <w:r w:rsidRPr="0021782F">
        <w:t>agenda</w:t>
      </w:r>
      <w:r>
        <w:t xml:space="preserve"> for the </w:t>
      </w:r>
      <w:r w:rsidR="0021782F">
        <w:t>March 7</w:t>
      </w:r>
      <w:r>
        <w:t xml:space="preserve">, 2014 </w:t>
      </w:r>
      <w:r w:rsidR="0021782F">
        <w:t xml:space="preserve">STF </w:t>
      </w:r>
      <w:r>
        <w:t xml:space="preserve">meeting </w:t>
      </w:r>
      <w:r w:rsidR="00DB0204">
        <w:t>has been distributed to the STF membership.</w:t>
      </w:r>
      <w:r w:rsidR="0021782F">
        <w:t xml:space="preserve">  Ken Martin w/Electric Power Group is our guest speaker.  In the afternoon we will review recent ERCOT PMU events and discuss progress &amp; action items on the Issues List.</w:t>
      </w:r>
    </w:p>
    <w:p w:rsidR="0021782F" w:rsidRDefault="0021782F" w:rsidP="00174FF3">
      <w:pPr>
        <w:pStyle w:val="NoSpacing"/>
        <w:jc w:val="both"/>
      </w:pPr>
    </w:p>
    <w:p w:rsidR="00174FF3" w:rsidRPr="000628B3" w:rsidRDefault="0021782F" w:rsidP="00174FF3">
      <w:pPr>
        <w:pStyle w:val="NoSpacing"/>
        <w:jc w:val="both"/>
      </w:pPr>
      <w:r>
        <w:t>Several ERCOT STF members will be attending and/or presenting at the NASPI meeting next week.</w:t>
      </w:r>
    </w:p>
    <w:p w:rsidR="00C71622" w:rsidRDefault="00C71622" w:rsidP="00630146">
      <w:pPr>
        <w:pStyle w:val="NoSpacing"/>
        <w:jc w:val="both"/>
      </w:pPr>
    </w:p>
    <w:p w:rsidR="00C71622" w:rsidRDefault="00C71622" w:rsidP="00630146">
      <w:pPr>
        <w:pStyle w:val="NoSpacing"/>
        <w:jc w:val="right"/>
      </w:pPr>
      <w:r>
        <w:t xml:space="preserve">Submitted by Kris Koellner, </w:t>
      </w:r>
      <w:r w:rsidR="00174FF3">
        <w:t>STF</w:t>
      </w:r>
      <w:r>
        <w:t xml:space="preserve"> Chair, </w:t>
      </w:r>
      <w:r w:rsidR="0021782F">
        <w:t>3/6</w:t>
      </w:r>
      <w:r w:rsidR="00DB0204">
        <w:t>/14</w:t>
      </w:r>
    </w:p>
    <w:p w:rsidR="0021782F" w:rsidRDefault="0021782F" w:rsidP="00630146">
      <w:pPr>
        <w:pStyle w:val="NoSpacing"/>
        <w:jc w:val="right"/>
      </w:pPr>
    </w:p>
    <w:p w:rsidR="0021782F" w:rsidRDefault="0021782F">
      <w:r>
        <w:br w:type="page"/>
      </w:r>
    </w:p>
    <w:p w:rsidR="0021782F" w:rsidRPr="001E2E18" w:rsidRDefault="0021782F" w:rsidP="0021782F">
      <w:pPr>
        <w:jc w:val="center"/>
        <w:rPr>
          <w:b/>
          <w:u w:val="single"/>
        </w:rPr>
      </w:pPr>
      <w:r w:rsidRPr="001E2E18">
        <w:rPr>
          <w:b/>
          <w:u w:val="single"/>
        </w:rPr>
        <w:lastRenderedPageBreak/>
        <w:t>ERCOT STF Issues List</w:t>
      </w:r>
      <w:r>
        <w:rPr>
          <w:b/>
          <w:u w:val="single"/>
        </w:rPr>
        <w:t>, 2/5/14</w:t>
      </w:r>
    </w:p>
    <w:p w:rsidR="0021782F" w:rsidRPr="001E2E18" w:rsidRDefault="0021782F" w:rsidP="0021782F">
      <w:pPr>
        <w:pStyle w:val="BodyText"/>
        <w:widowControl w:val="0"/>
        <w:spacing w:line="320" w:lineRule="exact"/>
        <w:ind w:left="360"/>
        <w:rPr>
          <w:rFonts w:asciiTheme="minorHAnsi" w:hAnsiTheme="minorHAnsi"/>
          <w:sz w:val="22"/>
          <w:szCs w:val="22"/>
        </w:rPr>
      </w:pPr>
      <w:r w:rsidRPr="001E2E18">
        <w:rPr>
          <w:rFonts w:asciiTheme="minorHAnsi" w:hAnsiTheme="minorHAnsi"/>
          <w:sz w:val="22"/>
          <w:szCs w:val="22"/>
        </w:rPr>
        <w:t>The STF should prepare a report of its findings and recommended Protocol and Guide changes for ROS.  The report shall recommend whether the STF should be continued as an on-going Working Group or be discontinued.  The STF should report its progress to ROS as required.</w:t>
      </w:r>
    </w:p>
    <w:p w:rsidR="0021782F" w:rsidRPr="001E2E18" w:rsidRDefault="0021782F" w:rsidP="0021782F">
      <w:pPr>
        <w:pStyle w:val="BodyText"/>
        <w:widowControl w:val="0"/>
        <w:spacing w:line="320" w:lineRule="exact"/>
        <w:ind w:left="360"/>
        <w:rPr>
          <w:rFonts w:asciiTheme="minorHAnsi" w:hAnsiTheme="minorHAnsi"/>
          <w:sz w:val="22"/>
          <w:szCs w:val="22"/>
        </w:rPr>
      </w:pPr>
    </w:p>
    <w:tbl>
      <w:tblPr>
        <w:tblStyle w:val="TableGrid"/>
        <w:tblW w:w="0" w:type="auto"/>
        <w:tblLook w:val="04A0"/>
      </w:tblPr>
      <w:tblGrid>
        <w:gridCol w:w="358"/>
        <w:gridCol w:w="2876"/>
        <w:gridCol w:w="1794"/>
        <w:gridCol w:w="1938"/>
        <w:gridCol w:w="2610"/>
      </w:tblGrid>
      <w:tr w:rsidR="0021782F" w:rsidRPr="001E2E18" w:rsidTr="00811C6B">
        <w:trPr>
          <w:tblHeader/>
        </w:trPr>
        <w:tc>
          <w:tcPr>
            <w:tcW w:w="415" w:type="dxa"/>
          </w:tcPr>
          <w:p w:rsidR="0021782F" w:rsidRPr="001E2E18" w:rsidRDefault="0021782F" w:rsidP="00811C6B">
            <w:pPr>
              <w:jc w:val="center"/>
              <w:rPr>
                <w:b/>
              </w:rPr>
            </w:pPr>
            <w:r w:rsidRPr="001E2E18">
              <w:rPr>
                <w:b/>
              </w:rPr>
              <w:t>#</w:t>
            </w:r>
          </w:p>
        </w:tc>
        <w:tc>
          <w:tcPr>
            <w:tcW w:w="3383" w:type="dxa"/>
          </w:tcPr>
          <w:p w:rsidR="0021782F" w:rsidRPr="001E2E18" w:rsidRDefault="0021782F" w:rsidP="00811C6B">
            <w:pPr>
              <w:rPr>
                <w:b/>
              </w:rPr>
            </w:pPr>
            <w:r w:rsidRPr="001E2E18">
              <w:rPr>
                <w:b/>
              </w:rPr>
              <w:t>Topic</w:t>
            </w:r>
            <w:r>
              <w:rPr>
                <w:b/>
              </w:rPr>
              <w:t>(s)</w:t>
            </w:r>
          </w:p>
        </w:tc>
        <w:tc>
          <w:tcPr>
            <w:tcW w:w="1800" w:type="dxa"/>
          </w:tcPr>
          <w:p w:rsidR="0021782F" w:rsidRPr="001E2E18" w:rsidRDefault="0021782F" w:rsidP="00811C6B">
            <w:pPr>
              <w:rPr>
                <w:b/>
              </w:rPr>
            </w:pPr>
            <w:r w:rsidRPr="001E2E18">
              <w:rPr>
                <w:b/>
              </w:rPr>
              <w:t>Lead</w:t>
            </w:r>
            <w:r>
              <w:rPr>
                <w:b/>
              </w:rPr>
              <w:t>(s)</w:t>
            </w:r>
          </w:p>
        </w:tc>
        <w:tc>
          <w:tcPr>
            <w:tcW w:w="1620" w:type="dxa"/>
          </w:tcPr>
          <w:p w:rsidR="0021782F" w:rsidRPr="001E2E18" w:rsidRDefault="0021782F" w:rsidP="00811C6B">
            <w:pPr>
              <w:rPr>
                <w:b/>
              </w:rPr>
            </w:pPr>
            <w:r>
              <w:rPr>
                <w:b/>
              </w:rPr>
              <w:t>Document(s)</w:t>
            </w:r>
          </w:p>
        </w:tc>
        <w:tc>
          <w:tcPr>
            <w:tcW w:w="3420" w:type="dxa"/>
          </w:tcPr>
          <w:p w:rsidR="0021782F" w:rsidRPr="001E2E18" w:rsidRDefault="0021782F" w:rsidP="00811C6B">
            <w:pPr>
              <w:rPr>
                <w:b/>
              </w:rPr>
            </w:pPr>
            <w:r w:rsidRPr="001E2E18">
              <w:rPr>
                <w:b/>
              </w:rPr>
              <w:t>Status</w:t>
            </w:r>
          </w:p>
        </w:tc>
      </w:tr>
      <w:tr w:rsidR="0021782F" w:rsidRPr="001E2E18" w:rsidTr="00811C6B">
        <w:tc>
          <w:tcPr>
            <w:tcW w:w="415" w:type="dxa"/>
          </w:tcPr>
          <w:p w:rsidR="0021782F" w:rsidRPr="001E2E18" w:rsidRDefault="0021782F" w:rsidP="00811C6B">
            <w:pPr>
              <w:jc w:val="center"/>
            </w:pPr>
            <w:r w:rsidRPr="001E2E18">
              <w:t>1</w:t>
            </w:r>
          </w:p>
        </w:tc>
        <w:tc>
          <w:tcPr>
            <w:tcW w:w="3383" w:type="dxa"/>
          </w:tcPr>
          <w:p w:rsidR="0021782F" w:rsidRPr="001E2E18" w:rsidRDefault="0021782F" w:rsidP="0021782F">
            <w:pPr>
              <w:pStyle w:val="BodyText"/>
              <w:widowControl w:val="0"/>
              <w:numPr>
                <w:ilvl w:val="0"/>
                <w:numId w:val="6"/>
              </w:numPr>
              <w:spacing w:line="320" w:lineRule="exact"/>
              <w:jc w:val="left"/>
              <w:rPr>
                <w:rFonts w:asciiTheme="minorHAnsi" w:hAnsiTheme="minorHAnsi"/>
              </w:rPr>
            </w:pPr>
            <w:r w:rsidRPr="001E2E18">
              <w:rPr>
                <w:rFonts w:asciiTheme="minorHAnsi" w:hAnsiTheme="minorHAnsi"/>
                <w:sz w:val="22"/>
                <w:szCs w:val="22"/>
              </w:rPr>
              <w:t xml:space="preserve">How will </w:t>
            </w:r>
            <w:proofErr w:type="spellStart"/>
            <w:r w:rsidRPr="001E2E18">
              <w:rPr>
                <w:rFonts w:asciiTheme="minorHAnsi" w:hAnsiTheme="minorHAnsi"/>
                <w:sz w:val="22"/>
                <w:szCs w:val="22"/>
              </w:rPr>
              <w:t>synchrophasor</w:t>
            </w:r>
            <w:proofErr w:type="spellEnd"/>
            <w:r w:rsidRPr="001E2E18">
              <w:rPr>
                <w:rFonts w:asciiTheme="minorHAnsi" w:hAnsiTheme="minorHAnsi"/>
                <w:sz w:val="22"/>
                <w:szCs w:val="22"/>
              </w:rPr>
              <w:t xml:space="preserve"> data be used in ERCOT (real-time monitoring,</w:t>
            </w:r>
            <w:r>
              <w:rPr>
                <w:rFonts w:asciiTheme="minorHAnsi" w:hAnsiTheme="minorHAnsi"/>
                <w:sz w:val="22"/>
                <w:szCs w:val="22"/>
              </w:rPr>
              <w:t xml:space="preserve"> unit model validation, etc.)?</w:t>
            </w:r>
          </w:p>
          <w:p w:rsidR="0021782F" w:rsidRPr="001E2E18" w:rsidRDefault="0021782F" w:rsidP="0021782F">
            <w:pPr>
              <w:pStyle w:val="BodyText"/>
              <w:widowControl w:val="0"/>
              <w:numPr>
                <w:ilvl w:val="0"/>
                <w:numId w:val="6"/>
              </w:numPr>
              <w:spacing w:line="320" w:lineRule="exact"/>
              <w:jc w:val="left"/>
              <w:rPr>
                <w:rFonts w:asciiTheme="minorHAnsi" w:hAnsiTheme="minorHAnsi"/>
              </w:rPr>
            </w:pPr>
            <w:r w:rsidRPr="001E2E18">
              <w:rPr>
                <w:rFonts w:asciiTheme="minorHAnsi" w:hAnsiTheme="minorHAnsi"/>
                <w:sz w:val="22"/>
                <w:szCs w:val="22"/>
              </w:rPr>
              <w:t>What are the cur</w:t>
            </w:r>
            <w:r>
              <w:rPr>
                <w:rFonts w:asciiTheme="minorHAnsi" w:hAnsiTheme="minorHAnsi"/>
                <w:sz w:val="22"/>
                <w:szCs w:val="22"/>
              </w:rPr>
              <w:t>rent and planned uses by ERCOT?</w:t>
            </w:r>
          </w:p>
          <w:p w:rsidR="0021782F" w:rsidRPr="001E2E18" w:rsidRDefault="0021782F" w:rsidP="0021782F">
            <w:pPr>
              <w:pStyle w:val="BodyText"/>
              <w:widowControl w:val="0"/>
              <w:numPr>
                <w:ilvl w:val="0"/>
                <w:numId w:val="6"/>
              </w:numPr>
              <w:spacing w:line="320" w:lineRule="exact"/>
              <w:jc w:val="left"/>
              <w:rPr>
                <w:rFonts w:asciiTheme="minorHAnsi" w:hAnsiTheme="minorHAnsi"/>
              </w:rPr>
            </w:pPr>
            <w:r w:rsidRPr="001E2E18">
              <w:rPr>
                <w:rFonts w:asciiTheme="minorHAnsi" w:hAnsiTheme="minorHAnsi"/>
                <w:sz w:val="22"/>
                <w:szCs w:val="22"/>
              </w:rPr>
              <w:t xml:space="preserve">What are current and planned uses by TSPs and generators? </w:t>
            </w:r>
          </w:p>
        </w:tc>
        <w:tc>
          <w:tcPr>
            <w:tcW w:w="1800" w:type="dxa"/>
          </w:tcPr>
          <w:p w:rsidR="0021782F" w:rsidRDefault="0021782F" w:rsidP="00811C6B">
            <w:r>
              <w:t>Bill Blevins (ERCOT)</w:t>
            </w:r>
          </w:p>
          <w:p w:rsidR="0021782F" w:rsidRDefault="0021782F" w:rsidP="00811C6B"/>
          <w:p w:rsidR="0021782F" w:rsidRDefault="0021782F" w:rsidP="00811C6B"/>
          <w:p w:rsidR="0021782F" w:rsidRDefault="0021782F" w:rsidP="00811C6B"/>
          <w:p w:rsidR="0021782F" w:rsidRDefault="0021782F" w:rsidP="00811C6B"/>
          <w:p w:rsidR="0021782F" w:rsidRDefault="0021782F" w:rsidP="00811C6B"/>
          <w:p w:rsidR="0021782F" w:rsidRPr="001E2E18" w:rsidRDefault="0021782F" w:rsidP="00811C6B">
            <w:r>
              <w:t>Kris Koellner (TSPs and generators)</w:t>
            </w:r>
          </w:p>
        </w:tc>
        <w:tc>
          <w:tcPr>
            <w:tcW w:w="1620" w:type="dxa"/>
          </w:tcPr>
          <w:p w:rsidR="0021782F" w:rsidRPr="001E2E18" w:rsidRDefault="0021782F" w:rsidP="00811C6B">
            <w:r>
              <w:t>Section in final report.</w:t>
            </w:r>
          </w:p>
        </w:tc>
        <w:tc>
          <w:tcPr>
            <w:tcW w:w="3420" w:type="dxa"/>
          </w:tcPr>
          <w:p w:rsidR="0021782F" w:rsidRPr="001E2E18" w:rsidRDefault="0021782F" w:rsidP="00811C6B">
            <w:r>
              <w:t>ERCOT top three issues identified at 1/2014 meeting.</w:t>
            </w:r>
          </w:p>
        </w:tc>
      </w:tr>
      <w:tr w:rsidR="0021782F" w:rsidRPr="001E2E18" w:rsidTr="00811C6B">
        <w:tc>
          <w:tcPr>
            <w:tcW w:w="415" w:type="dxa"/>
          </w:tcPr>
          <w:p w:rsidR="0021782F" w:rsidRPr="001E2E18" w:rsidRDefault="0021782F" w:rsidP="00811C6B">
            <w:pPr>
              <w:jc w:val="center"/>
            </w:pPr>
            <w:r w:rsidRPr="001E2E18">
              <w:t>2</w:t>
            </w:r>
          </w:p>
        </w:tc>
        <w:tc>
          <w:tcPr>
            <w:tcW w:w="3383" w:type="dxa"/>
          </w:tcPr>
          <w:p w:rsidR="0021782F" w:rsidRPr="001E2E18" w:rsidRDefault="0021782F" w:rsidP="0021782F">
            <w:pPr>
              <w:pStyle w:val="BodyText"/>
              <w:widowControl w:val="0"/>
              <w:numPr>
                <w:ilvl w:val="0"/>
                <w:numId w:val="6"/>
              </w:numPr>
              <w:spacing w:line="320" w:lineRule="exact"/>
              <w:jc w:val="left"/>
              <w:rPr>
                <w:rFonts w:asciiTheme="minorHAnsi" w:hAnsiTheme="minorHAnsi"/>
              </w:rPr>
            </w:pPr>
            <w:r w:rsidRPr="001E2E18">
              <w:rPr>
                <w:rFonts w:asciiTheme="minorHAnsi" w:hAnsiTheme="minorHAnsi"/>
                <w:sz w:val="22"/>
                <w:szCs w:val="22"/>
              </w:rPr>
              <w:t>What kinds of locations of PMUs a</w:t>
            </w:r>
            <w:r>
              <w:rPr>
                <w:rFonts w:asciiTheme="minorHAnsi" w:hAnsiTheme="minorHAnsi"/>
                <w:sz w:val="22"/>
                <w:szCs w:val="22"/>
              </w:rPr>
              <w:t>re needed to meet this use(s)?</w:t>
            </w:r>
          </w:p>
          <w:p w:rsidR="0021782F" w:rsidRPr="008121B2" w:rsidRDefault="0021782F" w:rsidP="0021782F">
            <w:pPr>
              <w:pStyle w:val="BodyText"/>
              <w:widowControl w:val="0"/>
              <w:numPr>
                <w:ilvl w:val="0"/>
                <w:numId w:val="6"/>
              </w:numPr>
              <w:spacing w:line="320" w:lineRule="exact"/>
              <w:jc w:val="left"/>
              <w:rPr>
                <w:rFonts w:asciiTheme="minorHAnsi" w:hAnsiTheme="minorHAnsi"/>
              </w:rPr>
            </w:pPr>
            <w:r w:rsidRPr="001E2E18">
              <w:rPr>
                <w:rFonts w:asciiTheme="minorHAnsi" w:hAnsiTheme="minorHAnsi"/>
                <w:sz w:val="22"/>
                <w:szCs w:val="22"/>
              </w:rPr>
              <w:t>How will these locations be determined?</w:t>
            </w:r>
          </w:p>
          <w:p w:rsidR="0021782F" w:rsidRPr="001E2E18" w:rsidRDefault="0021782F" w:rsidP="0021782F">
            <w:pPr>
              <w:pStyle w:val="BodyText"/>
              <w:widowControl w:val="0"/>
              <w:numPr>
                <w:ilvl w:val="0"/>
                <w:numId w:val="6"/>
              </w:numPr>
              <w:spacing w:line="320" w:lineRule="exact"/>
              <w:jc w:val="left"/>
              <w:rPr>
                <w:rFonts w:asciiTheme="minorHAnsi" w:hAnsiTheme="minorHAnsi"/>
              </w:rPr>
            </w:pPr>
            <w:r>
              <w:rPr>
                <w:rFonts w:asciiTheme="minorHAnsi" w:hAnsiTheme="minorHAnsi"/>
                <w:color w:val="4F81BD" w:themeColor="accent1"/>
                <w:sz w:val="22"/>
                <w:szCs w:val="22"/>
              </w:rPr>
              <w:t>What c</w:t>
            </w:r>
            <w:r w:rsidRPr="008121B2">
              <w:rPr>
                <w:rFonts w:asciiTheme="minorHAnsi" w:hAnsiTheme="minorHAnsi"/>
                <w:color w:val="4F81BD" w:themeColor="accent1"/>
                <w:sz w:val="22"/>
                <w:szCs w:val="22"/>
              </w:rPr>
              <w:t>hannels</w:t>
            </w:r>
            <w:r>
              <w:rPr>
                <w:rFonts w:asciiTheme="minorHAnsi" w:hAnsiTheme="minorHAnsi"/>
                <w:color w:val="4F81BD" w:themeColor="accent1"/>
                <w:sz w:val="22"/>
                <w:szCs w:val="22"/>
              </w:rPr>
              <w:t xml:space="preserve"> are needed (V only, I only, etc?</w:t>
            </w:r>
          </w:p>
        </w:tc>
        <w:tc>
          <w:tcPr>
            <w:tcW w:w="1800" w:type="dxa"/>
          </w:tcPr>
          <w:p w:rsidR="0021782F" w:rsidRPr="001E2E18" w:rsidRDefault="0021782F" w:rsidP="00811C6B">
            <w:r>
              <w:t>Bill Blevins</w:t>
            </w:r>
          </w:p>
        </w:tc>
        <w:tc>
          <w:tcPr>
            <w:tcW w:w="1620" w:type="dxa"/>
          </w:tcPr>
          <w:p w:rsidR="0021782F" w:rsidRDefault="0021782F" w:rsidP="00811C6B">
            <w:r>
              <w:t>Updated version of ERCOT paper.</w:t>
            </w:r>
          </w:p>
          <w:p w:rsidR="0021782F" w:rsidRDefault="0021782F" w:rsidP="00811C6B"/>
          <w:p w:rsidR="0021782F" w:rsidRDefault="0021782F" w:rsidP="00811C6B">
            <w:r>
              <w:t>Plus</w:t>
            </w:r>
          </w:p>
          <w:p w:rsidR="0021782F" w:rsidRDefault="0021782F" w:rsidP="00811C6B"/>
          <w:p w:rsidR="0021782F" w:rsidRDefault="0021782F" w:rsidP="00811C6B">
            <w:r>
              <w:t>NOG section 6 – DDR requirements</w:t>
            </w:r>
          </w:p>
          <w:p w:rsidR="0021782F" w:rsidRDefault="0021782F" w:rsidP="00811C6B"/>
          <w:p w:rsidR="0021782F" w:rsidRDefault="0021782F" w:rsidP="00811C6B">
            <w:r>
              <w:t>Plus</w:t>
            </w:r>
          </w:p>
          <w:p w:rsidR="0021782F" w:rsidRDefault="0021782F" w:rsidP="00811C6B"/>
          <w:p w:rsidR="0021782F" w:rsidRPr="001E2E18" w:rsidRDefault="0021782F" w:rsidP="00811C6B">
            <w:r>
              <w:t>Section in final report.</w:t>
            </w:r>
          </w:p>
        </w:tc>
        <w:tc>
          <w:tcPr>
            <w:tcW w:w="3420" w:type="dxa"/>
          </w:tcPr>
          <w:p w:rsidR="0021782F" w:rsidRDefault="0021782F" w:rsidP="00811C6B">
            <w:r>
              <w:t>Discussed at 1/2014 mtg.  Function of item 1.</w:t>
            </w:r>
          </w:p>
          <w:p w:rsidR="0021782F" w:rsidRDefault="0021782F" w:rsidP="00811C6B">
            <w:r>
              <w:t xml:space="preserve">Layered approach; communication requirements will vary by location/application.  Impacted by PRC-002-2 R6 (“major transmission interfaces”, IROL, SOL).  </w:t>
            </w:r>
            <w:r w:rsidRPr="00960B1A">
              <w:rPr>
                <w:b/>
                <w:color w:val="FF0000"/>
              </w:rPr>
              <w:t>AI</w:t>
            </w:r>
            <w:r>
              <w:t xml:space="preserve"> – re-run ERCOT PMU placement analysis focused solely on 3 key apps; also look at the two gen applications vs. post-event analysis application.</w:t>
            </w:r>
          </w:p>
          <w:p w:rsidR="0021782F" w:rsidRPr="001E2E18" w:rsidRDefault="0021782F" w:rsidP="00811C6B">
            <w:r>
              <w:t xml:space="preserve">Compare also to WECC and EI efforts/requirements.  </w:t>
            </w:r>
            <w:r w:rsidRPr="000D335E">
              <w:rPr>
                <w:b/>
                <w:color w:val="FF0000"/>
              </w:rPr>
              <w:t>AI</w:t>
            </w:r>
            <w:r>
              <w:t xml:space="preserve"> – Kris to request location algorithm/paper on PMU placement from M. Grady</w:t>
            </w:r>
          </w:p>
        </w:tc>
      </w:tr>
      <w:tr w:rsidR="0021782F" w:rsidRPr="001E2E18" w:rsidTr="00811C6B">
        <w:tc>
          <w:tcPr>
            <w:tcW w:w="415" w:type="dxa"/>
          </w:tcPr>
          <w:p w:rsidR="0021782F" w:rsidRPr="001E2E18" w:rsidRDefault="0021782F" w:rsidP="00811C6B">
            <w:pPr>
              <w:jc w:val="center"/>
            </w:pPr>
            <w:r w:rsidRPr="001E2E18">
              <w:t>3</w:t>
            </w:r>
          </w:p>
        </w:tc>
        <w:tc>
          <w:tcPr>
            <w:tcW w:w="3383" w:type="dxa"/>
          </w:tcPr>
          <w:p w:rsidR="0021782F" w:rsidRPr="001E2E18" w:rsidRDefault="0021782F" w:rsidP="0021782F">
            <w:pPr>
              <w:pStyle w:val="BodyText"/>
              <w:widowControl w:val="0"/>
              <w:numPr>
                <w:ilvl w:val="0"/>
                <w:numId w:val="6"/>
              </w:numPr>
              <w:spacing w:line="320" w:lineRule="exact"/>
              <w:jc w:val="left"/>
              <w:rPr>
                <w:rFonts w:asciiTheme="minorHAnsi" w:hAnsiTheme="minorHAnsi"/>
              </w:rPr>
            </w:pPr>
            <w:r w:rsidRPr="001E2E18">
              <w:rPr>
                <w:rFonts w:asciiTheme="minorHAnsi" w:hAnsiTheme="minorHAnsi"/>
                <w:sz w:val="22"/>
                <w:szCs w:val="22"/>
              </w:rPr>
              <w:t xml:space="preserve">What are the </w:t>
            </w:r>
            <w:r w:rsidRPr="00D95E44">
              <w:rPr>
                <w:rFonts w:asciiTheme="minorHAnsi" w:hAnsiTheme="minorHAnsi"/>
                <w:sz w:val="22"/>
                <w:szCs w:val="22"/>
                <w:highlight w:val="yellow"/>
              </w:rPr>
              <w:t>data latency</w:t>
            </w:r>
            <w:r w:rsidRPr="001E2E18">
              <w:rPr>
                <w:rFonts w:asciiTheme="minorHAnsi" w:hAnsiTheme="minorHAnsi"/>
                <w:sz w:val="22"/>
                <w:szCs w:val="22"/>
              </w:rPr>
              <w:t xml:space="preserve"> and quality requirements and other specifications, in or</w:t>
            </w:r>
            <w:r>
              <w:rPr>
                <w:rFonts w:asciiTheme="minorHAnsi" w:hAnsiTheme="minorHAnsi"/>
                <w:sz w:val="22"/>
                <w:szCs w:val="22"/>
              </w:rPr>
              <w:t>der to meet the intended uses?</w:t>
            </w:r>
          </w:p>
          <w:p w:rsidR="0021782F" w:rsidRPr="008D529F" w:rsidRDefault="0021782F" w:rsidP="0021782F">
            <w:pPr>
              <w:pStyle w:val="BodyText"/>
              <w:widowControl w:val="0"/>
              <w:numPr>
                <w:ilvl w:val="0"/>
                <w:numId w:val="6"/>
              </w:numPr>
              <w:spacing w:line="320" w:lineRule="exact"/>
              <w:jc w:val="left"/>
              <w:rPr>
                <w:rFonts w:asciiTheme="minorHAnsi" w:hAnsiTheme="minorHAnsi"/>
              </w:rPr>
            </w:pPr>
            <w:r w:rsidRPr="001E2E18">
              <w:rPr>
                <w:rFonts w:asciiTheme="minorHAnsi" w:hAnsiTheme="minorHAnsi"/>
                <w:sz w:val="22"/>
                <w:szCs w:val="22"/>
              </w:rPr>
              <w:t xml:space="preserve">Should these vary </w:t>
            </w:r>
            <w:r w:rsidRPr="001E2E18">
              <w:rPr>
                <w:rFonts w:asciiTheme="minorHAnsi" w:hAnsiTheme="minorHAnsi"/>
                <w:sz w:val="22"/>
                <w:szCs w:val="22"/>
              </w:rPr>
              <w:lastRenderedPageBreak/>
              <w:t>depending on the kind of PMU location</w:t>
            </w:r>
            <w:r>
              <w:rPr>
                <w:rFonts w:asciiTheme="minorHAnsi" w:hAnsiTheme="minorHAnsi"/>
                <w:sz w:val="22"/>
                <w:szCs w:val="22"/>
              </w:rPr>
              <w:t>/use case</w:t>
            </w:r>
            <w:r w:rsidRPr="001E2E18">
              <w:rPr>
                <w:rFonts w:asciiTheme="minorHAnsi" w:hAnsiTheme="minorHAnsi"/>
                <w:sz w:val="22"/>
                <w:szCs w:val="22"/>
              </w:rPr>
              <w:t>?</w:t>
            </w:r>
          </w:p>
          <w:p w:rsidR="0021782F" w:rsidRPr="00D95E44" w:rsidRDefault="0021782F" w:rsidP="0021782F">
            <w:pPr>
              <w:pStyle w:val="BodyText"/>
              <w:widowControl w:val="0"/>
              <w:numPr>
                <w:ilvl w:val="0"/>
                <w:numId w:val="6"/>
              </w:numPr>
              <w:spacing w:line="320" w:lineRule="exact"/>
              <w:jc w:val="left"/>
              <w:rPr>
                <w:rFonts w:asciiTheme="minorHAnsi" w:hAnsiTheme="minorHAnsi"/>
                <w:color w:val="4F81BD" w:themeColor="accent1"/>
              </w:rPr>
            </w:pPr>
            <w:r>
              <w:rPr>
                <w:rFonts w:asciiTheme="minorHAnsi" w:hAnsiTheme="minorHAnsi"/>
                <w:color w:val="4F81BD" w:themeColor="accent1"/>
                <w:sz w:val="22"/>
                <w:szCs w:val="22"/>
                <w:highlight w:val="yellow"/>
              </w:rPr>
              <w:t>Input s</w:t>
            </w:r>
            <w:r w:rsidRPr="00D95E44">
              <w:rPr>
                <w:rFonts w:asciiTheme="minorHAnsi" w:hAnsiTheme="minorHAnsi"/>
                <w:color w:val="4F81BD" w:themeColor="accent1"/>
                <w:sz w:val="22"/>
                <w:szCs w:val="22"/>
                <w:highlight w:val="yellow"/>
              </w:rPr>
              <w:t>ampling rate</w:t>
            </w:r>
            <w:r w:rsidRPr="002C6E9B">
              <w:rPr>
                <w:rFonts w:asciiTheme="minorHAnsi" w:hAnsiTheme="minorHAnsi"/>
                <w:color w:val="4F81BD" w:themeColor="accent1"/>
                <w:sz w:val="22"/>
                <w:szCs w:val="22"/>
              </w:rPr>
              <w:t>?</w:t>
            </w:r>
          </w:p>
          <w:p w:rsidR="0021782F" w:rsidRDefault="0021782F" w:rsidP="0021782F">
            <w:pPr>
              <w:pStyle w:val="BodyText"/>
              <w:widowControl w:val="0"/>
              <w:numPr>
                <w:ilvl w:val="0"/>
                <w:numId w:val="6"/>
              </w:numPr>
              <w:spacing w:line="320" w:lineRule="exact"/>
              <w:jc w:val="left"/>
              <w:rPr>
                <w:rFonts w:asciiTheme="minorHAnsi" w:hAnsiTheme="minorHAnsi"/>
                <w:color w:val="4F81BD" w:themeColor="accent1"/>
              </w:rPr>
            </w:pPr>
            <w:r>
              <w:rPr>
                <w:rFonts w:asciiTheme="minorHAnsi" w:hAnsiTheme="minorHAnsi"/>
                <w:color w:val="4F81BD" w:themeColor="accent1"/>
                <w:sz w:val="22"/>
                <w:szCs w:val="22"/>
              </w:rPr>
              <w:t>Output data rate? PRC-002: 30 samples/cycle, may need higher for model validation</w:t>
            </w:r>
          </w:p>
          <w:p w:rsidR="0021782F" w:rsidRPr="00D95E44" w:rsidRDefault="0021782F" w:rsidP="0021782F">
            <w:pPr>
              <w:pStyle w:val="BodyText"/>
              <w:widowControl w:val="0"/>
              <w:numPr>
                <w:ilvl w:val="0"/>
                <w:numId w:val="6"/>
              </w:numPr>
              <w:spacing w:line="320" w:lineRule="exact"/>
              <w:jc w:val="left"/>
              <w:rPr>
                <w:rFonts w:asciiTheme="minorHAnsi" w:hAnsiTheme="minorHAnsi"/>
                <w:color w:val="4F81BD" w:themeColor="accent1"/>
              </w:rPr>
            </w:pPr>
            <w:r w:rsidRPr="00D95E44">
              <w:rPr>
                <w:rFonts w:asciiTheme="minorHAnsi" w:hAnsiTheme="minorHAnsi"/>
                <w:color w:val="4F81BD" w:themeColor="accent1"/>
                <w:sz w:val="22"/>
                <w:szCs w:val="22"/>
                <w:highlight w:val="yellow"/>
              </w:rPr>
              <w:t>Bandwidth</w:t>
            </w:r>
            <w:r w:rsidRPr="002C6E9B">
              <w:rPr>
                <w:rFonts w:asciiTheme="minorHAnsi" w:hAnsiTheme="minorHAnsi"/>
                <w:color w:val="4F81BD" w:themeColor="accent1"/>
                <w:sz w:val="22"/>
                <w:szCs w:val="22"/>
              </w:rPr>
              <w:t>?</w:t>
            </w:r>
            <w:r>
              <w:rPr>
                <w:rFonts w:asciiTheme="minorHAnsi" w:hAnsiTheme="minorHAnsi"/>
                <w:color w:val="4F81BD" w:themeColor="accent1"/>
                <w:sz w:val="22"/>
                <w:szCs w:val="22"/>
              </w:rPr>
              <w:t xml:space="preserve">   f(PMUs, </w:t>
            </w:r>
            <w:proofErr w:type="spellStart"/>
            <w:r>
              <w:rPr>
                <w:rFonts w:asciiTheme="minorHAnsi" w:hAnsiTheme="minorHAnsi"/>
                <w:color w:val="4F81BD" w:themeColor="accent1"/>
                <w:sz w:val="22"/>
                <w:szCs w:val="22"/>
              </w:rPr>
              <w:t>phasors</w:t>
            </w:r>
            <w:proofErr w:type="spellEnd"/>
            <w:r>
              <w:rPr>
                <w:rFonts w:asciiTheme="minorHAnsi" w:hAnsiTheme="minorHAnsi"/>
                <w:color w:val="4F81BD" w:themeColor="accent1"/>
                <w:sz w:val="22"/>
                <w:szCs w:val="22"/>
              </w:rPr>
              <w:t>, sample rate) – Impacts data storage</w:t>
            </w:r>
          </w:p>
          <w:p w:rsidR="0021782F" w:rsidRPr="002C6E9B" w:rsidRDefault="0021782F" w:rsidP="0021782F">
            <w:pPr>
              <w:pStyle w:val="BodyText"/>
              <w:widowControl w:val="0"/>
              <w:numPr>
                <w:ilvl w:val="0"/>
                <w:numId w:val="6"/>
              </w:numPr>
              <w:spacing w:line="320" w:lineRule="exact"/>
              <w:jc w:val="left"/>
              <w:rPr>
                <w:rFonts w:asciiTheme="minorHAnsi" w:hAnsiTheme="minorHAnsi"/>
                <w:color w:val="4F81BD" w:themeColor="accent1"/>
              </w:rPr>
            </w:pPr>
            <w:r>
              <w:rPr>
                <w:rFonts w:asciiTheme="minorHAnsi" w:hAnsiTheme="minorHAnsi"/>
                <w:color w:val="4F81BD" w:themeColor="accent1"/>
                <w:sz w:val="22"/>
                <w:szCs w:val="22"/>
              </w:rPr>
              <w:t>Data format, time-stamping</w:t>
            </w:r>
          </w:p>
        </w:tc>
        <w:tc>
          <w:tcPr>
            <w:tcW w:w="1800" w:type="dxa"/>
          </w:tcPr>
          <w:p w:rsidR="0021782F" w:rsidRPr="001E2E18" w:rsidRDefault="0021782F" w:rsidP="00811C6B">
            <w:r>
              <w:lastRenderedPageBreak/>
              <w:t>David Mercado</w:t>
            </w:r>
          </w:p>
        </w:tc>
        <w:tc>
          <w:tcPr>
            <w:tcW w:w="1620" w:type="dxa"/>
          </w:tcPr>
          <w:p w:rsidR="0021782F" w:rsidRDefault="0021782F" w:rsidP="00811C6B">
            <w:r>
              <w:t>NOG section 6 – DDR requirements</w:t>
            </w:r>
          </w:p>
          <w:p w:rsidR="0021782F" w:rsidRDefault="0021782F" w:rsidP="00811C6B"/>
          <w:p w:rsidR="0021782F" w:rsidRDefault="0021782F" w:rsidP="00811C6B">
            <w:r>
              <w:t>Plus</w:t>
            </w:r>
          </w:p>
          <w:p w:rsidR="0021782F" w:rsidRDefault="0021782F" w:rsidP="00811C6B"/>
          <w:p w:rsidR="0021782F" w:rsidRPr="001E2E18" w:rsidRDefault="0021782F" w:rsidP="00811C6B">
            <w:r>
              <w:t>Section in final report.</w:t>
            </w:r>
          </w:p>
        </w:tc>
        <w:tc>
          <w:tcPr>
            <w:tcW w:w="3420" w:type="dxa"/>
          </w:tcPr>
          <w:p w:rsidR="0021782F" w:rsidRDefault="0021782F" w:rsidP="00811C6B">
            <w:r>
              <w:t>Discussed at 1/2014 mtg.  Function of item 1.</w:t>
            </w:r>
          </w:p>
          <w:p w:rsidR="0021782F" w:rsidRDefault="0021782F" w:rsidP="00811C6B">
            <w:r>
              <w:t>NASPI DNMTT data classes (A/B/C/D) – need to add specifics – next 6 mos.</w:t>
            </w:r>
          </w:p>
          <w:p w:rsidR="0021782F" w:rsidRPr="001E2E18" w:rsidRDefault="0021782F" w:rsidP="00811C6B">
            <w:r>
              <w:t xml:space="preserve">Researching/data gathering phase.  Focus on </w:t>
            </w:r>
            <w:r>
              <w:lastRenderedPageBreak/>
              <w:t xml:space="preserve">3 ERCOT use cases; 2 of 3 are off-line applications.  </w:t>
            </w:r>
            <w:r w:rsidRPr="00D95E44">
              <w:rPr>
                <w:b/>
                <w:color w:val="FF0000"/>
              </w:rPr>
              <w:t>AI</w:t>
            </w:r>
            <w:r>
              <w:t xml:space="preserve"> – Need current PMU specs from ERCOT TSPs.  </w:t>
            </w:r>
            <w:r w:rsidRPr="00CF0583">
              <w:rPr>
                <w:b/>
                <w:color w:val="FF0000"/>
              </w:rPr>
              <w:t>AI</w:t>
            </w:r>
            <w:r>
              <w:t xml:space="preserve"> – David &amp; Bill to develop PMU spec/storage survey.</w:t>
            </w:r>
          </w:p>
        </w:tc>
      </w:tr>
      <w:tr w:rsidR="0021782F" w:rsidRPr="001E2E18" w:rsidTr="00811C6B">
        <w:tc>
          <w:tcPr>
            <w:tcW w:w="415" w:type="dxa"/>
          </w:tcPr>
          <w:p w:rsidR="0021782F" w:rsidRPr="001E2E18" w:rsidRDefault="0021782F" w:rsidP="00811C6B">
            <w:pPr>
              <w:jc w:val="center"/>
            </w:pPr>
            <w:r w:rsidRPr="001E2E18">
              <w:lastRenderedPageBreak/>
              <w:t>4</w:t>
            </w:r>
          </w:p>
        </w:tc>
        <w:tc>
          <w:tcPr>
            <w:tcW w:w="3383" w:type="dxa"/>
          </w:tcPr>
          <w:p w:rsidR="0021782F" w:rsidRPr="001E2E18" w:rsidRDefault="0021782F" w:rsidP="0021782F">
            <w:pPr>
              <w:pStyle w:val="BodyText"/>
              <w:widowControl w:val="0"/>
              <w:numPr>
                <w:ilvl w:val="0"/>
                <w:numId w:val="6"/>
              </w:numPr>
              <w:spacing w:line="320" w:lineRule="exact"/>
              <w:jc w:val="left"/>
              <w:rPr>
                <w:rFonts w:asciiTheme="minorHAnsi" w:hAnsiTheme="minorHAnsi"/>
              </w:rPr>
            </w:pPr>
            <w:r w:rsidRPr="001E2E18">
              <w:rPr>
                <w:rFonts w:asciiTheme="minorHAnsi" w:hAnsiTheme="minorHAnsi"/>
                <w:sz w:val="22"/>
                <w:szCs w:val="22"/>
              </w:rPr>
              <w:t>Who sh</w:t>
            </w:r>
            <w:r>
              <w:rPr>
                <w:rFonts w:asciiTheme="minorHAnsi" w:hAnsiTheme="minorHAnsi"/>
                <w:sz w:val="22"/>
                <w:szCs w:val="22"/>
              </w:rPr>
              <w:t>ould install and own the PMUs?</w:t>
            </w:r>
          </w:p>
          <w:p w:rsidR="0021782F" w:rsidRPr="001E2E18" w:rsidRDefault="0021782F" w:rsidP="0021782F">
            <w:pPr>
              <w:pStyle w:val="BodyText"/>
              <w:widowControl w:val="0"/>
              <w:numPr>
                <w:ilvl w:val="0"/>
                <w:numId w:val="6"/>
              </w:numPr>
              <w:spacing w:line="320" w:lineRule="exact"/>
              <w:jc w:val="left"/>
              <w:rPr>
                <w:rFonts w:asciiTheme="minorHAnsi" w:hAnsiTheme="minorHAnsi"/>
              </w:rPr>
            </w:pPr>
            <w:r w:rsidRPr="001E2E18">
              <w:rPr>
                <w:rFonts w:asciiTheme="minorHAnsi" w:hAnsiTheme="minorHAnsi"/>
                <w:sz w:val="22"/>
                <w:szCs w:val="22"/>
              </w:rPr>
              <w:t>Who should be responsible for the communications from the PMUs?</w:t>
            </w:r>
          </w:p>
        </w:tc>
        <w:tc>
          <w:tcPr>
            <w:tcW w:w="1800" w:type="dxa"/>
          </w:tcPr>
          <w:p w:rsidR="0021782F" w:rsidRDefault="0021782F" w:rsidP="00811C6B">
            <w:r>
              <w:t>Tabled</w:t>
            </w:r>
          </w:p>
          <w:p w:rsidR="0021782F" w:rsidRDefault="0021782F" w:rsidP="00811C6B"/>
          <w:p w:rsidR="0021782F" w:rsidRPr="001E2E18" w:rsidRDefault="0021782F" w:rsidP="00811C6B">
            <w:r>
              <w:t xml:space="preserve">David Bogen + Carlos Casablanca + </w:t>
            </w:r>
            <w:r w:rsidRPr="0098760B">
              <w:rPr>
                <w:b/>
                <w:color w:val="FF0000"/>
              </w:rPr>
              <w:t>ERCOT IT staff to be named</w:t>
            </w:r>
            <w:r>
              <w:t xml:space="preserve"> (Communications aspect)</w:t>
            </w:r>
          </w:p>
        </w:tc>
        <w:tc>
          <w:tcPr>
            <w:tcW w:w="1620" w:type="dxa"/>
          </w:tcPr>
          <w:p w:rsidR="0021782F" w:rsidRDefault="0021782F" w:rsidP="00811C6B">
            <w:r>
              <w:t>PMU Connectivity Guide</w:t>
            </w:r>
          </w:p>
          <w:p w:rsidR="0021782F" w:rsidRDefault="0021782F" w:rsidP="00811C6B"/>
          <w:p w:rsidR="0021782F" w:rsidRPr="001E2E18" w:rsidRDefault="0021782F" w:rsidP="00811C6B">
            <w:r>
              <w:t>Plus section in final report.</w:t>
            </w:r>
          </w:p>
        </w:tc>
        <w:tc>
          <w:tcPr>
            <w:tcW w:w="3420" w:type="dxa"/>
          </w:tcPr>
          <w:p w:rsidR="0021782F" w:rsidRPr="001E2E18" w:rsidRDefault="0021782F" w:rsidP="00811C6B">
            <w:r>
              <w:t>Tabled, but the communications aspect will be researched.</w:t>
            </w:r>
          </w:p>
        </w:tc>
      </w:tr>
      <w:tr w:rsidR="0021782F" w:rsidRPr="001E2E18" w:rsidTr="00811C6B">
        <w:tc>
          <w:tcPr>
            <w:tcW w:w="415" w:type="dxa"/>
          </w:tcPr>
          <w:p w:rsidR="0021782F" w:rsidRPr="001E2E18" w:rsidRDefault="0021782F" w:rsidP="00811C6B">
            <w:pPr>
              <w:jc w:val="center"/>
            </w:pPr>
            <w:r w:rsidRPr="001E2E18">
              <w:t>5</w:t>
            </w:r>
          </w:p>
        </w:tc>
        <w:tc>
          <w:tcPr>
            <w:tcW w:w="3383" w:type="dxa"/>
          </w:tcPr>
          <w:p w:rsidR="0021782F" w:rsidRPr="008D529F" w:rsidRDefault="0021782F" w:rsidP="0021782F">
            <w:pPr>
              <w:pStyle w:val="BodyText"/>
              <w:widowControl w:val="0"/>
              <w:numPr>
                <w:ilvl w:val="0"/>
                <w:numId w:val="6"/>
              </w:numPr>
              <w:spacing w:line="320" w:lineRule="exact"/>
              <w:jc w:val="left"/>
              <w:rPr>
                <w:rFonts w:asciiTheme="minorHAnsi" w:hAnsiTheme="minorHAnsi"/>
              </w:rPr>
            </w:pPr>
            <w:r w:rsidRPr="001E2E18">
              <w:rPr>
                <w:rFonts w:asciiTheme="minorHAnsi" w:hAnsiTheme="minorHAnsi"/>
                <w:sz w:val="22"/>
                <w:szCs w:val="22"/>
              </w:rPr>
              <w:t xml:space="preserve">How should </w:t>
            </w:r>
            <w:proofErr w:type="spellStart"/>
            <w:r w:rsidRPr="001E2E18">
              <w:rPr>
                <w:rFonts w:asciiTheme="minorHAnsi" w:hAnsiTheme="minorHAnsi"/>
                <w:sz w:val="22"/>
                <w:szCs w:val="22"/>
              </w:rPr>
              <w:t>synchrophasor</w:t>
            </w:r>
            <w:proofErr w:type="spellEnd"/>
            <w:r w:rsidRPr="001E2E18">
              <w:rPr>
                <w:rFonts w:asciiTheme="minorHAnsi" w:hAnsiTheme="minorHAnsi"/>
                <w:sz w:val="22"/>
                <w:szCs w:val="22"/>
              </w:rPr>
              <w:t xml:space="preserve"> data be treated in terms of confidentiality?</w:t>
            </w:r>
          </w:p>
          <w:p w:rsidR="0021782F" w:rsidRPr="002C6E9B" w:rsidRDefault="0021782F" w:rsidP="0021782F">
            <w:pPr>
              <w:pStyle w:val="BodyText"/>
              <w:widowControl w:val="0"/>
              <w:numPr>
                <w:ilvl w:val="0"/>
                <w:numId w:val="6"/>
              </w:numPr>
              <w:spacing w:line="320" w:lineRule="exact"/>
              <w:jc w:val="left"/>
              <w:rPr>
                <w:rFonts w:asciiTheme="minorHAnsi" w:hAnsiTheme="minorHAnsi"/>
                <w:color w:val="4F81BD" w:themeColor="accent1"/>
              </w:rPr>
            </w:pPr>
            <w:r w:rsidRPr="002C6E9B">
              <w:rPr>
                <w:rFonts w:asciiTheme="minorHAnsi" w:hAnsiTheme="minorHAnsi"/>
                <w:color w:val="4F81BD" w:themeColor="accent1"/>
                <w:sz w:val="22"/>
                <w:szCs w:val="22"/>
              </w:rPr>
              <w:t>Leverag</w:t>
            </w:r>
            <w:bookmarkStart w:id="0" w:name="_GoBack"/>
            <w:bookmarkEnd w:id="0"/>
            <w:r w:rsidRPr="002C6E9B">
              <w:rPr>
                <w:rFonts w:asciiTheme="minorHAnsi" w:hAnsiTheme="minorHAnsi"/>
                <w:color w:val="4F81BD" w:themeColor="accent1"/>
                <w:sz w:val="22"/>
                <w:szCs w:val="22"/>
              </w:rPr>
              <w:t>e work in other interconnects</w:t>
            </w:r>
          </w:p>
        </w:tc>
        <w:tc>
          <w:tcPr>
            <w:tcW w:w="1800" w:type="dxa"/>
          </w:tcPr>
          <w:p w:rsidR="0021782F" w:rsidRPr="001E2E18" w:rsidRDefault="0021782F" w:rsidP="00811C6B">
            <w:r>
              <w:t>Alison Silverstein</w:t>
            </w:r>
          </w:p>
        </w:tc>
        <w:tc>
          <w:tcPr>
            <w:tcW w:w="1620" w:type="dxa"/>
          </w:tcPr>
          <w:p w:rsidR="0021782F" w:rsidRPr="001E2E18" w:rsidRDefault="0021782F" w:rsidP="00811C6B">
            <w:r>
              <w:t>ERCOT Market Participant agreement + WECC WISP data sharing agreement (merge)</w:t>
            </w:r>
          </w:p>
        </w:tc>
        <w:tc>
          <w:tcPr>
            <w:tcW w:w="3420" w:type="dxa"/>
          </w:tcPr>
          <w:p w:rsidR="0021782F" w:rsidRDefault="0021782F" w:rsidP="00811C6B">
            <w:r>
              <w:t>Assigned at 1/2014 mtg.</w:t>
            </w:r>
          </w:p>
          <w:p w:rsidR="0021782F" w:rsidRDefault="0021782F" w:rsidP="0021782F">
            <w:pPr>
              <w:pStyle w:val="ListParagraph"/>
              <w:numPr>
                <w:ilvl w:val="0"/>
                <w:numId w:val="7"/>
              </w:numPr>
            </w:pPr>
            <w:r>
              <w:t xml:space="preserve">Success in WECC w/WISP effort.  99 TOs, GOs, RCs signed.  Will request language from V. Van Zandt.  </w:t>
            </w:r>
          </w:p>
          <w:p w:rsidR="0021782F" w:rsidRDefault="0021782F" w:rsidP="0021782F">
            <w:pPr>
              <w:pStyle w:val="ListParagraph"/>
              <w:numPr>
                <w:ilvl w:val="0"/>
                <w:numId w:val="7"/>
              </w:numPr>
            </w:pPr>
            <w:r>
              <w:t>EIDSN functioning in EI among RCs. RFP for stand-alone network.  Legal doc still pending.</w:t>
            </w:r>
          </w:p>
          <w:p w:rsidR="0021782F" w:rsidRDefault="0021782F" w:rsidP="00811C6B">
            <w:r w:rsidRPr="0098760B">
              <w:rPr>
                <w:b/>
                <w:color w:val="FF0000"/>
              </w:rPr>
              <w:t>AI</w:t>
            </w:r>
            <w:r>
              <w:t xml:space="preserve"> – Bill to determine resource to speak with about ERCOT language governing this area.</w:t>
            </w:r>
          </w:p>
          <w:p w:rsidR="0021782F" w:rsidRPr="001E2E18" w:rsidRDefault="0021782F" w:rsidP="00811C6B">
            <w:r w:rsidRPr="0098760B">
              <w:rPr>
                <w:b/>
                <w:color w:val="FF0000"/>
              </w:rPr>
              <w:t>AI</w:t>
            </w:r>
            <w:r>
              <w:t xml:space="preserve"> – Milton to distribute CCET NDA.</w:t>
            </w:r>
          </w:p>
        </w:tc>
      </w:tr>
      <w:tr w:rsidR="0021782F" w:rsidRPr="001E2E18" w:rsidTr="00811C6B">
        <w:tc>
          <w:tcPr>
            <w:tcW w:w="415" w:type="dxa"/>
          </w:tcPr>
          <w:p w:rsidR="0021782F" w:rsidRPr="001E2E18" w:rsidRDefault="0021782F" w:rsidP="00811C6B">
            <w:pPr>
              <w:jc w:val="center"/>
            </w:pPr>
            <w:r w:rsidRPr="001E2E18">
              <w:t>6</w:t>
            </w:r>
          </w:p>
        </w:tc>
        <w:tc>
          <w:tcPr>
            <w:tcW w:w="3383" w:type="dxa"/>
          </w:tcPr>
          <w:p w:rsidR="0021782F" w:rsidRPr="008D529F" w:rsidRDefault="0021782F" w:rsidP="0021782F">
            <w:pPr>
              <w:pStyle w:val="BodyText"/>
              <w:widowControl w:val="0"/>
              <w:numPr>
                <w:ilvl w:val="0"/>
                <w:numId w:val="6"/>
              </w:numPr>
              <w:spacing w:line="320" w:lineRule="exact"/>
              <w:jc w:val="left"/>
              <w:rPr>
                <w:rFonts w:asciiTheme="minorHAnsi" w:hAnsiTheme="minorHAnsi"/>
              </w:rPr>
            </w:pPr>
            <w:r w:rsidRPr="001E2E18">
              <w:rPr>
                <w:rFonts w:asciiTheme="minorHAnsi" w:hAnsiTheme="minorHAnsi"/>
                <w:sz w:val="22"/>
                <w:szCs w:val="22"/>
              </w:rPr>
              <w:t xml:space="preserve">What reporting should be established for </w:t>
            </w:r>
            <w:proofErr w:type="spellStart"/>
            <w:r w:rsidRPr="001E2E18">
              <w:rPr>
                <w:rFonts w:asciiTheme="minorHAnsi" w:hAnsiTheme="minorHAnsi"/>
                <w:sz w:val="22"/>
                <w:szCs w:val="22"/>
              </w:rPr>
              <w:t>synchrophasor</w:t>
            </w:r>
            <w:proofErr w:type="spellEnd"/>
            <w:r w:rsidRPr="001E2E18">
              <w:rPr>
                <w:rFonts w:asciiTheme="minorHAnsi" w:hAnsiTheme="minorHAnsi"/>
                <w:sz w:val="22"/>
                <w:szCs w:val="22"/>
              </w:rPr>
              <w:t xml:space="preserve"> data? ROS/DWG/SPWG/PDCWG etc.</w:t>
            </w:r>
          </w:p>
          <w:p w:rsidR="0021782F" w:rsidRPr="002C6E9B" w:rsidRDefault="0021782F" w:rsidP="0021782F">
            <w:pPr>
              <w:pStyle w:val="BodyText"/>
              <w:widowControl w:val="0"/>
              <w:numPr>
                <w:ilvl w:val="0"/>
                <w:numId w:val="6"/>
              </w:numPr>
              <w:spacing w:line="320" w:lineRule="exact"/>
              <w:jc w:val="left"/>
              <w:rPr>
                <w:rFonts w:asciiTheme="minorHAnsi" w:hAnsiTheme="minorHAnsi"/>
                <w:color w:val="4F81BD" w:themeColor="accent1"/>
              </w:rPr>
            </w:pPr>
            <w:r w:rsidRPr="002C6E9B">
              <w:rPr>
                <w:rFonts w:asciiTheme="minorHAnsi" w:hAnsiTheme="minorHAnsi"/>
                <w:color w:val="4F81BD" w:themeColor="accent1"/>
                <w:sz w:val="22"/>
                <w:szCs w:val="22"/>
              </w:rPr>
              <w:t>OWG?</w:t>
            </w:r>
            <w:r>
              <w:rPr>
                <w:rFonts w:asciiTheme="minorHAnsi" w:hAnsiTheme="minorHAnsi"/>
                <w:color w:val="4F81BD" w:themeColor="accent1"/>
                <w:sz w:val="22"/>
                <w:szCs w:val="22"/>
              </w:rPr>
              <w:t xml:space="preserve">  BSWG?</w:t>
            </w:r>
          </w:p>
        </w:tc>
        <w:tc>
          <w:tcPr>
            <w:tcW w:w="1800" w:type="dxa"/>
          </w:tcPr>
          <w:p w:rsidR="0021782F" w:rsidRPr="001E2E18" w:rsidRDefault="0021782F" w:rsidP="00811C6B">
            <w:r>
              <w:t>Paul Rocha</w:t>
            </w:r>
          </w:p>
        </w:tc>
        <w:tc>
          <w:tcPr>
            <w:tcW w:w="1620" w:type="dxa"/>
          </w:tcPr>
          <w:p w:rsidR="0021782F" w:rsidRDefault="0021782F" w:rsidP="00811C6B">
            <w:r>
              <w:t>Include as section in report (less prescriptive than formal language revisions)</w:t>
            </w:r>
          </w:p>
          <w:p w:rsidR="0021782F" w:rsidRDefault="0021782F" w:rsidP="00811C6B"/>
          <w:p w:rsidR="0021782F" w:rsidRDefault="0021782F" w:rsidP="00811C6B">
            <w:r>
              <w:t xml:space="preserve">Modifications to </w:t>
            </w:r>
            <w:r>
              <w:lastRenderedPageBreak/>
              <w:t>Operations Report, PMU section?</w:t>
            </w:r>
          </w:p>
          <w:p w:rsidR="0021782F" w:rsidRDefault="0021782F" w:rsidP="00811C6B"/>
          <w:p w:rsidR="0021782F" w:rsidRDefault="0021782F" w:rsidP="00811C6B">
            <w:r>
              <w:t>Event categories?</w:t>
            </w:r>
          </w:p>
          <w:p w:rsidR="0021782F" w:rsidRDefault="0021782F" w:rsidP="0021782F">
            <w:pPr>
              <w:pStyle w:val="ListParagraph"/>
              <w:numPr>
                <w:ilvl w:val="0"/>
                <w:numId w:val="9"/>
              </w:numPr>
            </w:pPr>
            <w:proofErr w:type="spellStart"/>
            <w:r>
              <w:t>Df</w:t>
            </w:r>
            <w:proofErr w:type="spellEnd"/>
            <w:r>
              <w:t>/</w:t>
            </w:r>
            <w:proofErr w:type="spellStart"/>
            <w:r>
              <w:t>dt</w:t>
            </w:r>
            <w:proofErr w:type="spellEnd"/>
          </w:p>
          <w:p w:rsidR="0021782F" w:rsidRDefault="0021782F" w:rsidP="0021782F">
            <w:pPr>
              <w:pStyle w:val="ListParagraph"/>
              <w:numPr>
                <w:ilvl w:val="0"/>
                <w:numId w:val="9"/>
              </w:numPr>
            </w:pPr>
            <w:r>
              <w:t>Oscillation</w:t>
            </w:r>
          </w:p>
          <w:p w:rsidR="0021782F" w:rsidRPr="001E2E18" w:rsidRDefault="0021782F" w:rsidP="0021782F">
            <w:pPr>
              <w:pStyle w:val="ListParagraph"/>
              <w:numPr>
                <w:ilvl w:val="0"/>
                <w:numId w:val="9"/>
              </w:numPr>
            </w:pPr>
            <w:r>
              <w:t>Angle deviation</w:t>
            </w:r>
          </w:p>
        </w:tc>
        <w:tc>
          <w:tcPr>
            <w:tcW w:w="3420" w:type="dxa"/>
          </w:tcPr>
          <w:p w:rsidR="0021782F" w:rsidRDefault="0021782F" w:rsidP="00811C6B">
            <w:r>
              <w:lastRenderedPageBreak/>
              <w:t>Assigned at 1/2014 mtg.  Focus on use cases; ERCOT top 3 apps are priority.</w:t>
            </w:r>
          </w:p>
          <w:p w:rsidR="0021782F" w:rsidRDefault="0021782F" w:rsidP="0021782F">
            <w:pPr>
              <w:pStyle w:val="ListParagraph"/>
              <w:numPr>
                <w:ilvl w:val="0"/>
                <w:numId w:val="8"/>
              </w:numPr>
            </w:pPr>
            <w:r>
              <w:t xml:space="preserve">Gen </w:t>
            </w:r>
            <w:proofErr w:type="spellStart"/>
            <w:r>
              <w:t>Osc</w:t>
            </w:r>
            <w:proofErr w:type="spellEnd"/>
            <w:r>
              <w:t xml:space="preserve">. </w:t>
            </w:r>
            <w:r>
              <w:sym w:font="Wingdings" w:char="F0E0"/>
            </w:r>
            <w:r>
              <w:t xml:space="preserve"> ROS as-needed basis as part of event; associated data goes to WG as </w:t>
            </w:r>
            <w:r>
              <w:lastRenderedPageBreak/>
              <w:t>needed per ROS assignment.</w:t>
            </w:r>
          </w:p>
          <w:p w:rsidR="0021782F" w:rsidRDefault="0021782F" w:rsidP="0021782F">
            <w:pPr>
              <w:pStyle w:val="ListParagraph"/>
              <w:numPr>
                <w:ilvl w:val="0"/>
                <w:numId w:val="8"/>
              </w:numPr>
            </w:pPr>
            <w:r>
              <w:t xml:space="preserve">Model Val. </w:t>
            </w:r>
            <w:r>
              <w:sym w:font="Wingdings" w:char="F0E0"/>
            </w:r>
            <w:r>
              <w:t xml:space="preserve"> ERCOT dynamics modeling staff + DWG.  Feedback to RARF; akin to generator testing findings.</w:t>
            </w:r>
          </w:p>
          <w:p w:rsidR="0021782F" w:rsidRPr="001E2E18" w:rsidRDefault="0021782F" w:rsidP="0021782F">
            <w:pPr>
              <w:pStyle w:val="ListParagraph"/>
              <w:numPr>
                <w:ilvl w:val="0"/>
                <w:numId w:val="8"/>
              </w:numPr>
            </w:pPr>
            <w:r>
              <w:t xml:space="preserve">Dist. Analysis </w:t>
            </w:r>
            <w:r>
              <w:sym w:font="Wingdings" w:char="F0E0"/>
            </w:r>
            <w:r>
              <w:t xml:space="preserve"> shared upon request w/any ROS working group, as assigned (e.g. SPWG).  </w:t>
            </w:r>
            <w:r w:rsidRPr="0090645E">
              <w:rPr>
                <w:b/>
                <w:color w:val="FF0000"/>
              </w:rPr>
              <w:t>AI</w:t>
            </w:r>
            <w:r>
              <w:t xml:space="preserve"> – Paul poll WG chairs/vice-chairs for potential PMU uses.  </w:t>
            </w:r>
            <w:r w:rsidRPr="0083357B">
              <w:rPr>
                <w:b/>
                <w:color w:val="FF0000"/>
              </w:rPr>
              <w:t>AI</w:t>
            </w:r>
            <w:r>
              <w:t xml:space="preserve"> – Bill bring ERCOT detailed PMU report(s) to March meeting (</w:t>
            </w:r>
            <w:proofErr w:type="spellStart"/>
            <w:r>
              <w:t>osc</w:t>
            </w:r>
            <w:proofErr w:type="spellEnd"/>
            <w:r>
              <w:t>. event, fault event, system stress, etc).</w:t>
            </w:r>
          </w:p>
        </w:tc>
      </w:tr>
      <w:tr w:rsidR="0021782F" w:rsidRPr="001E2E18" w:rsidTr="00811C6B">
        <w:tc>
          <w:tcPr>
            <w:tcW w:w="415" w:type="dxa"/>
          </w:tcPr>
          <w:p w:rsidR="0021782F" w:rsidRPr="001E2E18" w:rsidRDefault="0021782F" w:rsidP="00811C6B">
            <w:pPr>
              <w:jc w:val="center"/>
            </w:pPr>
            <w:r w:rsidRPr="001E2E18">
              <w:lastRenderedPageBreak/>
              <w:t>7</w:t>
            </w:r>
          </w:p>
        </w:tc>
        <w:tc>
          <w:tcPr>
            <w:tcW w:w="3383" w:type="dxa"/>
          </w:tcPr>
          <w:p w:rsidR="0021782F" w:rsidRDefault="0021782F" w:rsidP="0021782F">
            <w:pPr>
              <w:pStyle w:val="BodyText"/>
              <w:widowControl w:val="0"/>
              <w:numPr>
                <w:ilvl w:val="0"/>
                <w:numId w:val="6"/>
              </w:numPr>
              <w:spacing w:line="320" w:lineRule="exact"/>
              <w:jc w:val="left"/>
              <w:rPr>
                <w:rFonts w:asciiTheme="minorHAnsi" w:hAnsiTheme="minorHAnsi"/>
                <w:sz w:val="22"/>
                <w:szCs w:val="22"/>
              </w:rPr>
            </w:pPr>
            <w:r w:rsidRPr="001E2E18">
              <w:rPr>
                <w:rFonts w:asciiTheme="minorHAnsi" w:hAnsiTheme="minorHAnsi"/>
                <w:sz w:val="22"/>
                <w:szCs w:val="22"/>
              </w:rPr>
              <w:t>What data retention should</w:t>
            </w:r>
            <w:r>
              <w:rPr>
                <w:rFonts w:asciiTheme="minorHAnsi" w:hAnsiTheme="minorHAnsi"/>
                <w:sz w:val="22"/>
                <w:szCs w:val="22"/>
              </w:rPr>
              <w:t xml:space="preserve"> be established for </w:t>
            </w:r>
            <w:proofErr w:type="spellStart"/>
            <w:r>
              <w:rPr>
                <w:rFonts w:asciiTheme="minorHAnsi" w:hAnsiTheme="minorHAnsi"/>
                <w:sz w:val="22"/>
                <w:szCs w:val="22"/>
              </w:rPr>
              <w:t>synchrophaso</w:t>
            </w:r>
            <w:r w:rsidRPr="001E2E18">
              <w:rPr>
                <w:rFonts w:asciiTheme="minorHAnsi" w:hAnsiTheme="minorHAnsi"/>
                <w:sz w:val="22"/>
                <w:szCs w:val="22"/>
              </w:rPr>
              <w:t>r</w:t>
            </w:r>
            <w:proofErr w:type="spellEnd"/>
            <w:r w:rsidRPr="001E2E18">
              <w:rPr>
                <w:rFonts w:asciiTheme="minorHAnsi" w:hAnsiTheme="minorHAnsi"/>
                <w:sz w:val="22"/>
                <w:szCs w:val="22"/>
              </w:rPr>
              <w:t xml:space="preserve"> data?</w:t>
            </w:r>
          </w:p>
          <w:p w:rsidR="0021782F" w:rsidRPr="002C6E9B" w:rsidRDefault="0021782F" w:rsidP="0021782F">
            <w:pPr>
              <w:pStyle w:val="BodyText"/>
              <w:widowControl w:val="0"/>
              <w:numPr>
                <w:ilvl w:val="0"/>
                <w:numId w:val="6"/>
              </w:numPr>
              <w:spacing w:line="320" w:lineRule="exact"/>
              <w:jc w:val="left"/>
              <w:rPr>
                <w:rFonts w:asciiTheme="minorHAnsi" w:hAnsiTheme="minorHAnsi"/>
                <w:color w:val="4F81BD" w:themeColor="accent1"/>
                <w:sz w:val="22"/>
                <w:szCs w:val="22"/>
              </w:rPr>
            </w:pPr>
            <w:r w:rsidRPr="002C6E9B">
              <w:rPr>
                <w:rFonts w:asciiTheme="minorHAnsi" w:hAnsiTheme="minorHAnsi"/>
                <w:color w:val="4F81BD" w:themeColor="accent1"/>
                <w:sz w:val="22"/>
                <w:szCs w:val="22"/>
              </w:rPr>
              <w:t>Archive by exception?  Events only?</w:t>
            </w:r>
          </w:p>
          <w:p w:rsidR="0021782F" w:rsidRPr="002C6E9B" w:rsidRDefault="0021782F" w:rsidP="0021782F">
            <w:pPr>
              <w:pStyle w:val="BodyText"/>
              <w:widowControl w:val="0"/>
              <w:numPr>
                <w:ilvl w:val="0"/>
                <w:numId w:val="6"/>
              </w:numPr>
              <w:spacing w:line="320" w:lineRule="exact"/>
              <w:jc w:val="left"/>
              <w:rPr>
                <w:rFonts w:asciiTheme="minorHAnsi" w:hAnsiTheme="minorHAnsi"/>
                <w:color w:val="4F81BD" w:themeColor="accent1"/>
                <w:sz w:val="22"/>
                <w:szCs w:val="22"/>
              </w:rPr>
            </w:pPr>
            <w:r w:rsidRPr="002C6E9B">
              <w:rPr>
                <w:rFonts w:asciiTheme="minorHAnsi" w:hAnsiTheme="minorHAnsi"/>
                <w:color w:val="4F81BD" w:themeColor="accent1"/>
                <w:sz w:val="22"/>
                <w:szCs w:val="22"/>
              </w:rPr>
              <w:t>Store locally vs. centrally?</w:t>
            </w:r>
          </w:p>
          <w:p w:rsidR="0021782F" w:rsidRDefault="0021782F" w:rsidP="0021782F">
            <w:pPr>
              <w:pStyle w:val="BodyText"/>
              <w:widowControl w:val="0"/>
              <w:numPr>
                <w:ilvl w:val="0"/>
                <w:numId w:val="6"/>
              </w:numPr>
              <w:spacing w:line="320" w:lineRule="exact"/>
              <w:jc w:val="left"/>
              <w:rPr>
                <w:rFonts w:asciiTheme="minorHAnsi" w:hAnsiTheme="minorHAnsi"/>
                <w:color w:val="4F81BD" w:themeColor="accent1"/>
                <w:sz w:val="22"/>
                <w:szCs w:val="22"/>
              </w:rPr>
            </w:pPr>
            <w:r w:rsidRPr="002C6E9B">
              <w:rPr>
                <w:rFonts w:asciiTheme="minorHAnsi" w:hAnsiTheme="minorHAnsi"/>
                <w:color w:val="4F81BD" w:themeColor="accent1"/>
                <w:sz w:val="22"/>
                <w:szCs w:val="22"/>
              </w:rPr>
              <w:t>Full sampling rate or down-sampled rate?</w:t>
            </w:r>
          </w:p>
          <w:p w:rsidR="0021782F" w:rsidRPr="002C6E9B" w:rsidRDefault="0021782F" w:rsidP="0021782F">
            <w:pPr>
              <w:pStyle w:val="BodyText"/>
              <w:widowControl w:val="0"/>
              <w:numPr>
                <w:ilvl w:val="0"/>
                <w:numId w:val="6"/>
              </w:numPr>
              <w:spacing w:line="320" w:lineRule="exact"/>
              <w:jc w:val="left"/>
              <w:rPr>
                <w:rFonts w:asciiTheme="minorHAnsi" w:hAnsiTheme="minorHAnsi"/>
                <w:color w:val="4F81BD" w:themeColor="accent1"/>
                <w:sz w:val="22"/>
                <w:szCs w:val="22"/>
              </w:rPr>
            </w:pPr>
            <w:r w:rsidRPr="002C6E9B">
              <w:rPr>
                <w:rFonts w:asciiTheme="minorHAnsi" w:hAnsiTheme="minorHAnsi"/>
                <w:color w:val="4F81BD" w:themeColor="accent1"/>
                <w:sz w:val="22"/>
                <w:szCs w:val="22"/>
              </w:rPr>
              <w:t>Off-line storage for older data?</w:t>
            </w:r>
          </w:p>
        </w:tc>
        <w:tc>
          <w:tcPr>
            <w:tcW w:w="1800" w:type="dxa"/>
          </w:tcPr>
          <w:p w:rsidR="0021782F" w:rsidRPr="001E2E18" w:rsidRDefault="0021782F" w:rsidP="00811C6B">
            <w:r>
              <w:t>Bill Blevins</w:t>
            </w:r>
          </w:p>
        </w:tc>
        <w:tc>
          <w:tcPr>
            <w:tcW w:w="1620" w:type="dxa"/>
          </w:tcPr>
          <w:p w:rsidR="0021782F" w:rsidRPr="001E2E18" w:rsidRDefault="0021782F" w:rsidP="00811C6B">
            <w:r>
              <w:t>Section in report: some minimum guidelines or requirements for storage duration/sampling rate/format/down-sampled data storage/tagging specific data sets (events, blue sky data)/channel specific data retention.</w:t>
            </w:r>
          </w:p>
        </w:tc>
        <w:tc>
          <w:tcPr>
            <w:tcW w:w="3420" w:type="dxa"/>
          </w:tcPr>
          <w:p w:rsidR="0021782F" w:rsidRDefault="0021782F" w:rsidP="00811C6B">
            <w:r>
              <w:t>Discussed at 1/2014 mtg.  Function of item 1.</w:t>
            </w:r>
          </w:p>
          <w:p w:rsidR="0021782F" w:rsidRPr="001E2E18" w:rsidRDefault="0021782F" w:rsidP="00811C6B">
            <w:r>
              <w:t>Implicated in part by PDC configuration work.  ERCOT is currently storing two weeks of data in real-time system (RTDMS); 400 days in PGDA system.  PRC-002 has a 10 day requirement.</w:t>
            </w:r>
          </w:p>
        </w:tc>
      </w:tr>
      <w:tr w:rsidR="0021782F" w:rsidRPr="001E2E18" w:rsidTr="00811C6B">
        <w:tc>
          <w:tcPr>
            <w:tcW w:w="415" w:type="dxa"/>
          </w:tcPr>
          <w:p w:rsidR="0021782F" w:rsidRPr="001E2E18" w:rsidRDefault="0021782F" w:rsidP="00811C6B">
            <w:pPr>
              <w:jc w:val="center"/>
            </w:pPr>
            <w:r w:rsidRPr="001E2E18">
              <w:t>8</w:t>
            </w:r>
          </w:p>
        </w:tc>
        <w:tc>
          <w:tcPr>
            <w:tcW w:w="3383" w:type="dxa"/>
          </w:tcPr>
          <w:p w:rsidR="0021782F" w:rsidRPr="001E2E18" w:rsidRDefault="0021782F" w:rsidP="0021782F">
            <w:pPr>
              <w:pStyle w:val="BodyText"/>
              <w:widowControl w:val="0"/>
              <w:numPr>
                <w:ilvl w:val="0"/>
                <w:numId w:val="6"/>
              </w:numPr>
              <w:spacing w:line="320" w:lineRule="exact"/>
              <w:jc w:val="left"/>
              <w:rPr>
                <w:rFonts w:asciiTheme="minorHAnsi" w:hAnsiTheme="minorHAnsi"/>
                <w:sz w:val="22"/>
                <w:szCs w:val="22"/>
              </w:rPr>
            </w:pPr>
            <w:r w:rsidRPr="001E2E18">
              <w:rPr>
                <w:rFonts w:asciiTheme="minorHAnsi" w:hAnsiTheme="minorHAnsi"/>
                <w:sz w:val="22"/>
                <w:szCs w:val="22"/>
              </w:rPr>
              <w:t>What are the CIP implications/requirements for the use of this data?</w:t>
            </w:r>
          </w:p>
        </w:tc>
        <w:tc>
          <w:tcPr>
            <w:tcW w:w="1800" w:type="dxa"/>
          </w:tcPr>
          <w:p w:rsidR="0021782F" w:rsidRPr="001E2E18" w:rsidRDefault="0021782F" w:rsidP="00811C6B">
            <w:r>
              <w:t>David Penney</w:t>
            </w:r>
          </w:p>
        </w:tc>
        <w:tc>
          <w:tcPr>
            <w:tcW w:w="1620" w:type="dxa"/>
          </w:tcPr>
          <w:p w:rsidR="0021782F" w:rsidRPr="001E2E18" w:rsidRDefault="0021782F" w:rsidP="00811C6B"/>
        </w:tc>
        <w:tc>
          <w:tcPr>
            <w:tcW w:w="3420" w:type="dxa"/>
          </w:tcPr>
          <w:p w:rsidR="0021782F" w:rsidRDefault="0021782F" w:rsidP="00811C6B">
            <w:r>
              <w:t>Assigned at 1/2014 mtg.</w:t>
            </w:r>
          </w:p>
          <w:p w:rsidR="0021782F" w:rsidRPr="001E2E18" w:rsidRDefault="0021782F" w:rsidP="00811C6B">
            <w:r>
              <w:t xml:space="preserve">Version 5 coming soon.  Criticality may depend on PMU use.  </w:t>
            </w:r>
            <w:r w:rsidRPr="0027281B">
              <w:rPr>
                <w:b/>
                <w:color w:val="FF0000"/>
              </w:rPr>
              <w:t>AI</w:t>
            </w:r>
            <w:r>
              <w:t xml:space="preserve"> – Kris to follow up with David.</w:t>
            </w:r>
          </w:p>
        </w:tc>
      </w:tr>
      <w:tr w:rsidR="0021782F" w:rsidRPr="002C6E9B" w:rsidTr="00811C6B">
        <w:tc>
          <w:tcPr>
            <w:tcW w:w="415" w:type="dxa"/>
          </w:tcPr>
          <w:p w:rsidR="0021782F" w:rsidRPr="002C6E9B" w:rsidRDefault="0021782F" w:rsidP="00811C6B">
            <w:pPr>
              <w:jc w:val="center"/>
              <w:rPr>
                <w:color w:val="4F81BD" w:themeColor="accent1"/>
              </w:rPr>
            </w:pPr>
            <w:r w:rsidRPr="002C6E9B">
              <w:rPr>
                <w:color w:val="4F81BD" w:themeColor="accent1"/>
              </w:rPr>
              <w:t>9</w:t>
            </w:r>
          </w:p>
        </w:tc>
        <w:tc>
          <w:tcPr>
            <w:tcW w:w="3383" w:type="dxa"/>
          </w:tcPr>
          <w:p w:rsidR="0021782F" w:rsidRPr="002C6E9B" w:rsidRDefault="0021782F" w:rsidP="0021782F">
            <w:pPr>
              <w:pStyle w:val="BodyText"/>
              <w:widowControl w:val="0"/>
              <w:numPr>
                <w:ilvl w:val="0"/>
                <w:numId w:val="6"/>
              </w:numPr>
              <w:spacing w:line="320" w:lineRule="exact"/>
              <w:jc w:val="left"/>
              <w:rPr>
                <w:rFonts w:asciiTheme="minorHAnsi" w:hAnsiTheme="minorHAnsi"/>
                <w:color w:val="4F81BD" w:themeColor="accent1"/>
                <w:sz w:val="22"/>
                <w:szCs w:val="22"/>
              </w:rPr>
            </w:pPr>
            <w:proofErr w:type="spellStart"/>
            <w:r w:rsidRPr="002C6E9B">
              <w:rPr>
                <w:rFonts w:asciiTheme="minorHAnsi" w:hAnsiTheme="minorHAnsi"/>
                <w:color w:val="4F81BD" w:themeColor="accent1"/>
                <w:sz w:val="22"/>
                <w:szCs w:val="22"/>
              </w:rPr>
              <w:t>Phasor</w:t>
            </w:r>
            <w:proofErr w:type="spellEnd"/>
            <w:r w:rsidRPr="002C6E9B">
              <w:rPr>
                <w:rFonts w:asciiTheme="minorHAnsi" w:hAnsiTheme="minorHAnsi"/>
                <w:color w:val="4F81BD" w:themeColor="accent1"/>
                <w:sz w:val="22"/>
                <w:szCs w:val="22"/>
              </w:rPr>
              <w:t xml:space="preserve"> data/applications </w:t>
            </w:r>
            <w:r>
              <w:rPr>
                <w:rFonts w:asciiTheme="minorHAnsi" w:hAnsiTheme="minorHAnsi"/>
                <w:color w:val="4F81BD" w:themeColor="accent1"/>
                <w:sz w:val="22"/>
                <w:szCs w:val="22"/>
              </w:rPr>
              <w:t xml:space="preserve">not previously identified </w:t>
            </w:r>
            <w:r w:rsidRPr="002C6E9B">
              <w:rPr>
                <w:rFonts w:asciiTheme="minorHAnsi" w:hAnsiTheme="minorHAnsi"/>
                <w:color w:val="4F81BD" w:themeColor="accent1"/>
                <w:sz w:val="22"/>
                <w:szCs w:val="22"/>
              </w:rPr>
              <w:t>that</w:t>
            </w:r>
            <w:r>
              <w:rPr>
                <w:rFonts w:asciiTheme="minorHAnsi" w:hAnsiTheme="minorHAnsi"/>
                <w:color w:val="4F81BD" w:themeColor="accent1"/>
                <w:sz w:val="22"/>
                <w:szCs w:val="22"/>
              </w:rPr>
              <w:t xml:space="preserve"> may</w:t>
            </w:r>
            <w:r w:rsidRPr="002C6E9B">
              <w:rPr>
                <w:rFonts w:asciiTheme="minorHAnsi" w:hAnsiTheme="minorHAnsi"/>
                <w:color w:val="4F81BD" w:themeColor="accent1"/>
                <w:sz w:val="22"/>
                <w:szCs w:val="22"/>
              </w:rPr>
              <w:t xml:space="preserve"> yield grid reliability/market benefits</w:t>
            </w:r>
            <w:r>
              <w:rPr>
                <w:rFonts w:asciiTheme="minorHAnsi" w:hAnsiTheme="minorHAnsi"/>
                <w:color w:val="4F81BD" w:themeColor="accent1"/>
                <w:sz w:val="22"/>
                <w:szCs w:val="22"/>
              </w:rPr>
              <w:t>.</w:t>
            </w:r>
          </w:p>
        </w:tc>
        <w:tc>
          <w:tcPr>
            <w:tcW w:w="1800" w:type="dxa"/>
          </w:tcPr>
          <w:p w:rsidR="0021782F" w:rsidRPr="002C6E9B" w:rsidRDefault="0021782F" w:rsidP="00811C6B">
            <w:pPr>
              <w:rPr>
                <w:color w:val="4F81BD" w:themeColor="accent1"/>
              </w:rPr>
            </w:pPr>
            <w:r w:rsidRPr="002C6E9B">
              <w:rPr>
                <w:color w:val="4F81BD" w:themeColor="accent1"/>
              </w:rPr>
              <w:t>All</w:t>
            </w:r>
          </w:p>
        </w:tc>
        <w:tc>
          <w:tcPr>
            <w:tcW w:w="1620" w:type="dxa"/>
          </w:tcPr>
          <w:p w:rsidR="0021782F" w:rsidRPr="002C6E9B" w:rsidRDefault="0021782F" w:rsidP="00811C6B">
            <w:pPr>
              <w:rPr>
                <w:color w:val="4F81BD" w:themeColor="accent1"/>
              </w:rPr>
            </w:pPr>
          </w:p>
        </w:tc>
        <w:tc>
          <w:tcPr>
            <w:tcW w:w="3420" w:type="dxa"/>
          </w:tcPr>
          <w:p w:rsidR="0021782F" w:rsidRPr="002C6E9B" w:rsidRDefault="0021782F" w:rsidP="00811C6B">
            <w:pPr>
              <w:rPr>
                <w:color w:val="4F81BD" w:themeColor="accent1"/>
              </w:rPr>
            </w:pPr>
            <w:r>
              <w:t>Assigned at 1/2014 mtg.</w:t>
            </w:r>
          </w:p>
        </w:tc>
      </w:tr>
    </w:tbl>
    <w:p w:rsidR="0021782F" w:rsidRDefault="0021782F" w:rsidP="0021782F">
      <w:pPr>
        <w:pStyle w:val="NoSpacing"/>
        <w:jc w:val="right"/>
      </w:pPr>
    </w:p>
    <w:sectPr w:rsidR="0021782F" w:rsidSect="00D515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4350C"/>
    <w:multiLevelType w:val="hybridMultilevel"/>
    <w:tmpl w:val="93D4B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166DE6"/>
    <w:multiLevelType w:val="hybridMultilevel"/>
    <w:tmpl w:val="BE1270A6"/>
    <w:lvl w:ilvl="0" w:tplc="47E21B2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010F10"/>
    <w:multiLevelType w:val="hybridMultilevel"/>
    <w:tmpl w:val="5046E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AC4A88"/>
    <w:multiLevelType w:val="hybridMultilevel"/>
    <w:tmpl w:val="1C266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147BC4"/>
    <w:multiLevelType w:val="hybridMultilevel"/>
    <w:tmpl w:val="76D8B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F5A074F"/>
    <w:multiLevelType w:val="hybridMultilevel"/>
    <w:tmpl w:val="73A03140"/>
    <w:lvl w:ilvl="0" w:tplc="FB048E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EEF4C3E"/>
    <w:multiLevelType w:val="hybridMultilevel"/>
    <w:tmpl w:val="2146ED44"/>
    <w:lvl w:ilvl="0" w:tplc="47E21B2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EA43462"/>
    <w:multiLevelType w:val="hybridMultilevel"/>
    <w:tmpl w:val="B62A1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F8F61FC"/>
    <w:multiLevelType w:val="hybridMultilevel"/>
    <w:tmpl w:val="78EA3F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2"/>
  </w:num>
  <w:num w:numId="3">
    <w:abstractNumId w:val="4"/>
  </w:num>
  <w:num w:numId="4">
    <w:abstractNumId w:val="3"/>
  </w:num>
  <w:num w:numId="5">
    <w:abstractNumId w:val="0"/>
  </w:num>
  <w:num w:numId="6">
    <w:abstractNumId w:val="8"/>
  </w:num>
  <w:num w:numId="7">
    <w:abstractNumId w:val="5"/>
  </w:num>
  <w:num w:numId="8">
    <w:abstractNumId w:val="6"/>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322E4"/>
    <w:rsid w:val="000173F1"/>
    <w:rsid w:val="000628B3"/>
    <w:rsid w:val="00085E8D"/>
    <w:rsid w:val="00090716"/>
    <w:rsid w:val="00097215"/>
    <w:rsid w:val="000A3803"/>
    <w:rsid w:val="000F1832"/>
    <w:rsid w:val="00114171"/>
    <w:rsid w:val="00132FE0"/>
    <w:rsid w:val="00142F5D"/>
    <w:rsid w:val="00147E2B"/>
    <w:rsid w:val="00153939"/>
    <w:rsid w:val="00171876"/>
    <w:rsid w:val="00174FF3"/>
    <w:rsid w:val="00185102"/>
    <w:rsid w:val="00185112"/>
    <w:rsid w:val="00185593"/>
    <w:rsid w:val="001A2057"/>
    <w:rsid w:val="001C63C1"/>
    <w:rsid w:val="001C6BD1"/>
    <w:rsid w:val="001E56D8"/>
    <w:rsid w:val="0021782F"/>
    <w:rsid w:val="002236D2"/>
    <w:rsid w:val="00240EFF"/>
    <w:rsid w:val="002B5BD8"/>
    <w:rsid w:val="002D5072"/>
    <w:rsid w:val="002D60E9"/>
    <w:rsid w:val="00307960"/>
    <w:rsid w:val="00351C05"/>
    <w:rsid w:val="003520F6"/>
    <w:rsid w:val="00352F85"/>
    <w:rsid w:val="00366624"/>
    <w:rsid w:val="003962DE"/>
    <w:rsid w:val="003A4813"/>
    <w:rsid w:val="003D6E62"/>
    <w:rsid w:val="003E5EDF"/>
    <w:rsid w:val="003F0EBD"/>
    <w:rsid w:val="00414FD0"/>
    <w:rsid w:val="00434765"/>
    <w:rsid w:val="004357F8"/>
    <w:rsid w:val="004414AB"/>
    <w:rsid w:val="00457DD6"/>
    <w:rsid w:val="004615FD"/>
    <w:rsid w:val="00487CB8"/>
    <w:rsid w:val="00496295"/>
    <w:rsid w:val="004A19D7"/>
    <w:rsid w:val="004C0BC3"/>
    <w:rsid w:val="004E1462"/>
    <w:rsid w:val="004E6AEB"/>
    <w:rsid w:val="004F525B"/>
    <w:rsid w:val="00504E76"/>
    <w:rsid w:val="005370A3"/>
    <w:rsid w:val="00582293"/>
    <w:rsid w:val="005A2D5F"/>
    <w:rsid w:val="005D3E39"/>
    <w:rsid w:val="005E3CCB"/>
    <w:rsid w:val="006131D4"/>
    <w:rsid w:val="006243F7"/>
    <w:rsid w:val="00630146"/>
    <w:rsid w:val="00632F51"/>
    <w:rsid w:val="00663308"/>
    <w:rsid w:val="006A0E8E"/>
    <w:rsid w:val="006A618A"/>
    <w:rsid w:val="006C2B14"/>
    <w:rsid w:val="00710D92"/>
    <w:rsid w:val="007129BA"/>
    <w:rsid w:val="00744F6E"/>
    <w:rsid w:val="00762DDB"/>
    <w:rsid w:val="00771A03"/>
    <w:rsid w:val="00773B5C"/>
    <w:rsid w:val="007863B7"/>
    <w:rsid w:val="007B2547"/>
    <w:rsid w:val="007C19CC"/>
    <w:rsid w:val="007C4FF6"/>
    <w:rsid w:val="007F64A9"/>
    <w:rsid w:val="00800402"/>
    <w:rsid w:val="00815C70"/>
    <w:rsid w:val="0082302B"/>
    <w:rsid w:val="00826EF4"/>
    <w:rsid w:val="00845547"/>
    <w:rsid w:val="008620A4"/>
    <w:rsid w:val="00895FE5"/>
    <w:rsid w:val="008A0D69"/>
    <w:rsid w:val="008A5977"/>
    <w:rsid w:val="008A7BBD"/>
    <w:rsid w:val="008B2636"/>
    <w:rsid w:val="008B360C"/>
    <w:rsid w:val="008C53A0"/>
    <w:rsid w:val="008C7C57"/>
    <w:rsid w:val="008D1066"/>
    <w:rsid w:val="008F3094"/>
    <w:rsid w:val="00916AA6"/>
    <w:rsid w:val="00953757"/>
    <w:rsid w:val="00954FB9"/>
    <w:rsid w:val="009734C2"/>
    <w:rsid w:val="00973D7B"/>
    <w:rsid w:val="009767E4"/>
    <w:rsid w:val="009A06F8"/>
    <w:rsid w:val="009B1AAF"/>
    <w:rsid w:val="009E1255"/>
    <w:rsid w:val="009E2966"/>
    <w:rsid w:val="00A12407"/>
    <w:rsid w:val="00A23D58"/>
    <w:rsid w:val="00A36415"/>
    <w:rsid w:val="00A37BC4"/>
    <w:rsid w:val="00A460A7"/>
    <w:rsid w:val="00A6040C"/>
    <w:rsid w:val="00A64A6E"/>
    <w:rsid w:val="00A92630"/>
    <w:rsid w:val="00A96CF0"/>
    <w:rsid w:val="00AC17FB"/>
    <w:rsid w:val="00AC20C5"/>
    <w:rsid w:val="00AE32A0"/>
    <w:rsid w:val="00AF49F0"/>
    <w:rsid w:val="00B322E4"/>
    <w:rsid w:val="00B356A1"/>
    <w:rsid w:val="00B51EC4"/>
    <w:rsid w:val="00B532A6"/>
    <w:rsid w:val="00B71FE0"/>
    <w:rsid w:val="00B75A96"/>
    <w:rsid w:val="00B81F92"/>
    <w:rsid w:val="00B902B6"/>
    <w:rsid w:val="00BB5DF1"/>
    <w:rsid w:val="00BD2128"/>
    <w:rsid w:val="00BD5F5C"/>
    <w:rsid w:val="00BE14B5"/>
    <w:rsid w:val="00BE33D7"/>
    <w:rsid w:val="00C066E7"/>
    <w:rsid w:val="00C17BA9"/>
    <w:rsid w:val="00C243EB"/>
    <w:rsid w:val="00C25885"/>
    <w:rsid w:val="00C25FBA"/>
    <w:rsid w:val="00C32904"/>
    <w:rsid w:val="00C3380E"/>
    <w:rsid w:val="00C6325B"/>
    <w:rsid w:val="00C636DC"/>
    <w:rsid w:val="00C65543"/>
    <w:rsid w:val="00C71622"/>
    <w:rsid w:val="00C8432F"/>
    <w:rsid w:val="00C87AFE"/>
    <w:rsid w:val="00CB5B2E"/>
    <w:rsid w:val="00CC3D7C"/>
    <w:rsid w:val="00CC436F"/>
    <w:rsid w:val="00CC595A"/>
    <w:rsid w:val="00CD1E77"/>
    <w:rsid w:val="00CE0824"/>
    <w:rsid w:val="00CE5347"/>
    <w:rsid w:val="00CE54CE"/>
    <w:rsid w:val="00CF3669"/>
    <w:rsid w:val="00CF7C5D"/>
    <w:rsid w:val="00D16CCF"/>
    <w:rsid w:val="00D31B64"/>
    <w:rsid w:val="00D42F4E"/>
    <w:rsid w:val="00D515D4"/>
    <w:rsid w:val="00D55EF2"/>
    <w:rsid w:val="00DB0204"/>
    <w:rsid w:val="00DF24B4"/>
    <w:rsid w:val="00E17B65"/>
    <w:rsid w:val="00E4168E"/>
    <w:rsid w:val="00E67286"/>
    <w:rsid w:val="00E84AF8"/>
    <w:rsid w:val="00E868C4"/>
    <w:rsid w:val="00EF038C"/>
    <w:rsid w:val="00F04DDA"/>
    <w:rsid w:val="00F14A75"/>
    <w:rsid w:val="00F21097"/>
    <w:rsid w:val="00F339F0"/>
    <w:rsid w:val="00F4253E"/>
    <w:rsid w:val="00F66EE9"/>
    <w:rsid w:val="00F70149"/>
    <w:rsid w:val="00F71B9F"/>
    <w:rsid w:val="00F80CC9"/>
    <w:rsid w:val="00F8508D"/>
    <w:rsid w:val="00F851AD"/>
    <w:rsid w:val="00FA593B"/>
    <w:rsid w:val="00FC4223"/>
    <w:rsid w:val="00FD13D1"/>
    <w:rsid w:val="00FD6D8D"/>
    <w:rsid w:val="00FE2039"/>
    <w:rsid w:val="00FE30BB"/>
    <w:rsid w:val="00FE64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5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22E4"/>
    <w:pPr>
      <w:spacing w:after="0" w:line="240" w:lineRule="auto"/>
    </w:pPr>
  </w:style>
  <w:style w:type="character" w:styleId="Hyperlink">
    <w:name w:val="Hyperlink"/>
    <w:basedOn w:val="DefaultParagraphFont"/>
    <w:uiPriority w:val="99"/>
    <w:unhideWhenUsed/>
    <w:rsid w:val="00240EFF"/>
    <w:rPr>
      <w:color w:val="0000FF" w:themeColor="hyperlink"/>
      <w:u w:val="single"/>
    </w:rPr>
  </w:style>
  <w:style w:type="character" w:styleId="FollowedHyperlink">
    <w:name w:val="FollowedHyperlink"/>
    <w:basedOn w:val="DefaultParagraphFont"/>
    <w:uiPriority w:val="99"/>
    <w:semiHidden/>
    <w:unhideWhenUsed/>
    <w:rsid w:val="00240EFF"/>
    <w:rPr>
      <w:color w:val="800080" w:themeColor="followedHyperlink"/>
      <w:u w:val="single"/>
    </w:rPr>
  </w:style>
  <w:style w:type="table" w:styleId="TableGrid">
    <w:name w:val="Table Grid"/>
    <w:basedOn w:val="TableNormal"/>
    <w:uiPriority w:val="59"/>
    <w:rsid w:val="002178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nhideWhenUsed/>
    <w:rsid w:val="0021782F"/>
    <w:pPr>
      <w:spacing w:after="0" w:line="24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rsid w:val="0021782F"/>
    <w:rPr>
      <w:rFonts w:ascii="Times New Roman" w:eastAsia="Times New Roman" w:hAnsi="Times New Roman" w:cs="Times New Roman"/>
      <w:sz w:val="24"/>
      <w:szCs w:val="20"/>
    </w:rPr>
  </w:style>
  <w:style w:type="paragraph" w:styleId="ListParagraph">
    <w:name w:val="List Paragraph"/>
    <w:basedOn w:val="Normal"/>
    <w:uiPriority w:val="34"/>
    <w:qFormat/>
    <w:rsid w:val="0021782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4</Pages>
  <Words>897</Words>
  <Characters>5113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5999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Koellner</dc:creator>
  <cp:keywords/>
  <dc:description/>
  <cp:lastModifiedBy>Kristian Koellner</cp:lastModifiedBy>
  <cp:revision>26</cp:revision>
  <dcterms:created xsi:type="dcterms:W3CDTF">2012-03-02T20:45:00Z</dcterms:created>
  <dcterms:modified xsi:type="dcterms:W3CDTF">2014-03-06T06:28:00Z</dcterms:modified>
</cp:coreProperties>
</file>