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824" w:rsidRPr="00215824" w:rsidRDefault="00215824" w:rsidP="008627D8">
      <w:pPr>
        <w:spacing w:after="200"/>
        <w:jc w:val="center"/>
        <w:rPr>
          <w:rFonts w:asciiTheme="minorHAnsi" w:hAnsiTheme="minorHAnsi"/>
          <w:b/>
          <w:sz w:val="28"/>
          <w:szCs w:val="28"/>
        </w:rPr>
      </w:pPr>
      <w:r w:rsidRPr="00215824">
        <w:rPr>
          <w:rFonts w:asciiTheme="minorHAnsi" w:hAnsiTheme="minorHAnsi"/>
          <w:b/>
          <w:sz w:val="28"/>
          <w:szCs w:val="28"/>
        </w:rPr>
        <w:t>Transmission Planning</w:t>
      </w:r>
      <w:r w:rsidR="008627D8">
        <w:rPr>
          <w:rFonts w:asciiTheme="minorHAnsi" w:hAnsiTheme="minorHAnsi"/>
          <w:b/>
          <w:sz w:val="28"/>
          <w:szCs w:val="28"/>
        </w:rPr>
        <w:t xml:space="preserve"> - </w:t>
      </w:r>
      <w:r w:rsidR="008627D8" w:rsidRPr="00215824">
        <w:rPr>
          <w:rFonts w:asciiTheme="minorHAnsi" w:hAnsiTheme="minorHAnsi"/>
          <w:b/>
          <w:sz w:val="28"/>
          <w:szCs w:val="28"/>
        </w:rPr>
        <w:t>Generation Congestion</w:t>
      </w:r>
    </w:p>
    <w:p w:rsidR="00215824" w:rsidRDefault="008627D8" w:rsidP="008627D8">
      <w:pPr>
        <w:spacing w:after="200"/>
        <w:jc w:val="center"/>
        <w:rPr>
          <w:rFonts w:asciiTheme="minorHAnsi" w:hAnsiTheme="minorHAnsi"/>
        </w:rPr>
      </w:pPr>
      <w:r>
        <w:rPr>
          <w:rFonts w:asciiTheme="minorHAnsi" w:hAnsiTheme="minorHAnsi"/>
        </w:rPr>
        <w:t xml:space="preserve"> Notes: </w:t>
      </w:r>
      <w:r w:rsidR="00215824">
        <w:rPr>
          <w:rFonts w:asciiTheme="minorHAnsi" w:hAnsiTheme="minorHAnsi"/>
        </w:rPr>
        <w:t xml:space="preserve">Initial Work Session </w:t>
      </w:r>
      <w:r>
        <w:rPr>
          <w:rFonts w:asciiTheme="minorHAnsi" w:hAnsiTheme="minorHAnsi"/>
        </w:rPr>
        <w:t>– February 19, 2014</w:t>
      </w:r>
    </w:p>
    <w:p w:rsidR="00F20B0E" w:rsidRDefault="00F20B0E" w:rsidP="008627D8">
      <w:pPr>
        <w:spacing w:after="200"/>
        <w:jc w:val="center"/>
        <w:rPr>
          <w:rFonts w:asciiTheme="minorHAnsi" w:hAnsiTheme="minorHAnsi"/>
        </w:rPr>
      </w:pPr>
      <w:r>
        <w:rPr>
          <w:rFonts w:asciiTheme="minorHAnsi" w:hAnsiTheme="minorHAnsi"/>
        </w:rPr>
        <w:t xml:space="preserve">Prepared by Charles DeWitt (LCRA) Session Leader </w:t>
      </w:r>
    </w:p>
    <w:p w:rsidR="00215824" w:rsidRDefault="00215824" w:rsidP="00877909">
      <w:pPr>
        <w:spacing w:after="200"/>
        <w:rPr>
          <w:rFonts w:asciiTheme="minorHAnsi" w:hAnsiTheme="minorHAnsi"/>
        </w:rPr>
      </w:pPr>
    </w:p>
    <w:p w:rsidR="00877909" w:rsidRPr="00B27F1F" w:rsidRDefault="00215824" w:rsidP="00877909">
      <w:pPr>
        <w:spacing w:after="200"/>
        <w:rPr>
          <w:rFonts w:asciiTheme="minorHAnsi" w:hAnsiTheme="minorHAnsi"/>
        </w:rPr>
      </w:pPr>
      <w:r>
        <w:rPr>
          <w:rFonts w:asciiTheme="minorHAnsi" w:hAnsiTheme="minorHAnsi"/>
        </w:rPr>
        <w:t xml:space="preserve">Meeting </w:t>
      </w:r>
      <w:r w:rsidR="00877909" w:rsidRPr="00B27F1F">
        <w:rPr>
          <w:rFonts w:asciiTheme="minorHAnsi" w:hAnsiTheme="minorHAnsi"/>
        </w:rPr>
        <w:t>Agenda</w:t>
      </w:r>
    </w:p>
    <w:p w:rsidR="00877909" w:rsidRPr="00B27F1F" w:rsidRDefault="00877909" w:rsidP="00877909">
      <w:pPr>
        <w:ind w:left="720" w:hanging="360"/>
        <w:rPr>
          <w:rFonts w:asciiTheme="minorHAnsi" w:hAnsiTheme="minorHAnsi"/>
        </w:rPr>
      </w:pPr>
      <w:r w:rsidRPr="00B27F1F">
        <w:rPr>
          <w:rFonts w:asciiTheme="minorHAnsi" w:hAnsiTheme="minorHAnsi" w:cstheme="minorHAnsi"/>
        </w:rPr>
        <w:t>1.</w:t>
      </w:r>
      <w:r w:rsidRPr="00B27F1F">
        <w:rPr>
          <w:rFonts w:asciiTheme="minorHAnsi" w:hAnsiTheme="minorHAnsi"/>
          <w:sz w:val="14"/>
          <w:szCs w:val="14"/>
        </w:rPr>
        <w:t xml:space="preserve">       </w:t>
      </w:r>
      <w:r w:rsidRPr="00B27F1F">
        <w:rPr>
          <w:rFonts w:asciiTheme="minorHAnsi" w:hAnsiTheme="minorHAnsi"/>
        </w:rPr>
        <w:t xml:space="preserve">Review </w:t>
      </w:r>
      <w:r w:rsidR="00A3486D">
        <w:rPr>
          <w:rFonts w:asciiTheme="minorHAnsi" w:hAnsiTheme="minorHAnsi"/>
        </w:rPr>
        <w:t xml:space="preserve">directive </w:t>
      </w:r>
      <w:r w:rsidRPr="00B27F1F">
        <w:rPr>
          <w:rFonts w:asciiTheme="minorHAnsi" w:hAnsiTheme="minorHAnsi"/>
        </w:rPr>
        <w:t xml:space="preserve">information from </w:t>
      </w:r>
      <w:r w:rsidR="00A3486D">
        <w:rPr>
          <w:rFonts w:asciiTheme="minorHAnsi" w:hAnsiTheme="minorHAnsi"/>
        </w:rPr>
        <w:t xml:space="preserve">January </w:t>
      </w:r>
      <w:r w:rsidRPr="00B27F1F">
        <w:rPr>
          <w:rFonts w:asciiTheme="minorHAnsi" w:hAnsiTheme="minorHAnsi"/>
        </w:rPr>
        <w:t>ROS</w:t>
      </w:r>
      <w:r w:rsidR="00A3486D">
        <w:rPr>
          <w:rFonts w:asciiTheme="minorHAnsi" w:hAnsiTheme="minorHAnsi"/>
        </w:rPr>
        <w:t xml:space="preserve"> </w:t>
      </w:r>
      <w:r w:rsidR="00F20B0E">
        <w:rPr>
          <w:rFonts w:asciiTheme="minorHAnsi" w:hAnsiTheme="minorHAnsi"/>
        </w:rPr>
        <w:t xml:space="preserve">meeting. </w:t>
      </w:r>
      <w:r w:rsidR="00A3486D">
        <w:rPr>
          <w:rFonts w:asciiTheme="minorHAnsi" w:hAnsiTheme="minorHAnsi"/>
        </w:rPr>
        <w:t xml:space="preserve"> </w:t>
      </w:r>
    </w:p>
    <w:p w:rsidR="00877909" w:rsidRPr="00B27F1F" w:rsidRDefault="00877909" w:rsidP="00877909">
      <w:pPr>
        <w:ind w:left="720" w:hanging="360"/>
        <w:rPr>
          <w:rFonts w:asciiTheme="minorHAnsi" w:hAnsiTheme="minorHAnsi"/>
        </w:rPr>
      </w:pPr>
      <w:r w:rsidRPr="00B27F1F">
        <w:rPr>
          <w:rFonts w:asciiTheme="minorHAnsi" w:hAnsiTheme="minorHAnsi" w:cstheme="minorHAnsi"/>
        </w:rPr>
        <w:t>2.</w:t>
      </w:r>
      <w:r w:rsidRPr="00B27F1F">
        <w:rPr>
          <w:rFonts w:asciiTheme="minorHAnsi" w:hAnsiTheme="minorHAnsi"/>
          <w:sz w:val="14"/>
          <w:szCs w:val="14"/>
        </w:rPr>
        <w:t xml:space="preserve">       </w:t>
      </w:r>
      <w:r w:rsidRPr="00B27F1F">
        <w:rPr>
          <w:rFonts w:asciiTheme="minorHAnsi" w:hAnsiTheme="minorHAnsi"/>
        </w:rPr>
        <w:t xml:space="preserve">Discuss approach to completing the assignment </w:t>
      </w:r>
      <w:r w:rsidR="00F20B0E">
        <w:rPr>
          <w:rFonts w:asciiTheme="minorHAnsi" w:hAnsiTheme="minorHAnsi"/>
        </w:rPr>
        <w:t>as out-lined by ROS Chair.</w:t>
      </w:r>
    </w:p>
    <w:p w:rsidR="00877909" w:rsidRPr="00B27F1F" w:rsidRDefault="00877909" w:rsidP="00877909">
      <w:pPr>
        <w:ind w:left="720" w:hanging="360"/>
        <w:rPr>
          <w:rFonts w:asciiTheme="minorHAnsi" w:hAnsiTheme="minorHAnsi"/>
        </w:rPr>
      </w:pPr>
      <w:r w:rsidRPr="00B27F1F">
        <w:rPr>
          <w:rFonts w:asciiTheme="minorHAnsi" w:hAnsiTheme="minorHAnsi" w:cstheme="minorHAnsi"/>
        </w:rPr>
        <w:t>3.</w:t>
      </w:r>
      <w:r w:rsidRPr="00B27F1F">
        <w:rPr>
          <w:rFonts w:asciiTheme="minorHAnsi" w:hAnsiTheme="minorHAnsi"/>
          <w:sz w:val="14"/>
          <w:szCs w:val="14"/>
        </w:rPr>
        <w:t xml:space="preserve">       </w:t>
      </w:r>
      <w:r w:rsidRPr="00B27F1F">
        <w:rPr>
          <w:rFonts w:asciiTheme="minorHAnsi" w:hAnsiTheme="minorHAnsi"/>
        </w:rPr>
        <w:t>Identify sections of the protocols or planning guides that need review.</w:t>
      </w:r>
    </w:p>
    <w:p w:rsidR="00877909" w:rsidRPr="00B27F1F" w:rsidRDefault="00877909" w:rsidP="00877909">
      <w:pPr>
        <w:spacing w:after="200"/>
        <w:ind w:left="720" w:hanging="360"/>
        <w:rPr>
          <w:rFonts w:asciiTheme="minorHAnsi" w:hAnsiTheme="minorHAnsi"/>
        </w:rPr>
      </w:pPr>
      <w:r w:rsidRPr="00B27F1F">
        <w:rPr>
          <w:rFonts w:asciiTheme="minorHAnsi" w:hAnsiTheme="minorHAnsi" w:cstheme="minorHAnsi"/>
        </w:rPr>
        <w:t>4.</w:t>
      </w:r>
      <w:r w:rsidRPr="00B27F1F">
        <w:rPr>
          <w:rFonts w:asciiTheme="minorHAnsi" w:hAnsiTheme="minorHAnsi"/>
          <w:sz w:val="14"/>
          <w:szCs w:val="14"/>
        </w:rPr>
        <w:t xml:space="preserve">       </w:t>
      </w:r>
      <w:r w:rsidRPr="00B27F1F">
        <w:rPr>
          <w:rFonts w:asciiTheme="minorHAnsi" w:hAnsiTheme="minorHAnsi"/>
        </w:rPr>
        <w:t>Identify Next Steps</w:t>
      </w:r>
    </w:p>
    <w:p w:rsidR="00877909" w:rsidRPr="00B27F1F" w:rsidRDefault="00877909" w:rsidP="00877909">
      <w:pPr>
        <w:spacing w:after="200"/>
        <w:rPr>
          <w:rFonts w:asciiTheme="minorHAnsi" w:hAnsiTheme="minorHAnsi"/>
        </w:rPr>
      </w:pPr>
      <w:r w:rsidRPr="00B27F1F">
        <w:rPr>
          <w:rFonts w:asciiTheme="minorHAnsi" w:hAnsiTheme="minorHAnsi"/>
        </w:rPr>
        <w:t>Notes:</w:t>
      </w:r>
    </w:p>
    <w:p w:rsidR="00B27F1F" w:rsidRPr="00B27F1F" w:rsidRDefault="00B27F1F" w:rsidP="00877909">
      <w:pPr>
        <w:pStyle w:val="ListParagraph"/>
        <w:numPr>
          <w:ilvl w:val="0"/>
          <w:numId w:val="1"/>
        </w:numPr>
        <w:rPr>
          <w:rFonts w:asciiTheme="minorHAnsi" w:hAnsiTheme="minorHAnsi"/>
        </w:rPr>
      </w:pPr>
      <w:r w:rsidRPr="00B27F1F">
        <w:rPr>
          <w:rFonts w:asciiTheme="minorHAnsi" w:hAnsiTheme="minorHAnsi"/>
        </w:rPr>
        <w:t>How did we get here?</w:t>
      </w:r>
    </w:p>
    <w:p w:rsidR="00877909" w:rsidRPr="00B27F1F" w:rsidRDefault="00877909" w:rsidP="00B27F1F">
      <w:pPr>
        <w:pStyle w:val="ListParagraph"/>
        <w:numPr>
          <w:ilvl w:val="1"/>
          <w:numId w:val="1"/>
        </w:numPr>
        <w:rPr>
          <w:rFonts w:asciiTheme="minorHAnsi" w:hAnsiTheme="minorHAnsi"/>
        </w:rPr>
      </w:pPr>
      <w:r w:rsidRPr="00B27F1F">
        <w:rPr>
          <w:rFonts w:asciiTheme="minorHAnsi" w:hAnsiTheme="minorHAnsi"/>
        </w:rPr>
        <w:t>Why Panhandle Study for future generation but not existing, constrained generation?</w:t>
      </w:r>
    </w:p>
    <w:p w:rsidR="00877909" w:rsidRPr="00B27F1F" w:rsidRDefault="00877909" w:rsidP="00B27F1F">
      <w:pPr>
        <w:pStyle w:val="ListParagraph"/>
        <w:numPr>
          <w:ilvl w:val="2"/>
          <w:numId w:val="1"/>
        </w:numPr>
        <w:rPr>
          <w:rFonts w:asciiTheme="minorHAnsi" w:hAnsiTheme="minorHAnsi"/>
        </w:rPr>
      </w:pPr>
      <w:r w:rsidRPr="00B27F1F">
        <w:rPr>
          <w:rFonts w:asciiTheme="minorHAnsi" w:hAnsiTheme="minorHAnsi"/>
        </w:rPr>
        <w:t>Panhandle Renewable Energy Zone study need identified as a result of the CREZ Reactive Study.</w:t>
      </w:r>
    </w:p>
    <w:p w:rsidR="00B27F1F" w:rsidRPr="00B27F1F" w:rsidRDefault="00877909" w:rsidP="00B27F1F">
      <w:pPr>
        <w:pStyle w:val="ListParagraph"/>
        <w:numPr>
          <w:ilvl w:val="2"/>
          <w:numId w:val="1"/>
        </w:numPr>
        <w:rPr>
          <w:rFonts w:asciiTheme="minorHAnsi" w:hAnsiTheme="minorHAnsi"/>
        </w:rPr>
      </w:pPr>
      <w:r w:rsidRPr="00B27F1F">
        <w:rPr>
          <w:rFonts w:asciiTheme="minorHAnsi" w:hAnsiTheme="minorHAnsi"/>
        </w:rPr>
        <w:t xml:space="preserve">Transmission improvements identified by PREZ will be subject to economic justification. </w:t>
      </w:r>
    </w:p>
    <w:p w:rsidR="00877909" w:rsidRPr="00B27F1F" w:rsidRDefault="00877909" w:rsidP="00B27F1F">
      <w:pPr>
        <w:pStyle w:val="ListParagraph"/>
        <w:numPr>
          <w:ilvl w:val="1"/>
          <w:numId w:val="1"/>
        </w:numPr>
        <w:rPr>
          <w:rFonts w:asciiTheme="minorHAnsi" w:hAnsiTheme="minorHAnsi"/>
        </w:rPr>
      </w:pPr>
      <w:r w:rsidRPr="00B27F1F">
        <w:rPr>
          <w:rFonts w:asciiTheme="minorHAnsi" w:hAnsiTheme="minorHAnsi"/>
        </w:rPr>
        <w:t>Do the existing protocols and guide</w:t>
      </w:r>
      <w:r w:rsidR="00B27F1F" w:rsidRPr="00B27F1F">
        <w:rPr>
          <w:rFonts w:asciiTheme="minorHAnsi" w:hAnsiTheme="minorHAnsi"/>
        </w:rPr>
        <w:t xml:space="preserve"> create an adequate obligation for ERCOT and TSPs to address congestion?</w:t>
      </w:r>
    </w:p>
    <w:p w:rsidR="00877909" w:rsidRPr="00B27F1F" w:rsidRDefault="00B27F1F" w:rsidP="00877909">
      <w:pPr>
        <w:ind w:left="720" w:hanging="360"/>
        <w:rPr>
          <w:rFonts w:asciiTheme="minorHAnsi" w:hAnsiTheme="minorHAnsi"/>
        </w:rPr>
      </w:pPr>
      <w:r w:rsidRPr="00B27F1F">
        <w:rPr>
          <w:rFonts w:asciiTheme="minorHAnsi" w:hAnsiTheme="minorHAnsi" w:cstheme="minorHAnsi"/>
        </w:rPr>
        <w:t>2</w:t>
      </w:r>
      <w:r w:rsidR="00877909" w:rsidRPr="00B27F1F">
        <w:rPr>
          <w:rFonts w:asciiTheme="minorHAnsi" w:hAnsiTheme="minorHAnsi" w:cstheme="minorHAnsi"/>
        </w:rPr>
        <w:t>.</w:t>
      </w:r>
      <w:r w:rsidR="00877909" w:rsidRPr="00B27F1F">
        <w:rPr>
          <w:rFonts w:asciiTheme="minorHAnsi" w:hAnsiTheme="minorHAnsi"/>
          <w:sz w:val="14"/>
          <w:szCs w:val="14"/>
        </w:rPr>
        <w:t>     </w:t>
      </w:r>
      <w:r w:rsidR="00877909" w:rsidRPr="00B27F1F">
        <w:rPr>
          <w:rFonts w:asciiTheme="minorHAnsi" w:hAnsiTheme="minorHAnsi"/>
        </w:rPr>
        <w:t>Identify roadblocks, if any, to transmission upgrades to allow full output of generation capability.</w:t>
      </w:r>
    </w:p>
    <w:p w:rsidR="00877909" w:rsidRPr="00B27F1F" w:rsidRDefault="00877909" w:rsidP="00877909">
      <w:pPr>
        <w:ind w:left="1440" w:hanging="360"/>
        <w:contextualSpacing/>
        <w:rPr>
          <w:rFonts w:asciiTheme="minorHAnsi" w:hAnsiTheme="minorHAnsi"/>
        </w:rPr>
      </w:pPr>
      <w:r w:rsidRPr="00B27F1F">
        <w:rPr>
          <w:rFonts w:asciiTheme="minorHAnsi" w:hAnsiTheme="minorHAnsi" w:cstheme="minorHAnsi"/>
        </w:rPr>
        <w:t>a.</w:t>
      </w:r>
      <w:r w:rsidRPr="00B27F1F">
        <w:rPr>
          <w:rFonts w:asciiTheme="minorHAnsi" w:hAnsiTheme="minorHAnsi"/>
          <w:sz w:val="14"/>
          <w:szCs w:val="14"/>
        </w:rPr>
        <w:t xml:space="preserve">       </w:t>
      </w:r>
      <w:r w:rsidRPr="00B27F1F">
        <w:rPr>
          <w:rFonts w:asciiTheme="minorHAnsi" w:hAnsiTheme="minorHAnsi"/>
        </w:rPr>
        <w:t>Initial interconnection</w:t>
      </w:r>
    </w:p>
    <w:p w:rsidR="00877909" w:rsidRPr="00B27F1F" w:rsidRDefault="00877909" w:rsidP="00877909">
      <w:pPr>
        <w:ind w:left="2160" w:hanging="180"/>
        <w:contextualSpacing/>
        <w:rPr>
          <w:rFonts w:asciiTheme="minorHAnsi" w:hAnsiTheme="minorHAnsi"/>
        </w:rPr>
      </w:pPr>
      <w:proofErr w:type="spellStart"/>
      <w:r w:rsidRPr="00B27F1F">
        <w:rPr>
          <w:rFonts w:asciiTheme="minorHAnsi" w:hAnsiTheme="minorHAnsi" w:cstheme="minorHAnsi"/>
        </w:rPr>
        <w:t>i</w:t>
      </w:r>
      <w:proofErr w:type="spellEnd"/>
      <w:r w:rsidRPr="00B27F1F">
        <w:rPr>
          <w:rFonts w:asciiTheme="minorHAnsi" w:hAnsiTheme="minorHAnsi" w:cstheme="minorHAnsi"/>
        </w:rPr>
        <w:t>.</w:t>
      </w:r>
      <w:r w:rsidRPr="00B27F1F">
        <w:rPr>
          <w:rFonts w:asciiTheme="minorHAnsi" w:hAnsiTheme="minorHAnsi"/>
          <w:sz w:val="14"/>
          <w:szCs w:val="14"/>
        </w:rPr>
        <w:t>   </w:t>
      </w:r>
      <w:r w:rsidRPr="00B27F1F">
        <w:rPr>
          <w:rFonts w:asciiTheme="minorHAnsi" w:hAnsiTheme="minorHAnsi"/>
        </w:rPr>
        <w:t xml:space="preserve">Section 5 of Planning Guides – determines facilities needed to reliably interconnect. </w:t>
      </w:r>
      <w:r w:rsidR="0040684B">
        <w:rPr>
          <w:rFonts w:asciiTheme="minorHAnsi" w:hAnsiTheme="minorHAnsi"/>
        </w:rPr>
        <w:t>How are some m</w:t>
      </w:r>
      <w:r w:rsidRPr="00B27F1F">
        <w:rPr>
          <w:rFonts w:asciiTheme="minorHAnsi" w:hAnsiTheme="minorHAnsi"/>
        </w:rPr>
        <w:t>ultiple interconnect requests in common portion of the system? Some utilities include other generation that is under study as a scenario. Generation by county is publicly available information.</w:t>
      </w:r>
    </w:p>
    <w:p w:rsidR="00B27F1F" w:rsidRPr="00B27F1F" w:rsidRDefault="00F20B0E" w:rsidP="00877909">
      <w:pPr>
        <w:ind w:left="2160" w:hanging="180"/>
        <w:contextualSpacing/>
        <w:rPr>
          <w:rFonts w:asciiTheme="minorHAnsi" w:hAnsiTheme="minorHAnsi"/>
        </w:rPr>
      </w:pPr>
      <w:proofErr w:type="gramStart"/>
      <w:r>
        <w:rPr>
          <w:rFonts w:asciiTheme="minorHAnsi" w:hAnsiTheme="minorHAnsi"/>
        </w:rPr>
        <w:t>ii</w:t>
      </w:r>
      <w:proofErr w:type="gramEnd"/>
      <w:r>
        <w:rPr>
          <w:rFonts w:asciiTheme="minorHAnsi" w:hAnsiTheme="minorHAnsi"/>
        </w:rPr>
        <w:t>.</w:t>
      </w:r>
      <w:r w:rsidR="00B27F1F" w:rsidRPr="00B27F1F">
        <w:rPr>
          <w:rFonts w:asciiTheme="minorHAnsi" w:hAnsiTheme="minorHAnsi"/>
        </w:rPr>
        <w:t xml:space="preserve"> Interconnect Studies are not intended to evaluate the commercial impact to existing generation or multiple contemporaneous generation additions.</w:t>
      </w:r>
    </w:p>
    <w:p w:rsidR="00877909" w:rsidRPr="00B27F1F" w:rsidRDefault="00877909" w:rsidP="00B27F1F">
      <w:pPr>
        <w:ind w:left="1260" w:firstLine="720"/>
        <w:contextualSpacing/>
        <w:rPr>
          <w:rFonts w:asciiTheme="minorHAnsi" w:hAnsiTheme="minorHAnsi"/>
        </w:rPr>
      </w:pPr>
      <w:r w:rsidRPr="00B27F1F">
        <w:rPr>
          <w:rFonts w:asciiTheme="minorHAnsi" w:hAnsiTheme="minorHAnsi" w:cstheme="minorHAnsi"/>
        </w:rPr>
        <w:t>ii</w:t>
      </w:r>
      <w:r w:rsidR="00B27F1F" w:rsidRPr="00B27F1F">
        <w:rPr>
          <w:rFonts w:asciiTheme="minorHAnsi" w:hAnsiTheme="minorHAnsi" w:cstheme="minorHAnsi"/>
        </w:rPr>
        <w:t>i</w:t>
      </w:r>
      <w:r w:rsidRPr="00B27F1F">
        <w:rPr>
          <w:rFonts w:asciiTheme="minorHAnsi" w:hAnsiTheme="minorHAnsi" w:cstheme="minorHAnsi"/>
        </w:rPr>
        <w:t>.</w:t>
      </w:r>
      <w:r w:rsidRPr="00B27F1F">
        <w:rPr>
          <w:rFonts w:asciiTheme="minorHAnsi" w:hAnsiTheme="minorHAnsi"/>
          <w:sz w:val="14"/>
          <w:szCs w:val="14"/>
        </w:rPr>
        <w:t> </w:t>
      </w:r>
      <w:r w:rsidRPr="00B27F1F">
        <w:rPr>
          <w:rFonts w:asciiTheme="minorHAnsi" w:hAnsiTheme="minorHAnsi"/>
        </w:rPr>
        <w:t xml:space="preserve">Section 3 of Nodal Operating Guides - </w:t>
      </w:r>
    </w:p>
    <w:p w:rsidR="00877909" w:rsidRPr="00B27F1F" w:rsidRDefault="00877909" w:rsidP="00877909">
      <w:pPr>
        <w:ind w:left="1440" w:hanging="360"/>
        <w:contextualSpacing/>
        <w:rPr>
          <w:rFonts w:asciiTheme="minorHAnsi" w:hAnsiTheme="minorHAnsi"/>
        </w:rPr>
      </w:pPr>
      <w:r w:rsidRPr="00B27F1F">
        <w:rPr>
          <w:rFonts w:asciiTheme="minorHAnsi" w:hAnsiTheme="minorHAnsi" w:cstheme="minorHAnsi"/>
        </w:rPr>
        <w:t>b.</w:t>
      </w:r>
      <w:r w:rsidRPr="00B27F1F">
        <w:rPr>
          <w:rFonts w:asciiTheme="minorHAnsi" w:hAnsiTheme="minorHAnsi"/>
          <w:sz w:val="14"/>
          <w:szCs w:val="14"/>
        </w:rPr>
        <w:t xml:space="preserve">      </w:t>
      </w:r>
      <w:r w:rsidRPr="00B27F1F">
        <w:rPr>
          <w:rFonts w:asciiTheme="minorHAnsi" w:hAnsiTheme="minorHAnsi"/>
        </w:rPr>
        <w:t xml:space="preserve">Changes in system over time. </w:t>
      </w:r>
    </w:p>
    <w:p w:rsidR="00877909" w:rsidRPr="00B27F1F" w:rsidRDefault="00877909" w:rsidP="00877909">
      <w:pPr>
        <w:ind w:left="2160" w:hanging="180"/>
        <w:contextualSpacing/>
        <w:rPr>
          <w:rFonts w:asciiTheme="minorHAnsi" w:hAnsiTheme="minorHAnsi"/>
        </w:rPr>
      </w:pPr>
      <w:proofErr w:type="spellStart"/>
      <w:r w:rsidRPr="00B27F1F">
        <w:rPr>
          <w:rFonts w:asciiTheme="minorHAnsi" w:hAnsiTheme="minorHAnsi" w:cstheme="minorHAnsi"/>
        </w:rPr>
        <w:t>i</w:t>
      </w:r>
      <w:proofErr w:type="spellEnd"/>
      <w:r w:rsidRPr="00B27F1F">
        <w:rPr>
          <w:rFonts w:asciiTheme="minorHAnsi" w:hAnsiTheme="minorHAnsi" w:cstheme="minorHAnsi"/>
        </w:rPr>
        <w:t>.</w:t>
      </w:r>
      <w:r w:rsidRPr="00B27F1F">
        <w:rPr>
          <w:rFonts w:asciiTheme="minorHAnsi" w:hAnsiTheme="minorHAnsi"/>
          <w:sz w:val="14"/>
          <w:szCs w:val="14"/>
        </w:rPr>
        <w:t> </w:t>
      </w:r>
      <w:r w:rsidRPr="00B27F1F">
        <w:rPr>
          <w:rFonts w:asciiTheme="minorHAnsi" w:hAnsiTheme="minorHAnsi"/>
        </w:rPr>
        <w:t>Should there be an obligation to provide for generation deliverability as there currently exists to serve load? Has planning criteria been drawn too narrowly? (Section 35 of PURA) What is definition of wholesale market (gen bus or hub, may be a basis for defining generation deliverability)?</w:t>
      </w:r>
    </w:p>
    <w:p w:rsidR="0040684B" w:rsidRDefault="00877909" w:rsidP="00877909">
      <w:pPr>
        <w:ind w:left="2160" w:hanging="180"/>
        <w:contextualSpacing/>
        <w:rPr>
          <w:rFonts w:asciiTheme="minorHAnsi" w:hAnsiTheme="minorHAnsi"/>
        </w:rPr>
      </w:pPr>
      <w:r w:rsidRPr="00B27F1F">
        <w:rPr>
          <w:rFonts w:asciiTheme="minorHAnsi" w:hAnsiTheme="minorHAnsi" w:cstheme="minorHAnsi"/>
        </w:rPr>
        <w:t>ii.</w:t>
      </w:r>
      <w:r w:rsidRPr="00B27F1F">
        <w:rPr>
          <w:rFonts w:asciiTheme="minorHAnsi" w:hAnsiTheme="minorHAnsi"/>
          <w:sz w:val="14"/>
          <w:szCs w:val="14"/>
        </w:rPr>
        <w:t> </w:t>
      </w:r>
      <w:r w:rsidRPr="00B27F1F">
        <w:rPr>
          <w:rFonts w:asciiTheme="minorHAnsi" w:hAnsiTheme="minorHAnsi"/>
        </w:rPr>
        <w:t xml:space="preserve">Historical congestion analysis (more than Monthly congestion constraint report to ROS) as a source of identifying projects. </w:t>
      </w:r>
      <w:r w:rsidR="0040684B">
        <w:rPr>
          <w:rFonts w:asciiTheme="minorHAnsi" w:hAnsiTheme="minorHAnsi"/>
        </w:rPr>
        <w:t xml:space="preserve">Should there be a definition of </w:t>
      </w:r>
      <w:r w:rsidRPr="00B27F1F">
        <w:rPr>
          <w:rFonts w:asciiTheme="minorHAnsi" w:hAnsiTheme="minorHAnsi"/>
        </w:rPr>
        <w:t>Chronic Congestion and requirement to resolve?</w:t>
      </w:r>
    </w:p>
    <w:p w:rsidR="00877909" w:rsidRPr="00B27F1F" w:rsidRDefault="00877909" w:rsidP="00877909">
      <w:pPr>
        <w:ind w:left="2160" w:hanging="180"/>
        <w:contextualSpacing/>
        <w:rPr>
          <w:rFonts w:asciiTheme="minorHAnsi" w:hAnsiTheme="minorHAnsi"/>
        </w:rPr>
      </w:pPr>
      <w:r w:rsidRPr="00B27F1F">
        <w:rPr>
          <w:rFonts w:asciiTheme="minorHAnsi" w:hAnsiTheme="minorHAnsi"/>
          <w:sz w:val="14"/>
          <w:szCs w:val="14"/>
        </w:rPr>
        <w:lastRenderedPageBreak/>
        <w:t>  </w:t>
      </w:r>
      <w:r w:rsidRPr="00B27F1F">
        <w:rPr>
          <w:rFonts w:asciiTheme="minorHAnsi" w:hAnsiTheme="minorHAnsi" w:cstheme="minorHAnsi"/>
        </w:rPr>
        <w:t>iii.</w:t>
      </w:r>
      <w:r w:rsidR="00F20B0E">
        <w:rPr>
          <w:rFonts w:asciiTheme="minorHAnsi" w:hAnsiTheme="minorHAnsi"/>
          <w:sz w:val="14"/>
          <w:szCs w:val="14"/>
        </w:rPr>
        <w:t>   </w:t>
      </w:r>
      <w:r w:rsidRPr="00B27F1F">
        <w:rPr>
          <w:rFonts w:asciiTheme="minorHAnsi" w:hAnsiTheme="minorHAnsi"/>
        </w:rPr>
        <w:t>Possible Creative solutions.</w:t>
      </w:r>
    </w:p>
    <w:p w:rsidR="00877909" w:rsidRPr="00B27F1F" w:rsidRDefault="00877909" w:rsidP="00877909">
      <w:pPr>
        <w:ind w:left="2880" w:hanging="360"/>
        <w:contextualSpacing/>
        <w:rPr>
          <w:rFonts w:asciiTheme="minorHAnsi" w:hAnsiTheme="minorHAnsi"/>
        </w:rPr>
      </w:pPr>
      <w:r w:rsidRPr="00B27F1F">
        <w:rPr>
          <w:rFonts w:asciiTheme="minorHAnsi" w:hAnsiTheme="minorHAnsi" w:cstheme="minorHAnsi"/>
        </w:rPr>
        <w:t>1.</w:t>
      </w:r>
      <w:r w:rsidRPr="00B27F1F">
        <w:rPr>
          <w:rFonts w:asciiTheme="minorHAnsi" w:hAnsiTheme="minorHAnsi"/>
          <w:sz w:val="14"/>
          <w:szCs w:val="14"/>
        </w:rPr>
        <w:t xml:space="preserve">       </w:t>
      </w:r>
      <w:r w:rsidRPr="00B27F1F">
        <w:rPr>
          <w:rFonts w:asciiTheme="minorHAnsi" w:hAnsiTheme="minorHAnsi"/>
        </w:rPr>
        <w:t xml:space="preserve">Market participant funded transmission upgrades in return for Congestion Revenue Rights. </w:t>
      </w:r>
    </w:p>
    <w:p w:rsidR="00877909" w:rsidRPr="00B27F1F" w:rsidRDefault="00877909" w:rsidP="00B27F1F">
      <w:pPr>
        <w:ind w:left="2880" w:hanging="360"/>
        <w:contextualSpacing/>
        <w:rPr>
          <w:rFonts w:asciiTheme="minorHAnsi" w:hAnsiTheme="minorHAnsi"/>
        </w:rPr>
      </w:pPr>
      <w:r w:rsidRPr="00B27F1F">
        <w:rPr>
          <w:rFonts w:asciiTheme="minorHAnsi" w:hAnsiTheme="minorHAnsi" w:cstheme="minorHAnsi"/>
        </w:rPr>
        <w:t>2.</w:t>
      </w:r>
      <w:r w:rsidRPr="00B27F1F">
        <w:rPr>
          <w:rFonts w:asciiTheme="minorHAnsi" w:hAnsiTheme="minorHAnsi"/>
          <w:sz w:val="14"/>
          <w:szCs w:val="14"/>
        </w:rPr>
        <w:t xml:space="preserve">       </w:t>
      </w:r>
      <w:r w:rsidR="0040684B">
        <w:rPr>
          <w:rFonts w:asciiTheme="minorHAnsi" w:hAnsiTheme="minorHAnsi"/>
        </w:rPr>
        <w:t>Change e</w:t>
      </w:r>
      <w:r w:rsidRPr="00B27F1F">
        <w:rPr>
          <w:rFonts w:asciiTheme="minorHAnsi" w:hAnsiTheme="minorHAnsi"/>
        </w:rPr>
        <w:t xml:space="preserve">conomic analysis to reflect system conditions that are more likely to exist over an 8760 period analysis. </w:t>
      </w:r>
    </w:p>
    <w:p w:rsidR="00877909" w:rsidRPr="00B27F1F" w:rsidRDefault="00877909" w:rsidP="00877909">
      <w:pPr>
        <w:ind w:left="1440" w:hanging="360"/>
        <w:contextualSpacing/>
        <w:rPr>
          <w:rFonts w:asciiTheme="minorHAnsi" w:hAnsiTheme="minorHAnsi"/>
        </w:rPr>
      </w:pPr>
      <w:r w:rsidRPr="00B27F1F">
        <w:rPr>
          <w:rFonts w:asciiTheme="minorHAnsi" w:hAnsiTheme="minorHAnsi" w:cstheme="minorHAnsi"/>
        </w:rPr>
        <w:t>c.</w:t>
      </w:r>
      <w:r w:rsidRPr="00B27F1F">
        <w:rPr>
          <w:rFonts w:asciiTheme="minorHAnsi" w:hAnsiTheme="minorHAnsi"/>
          <w:sz w:val="14"/>
          <w:szCs w:val="14"/>
        </w:rPr>
        <w:t xml:space="preserve">       </w:t>
      </w:r>
      <w:r w:rsidR="00B27F1F" w:rsidRPr="00B27F1F">
        <w:rPr>
          <w:rFonts w:asciiTheme="minorHAnsi" w:hAnsiTheme="minorHAnsi"/>
        </w:rPr>
        <w:t>The relationship between E</w:t>
      </w:r>
      <w:r w:rsidRPr="00B27F1F">
        <w:rPr>
          <w:rFonts w:asciiTheme="minorHAnsi" w:hAnsiTheme="minorHAnsi"/>
        </w:rPr>
        <w:t>conomic</w:t>
      </w:r>
      <w:r w:rsidR="00B27F1F" w:rsidRPr="00B27F1F">
        <w:rPr>
          <w:rFonts w:asciiTheme="minorHAnsi" w:hAnsiTheme="minorHAnsi"/>
        </w:rPr>
        <w:t xml:space="preserve"> Analysis</w:t>
      </w:r>
      <w:r w:rsidRPr="00B27F1F">
        <w:rPr>
          <w:rFonts w:asciiTheme="minorHAnsi" w:hAnsiTheme="minorHAnsi"/>
        </w:rPr>
        <w:t xml:space="preserve"> and Reliability</w:t>
      </w:r>
      <w:r w:rsidR="00B27F1F" w:rsidRPr="00B27F1F">
        <w:rPr>
          <w:rFonts w:asciiTheme="minorHAnsi" w:hAnsiTheme="minorHAnsi"/>
        </w:rPr>
        <w:t xml:space="preserve"> Analysis</w:t>
      </w:r>
    </w:p>
    <w:p w:rsidR="00877909" w:rsidRPr="00B27F1F" w:rsidRDefault="00877909" w:rsidP="00877909">
      <w:pPr>
        <w:ind w:left="2160" w:hanging="180"/>
        <w:contextualSpacing/>
        <w:rPr>
          <w:rFonts w:asciiTheme="minorHAnsi" w:hAnsiTheme="minorHAnsi"/>
        </w:rPr>
      </w:pPr>
      <w:proofErr w:type="spellStart"/>
      <w:r w:rsidRPr="00B27F1F">
        <w:rPr>
          <w:rFonts w:asciiTheme="minorHAnsi" w:hAnsiTheme="minorHAnsi" w:cstheme="minorHAnsi"/>
        </w:rPr>
        <w:t>i</w:t>
      </w:r>
      <w:proofErr w:type="spellEnd"/>
      <w:r w:rsidRPr="00B27F1F">
        <w:rPr>
          <w:rFonts w:asciiTheme="minorHAnsi" w:hAnsiTheme="minorHAnsi" w:cstheme="minorHAnsi"/>
        </w:rPr>
        <w:t>.</w:t>
      </w:r>
      <w:proofErr w:type="gramStart"/>
      <w:r w:rsidR="00F20B0E">
        <w:rPr>
          <w:rFonts w:asciiTheme="minorHAnsi" w:hAnsiTheme="minorHAnsi"/>
          <w:sz w:val="14"/>
          <w:szCs w:val="14"/>
        </w:rPr>
        <w:t>  </w:t>
      </w:r>
      <w:r w:rsidRPr="00B27F1F">
        <w:rPr>
          <w:rFonts w:asciiTheme="minorHAnsi" w:hAnsiTheme="minorHAnsi"/>
        </w:rPr>
        <w:t>Current</w:t>
      </w:r>
      <w:proofErr w:type="gramEnd"/>
      <w:r w:rsidRPr="00B27F1F">
        <w:rPr>
          <w:rFonts w:asciiTheme="minorHAnsi" w:hAnsiTheme="minorHAnsi"/>
        </w:rPr>
        <w:t xml:space="preserve"> studies/reports.</w:t>
      </w:r>
    </w:p>
    <w:p w:rsidR="00877909" w:rsidRPr="00B27F1F" w:rsidRDefault="00877909" w:rsidP="00877909">
      <w:pPr>
        <w:ind w:left="2880" w:hanging="360"/>
        <w:contextualSpacing/>
        <w:rPr>
          <w:rFonts w:asciiTheme="minorHAnsi" w:hAnsiTheme="minorHAnsi"/>
        </w:rPr>
      </w:pPr>
      <w:r w:rsidRPr="00B27F1F">
        <w:rPr>
          <w:rFonts w:asciiTheme="minorHAnsi" w:hAnsiTheme="minorHAnsi" w:cstheme="minorHAnsi"/>
        </w:rPr>
        <w:t>1.</w:t>
      </w:r>
      <w:r w:rsidRPr="00B27F1F">
        <w:rPr>
          <w:rFonts w:asciiTheme="minorHAnsi" w:hAnsiTheme="minorHAnsi"/>
          <w:sz w:val="14"/>
          <w:szCs w:val="14"/>
        </w:rPr>
        <w:t xml:space="preserve">       </w:t>
      </w:r>
      <w:r w:rsidRPr="00B27F1F">
        <w:rPr>
          <w:rFonts w:asciiTheme="minorHAnsi" w:hAnsiTheme="minorHAnsi"/>
        </w:rPr>
        <w:t>CDR assumes all generation can be delivered but cannot always be delivered</w:t>
      </w:r>
    </w:p>
    <w:p w:rsidR="00877909" w:rsidRPr="00B27F1F" w:rsidRDefault="00877909" w:rsidP="00877909">
      <w:pPr>
        <w:ind w:left="2880" w:hanging="360"/>
        <w:contextualSpacing/>
        <w:rPr>
          <w:rFonts w:asciiTheme="minorHAnsi" w:hAnsiTheme="minorHAnsi"/>
        </w:rPr>
      </w:pPr>
      <w:r w:rsidRPr="00B27F1F">
        <w:rPr>
          <w:rFonts w:asciiTheme="minorHAnsi" w:hAnsiTheme="minorHAnsi" w:cstheme="minorHAnsi"/>
        </w:rPr>
        <w:t>2.</w:t>
      </w:r>
      <w:r w:rsidRPr="00B27F1F">
        <w:rPr>
          <w:rFonts w:asciiTheme="minorHAnsi" w:hAnsiTheme="minorHAnsi"/>
          <w:sz w:val="14"/>
          <w:szCs w:val="14"/>
        </w:rPr>
        <w:t xml:space="preserve">       </w:t>
      </w:r>
      <w:r w:rsidRPr="00B27F1F">
        <w:rPr>
          <w:rFonts w:asciiTheme="minorHAnsi" w:hAnsiTheme="minorHAnsi"/>
        </w:rPr>
        <w:t>Congestion</w:t>
      </w:r>
    </w:p>
    <w:p w:rsidR="00877909" w:rsidRPr="00B27F1F" w:rsidRDefault="00877909" w:rsidP="00877909">
      <w:pPr>
        <w:ind w:left="2880" w:hanging="360"/>
        <w:contextualSpacing/>
        <w:rPr>
          <w:rFonts w:asciiTheme="minorHAnsi" w:hAnsiTheme="minorHAnsi"/>
        </w:rPr>
      </w:pPr>
      <w:r w:rsidRPr="00B27F1F">
        <w:rPr>
          <w:rFonts w:asciiTheme="minorHAnsi" w:hAnsiTheme="minorHAnsi" w:cstheme="minorHAnsi"/>
        </w:rPr>
        <w:t>3.</w:t>
      </w:r>
      <w:r w:rsidRPr="00B27F1F">
        <w:rPr>
          <w:rFonts w:asciiTheme="minorHAnsi" w:hAnsiTheme="minorHAnsi"/>
          <w:sz w:val="14"/>
          <w:szCs w:val="14"/>
        </w:rPr>
        <w:t xml:space="preserve">       </w:t>
      </w:r>
      <w:r w:rsidRPr="00B27F1F">
        <w:rPr>
          <w:rFonts w:asciiTheme="minorHAnsi" w:hAnsiTheme="minorHAnsi"/>
        </w:rPr>
        <w:t>Outages</w:t>
      </w:r>
    </w:p>
    <w:p w:rsidR="00877909" w:rsidRPr="00B27F1F" w:rsidRDefault="00877909" w:rsidP="00877909">
      <w:pPr>
        <w:ind w:left="2880" w:hanging="360"/>
        <w:contextualSpacing/>
        <w:rPr>
          <w:rFonts w:asciiTheme="minorHAnsi" w:hAnsiTheme="minorHAnsi"/>
        </w:rPr>
      </w:pPr>
      <w:r w:rsidRPr="00B27F1F">
        <w:rPr>
          <w:rFonts w:asciiTheme="minorHAnsi" w:hAnsiTheme="minorHAnsi" w:cstheme="minorHAnsi"/>
        </w:rPr>
        <w:t>4.</w:t>
      </w:r>
      <w:r w:rsidRPr="00B27F1F">
        <w:rPr>
          <w:rFonts w:asciiTheme="minorHAnsi" w:hAnsiTheme="minorHAnsi"/>
          <w:sz w:val="14"/>
          <w:szCs w:val="14"/>
        </w:rPr>
        <w:t> </w:t>
      </w:r>
      <w:r w:rsidR="00B27F1F" w:rsidRPr="00B27F1F">
        <w:rPr>
          <w:rFonts w:asciiTheme="minorHAnsi" w:hAnsiTheme="minorHAnsi"/>
          <w:sz w:val="14"/>
          <w:szCs w:val="14"/>
        </w:rPr>
        <w:t xml:space="preserve">     </w:t>
      </w:r>
      <w:r w:rsidR="00B27F1F" w:rsidRPr="00B27F1F">
        <w:rPr>
          <w:rFonts w:asciiTheme="minorHAnsi" w:hAnsiTheme="minorHAnsi"/>
        </w:rPr>
        <w:t>CD</w:t>
      </w:r>
      <w:r w:rsidRPr="00B27F1F">
        <w:rPr>
          <w:rFonts w:asciiTheme="minorHAnsi" w:hAnsiTheme="minorHAnsi"/>
        </w:rPr>
        <w:t>R Reserve Margin or LOLE study role as a market signal.</w:t>
      </w:r>
    </w:p>
    <w:p w:rsidR="00877909" w:rsidRPr="00B27F1F" w:rsidRDefault="00877909" w:rsidP="00877909">
      <w:pPr>
        <w:ind w:left="2880" w:hanging="360"/>
        <w:contextualSpacing/>
        <w:rPr>
          <w:rFonts w:asciiTheme="minorHAnsi" w:hAnsiTheme="minorHAnsi"/>
        </w:rPr>
      </w:pPr>
      <w:r w:rsidRPr="00B27F1F">
        <w:rPr>
          <w:rFonts w:asciiTheme="minorHAnsi" w:hAnsiTheme="minorHAnsi" w:cstheme="minorHAnsi"/>
        </w:rPr>
        <w:t>5.</w:t>
      </w:r>
      <w:r w:rsidRPr="00B27F1F">
        <w:rPr>
          <w:rFonts w:asciiTheme="minorHAnsi" w:hAnsiTheme="minorHAnsi"/>
          <w:sz w:val="14"/>
          <w:szCs w:val="14"/>
        </w:rPr>
        <w:t xml:space="preserve">       </w:t>
      </w:r>
      <w:r w:rsidRPr="00B27F1F">
        <w:rPr>
          <w:rFonts w:asciiTheme="minorHAnsi" w:hAnsiTheme="minorHAnsi"/>
        </w:rPr>
        <w:t>Dispatch of units to “zero” in current planning studies.</w:t>
      </w:r>
    </w:p>
    <w:p w:rsidR="00877909" w:rsidRPr="00B27F1F" w:rsidRDefault="00877909" w:rsidP="00877909">
      <w:pPr>
        <w:ind w:left="2160" w:hanging="180"/>
        <w:contextualSpacing/>
        <w:rPr>
          <w:rFonts w:asciiTheme="minorHAnsi" w:hAnsiTheme="minorHAnsi"/>
        </w:rPr>
      </w:pPr>
      <w:r w:rsidRPr="00B27F1F">
        <w:rPr>
          <w:rFonts w:asciiTheme="minorHAnsi" w:hAnsiTheme="minorHAnsi" w:cstheme="minorHAnsi"/>
        </w:rPr>
        <w:t>ii.</w:t>
      </w:r>
      <w:r w:rsidRPr="00B27F1F">
        <w:rPr>
          <w:rFonts w:asciiTheme="minorHAnsi" w:hAnsiTheme="minorHAnsi"/>
          <w:sz w:val="14"/>
          <w:szCs w:val="14"/>
        </w:rPr>
        <w:t> </w:t>
      </w:r>
      <w:r w:rsidRPr="00B27F1F">
        <w:rPr>
          <w:rFonts w:asciiTheme="minorHAnsi" w:hAnsiTheme="minorHAnsi"/>
        </w:rPr>
        <w:t>Pricing signal being lowered below the unconstrained marginal price for generators “behind” a constraint as a means of identification of project need. Another means may be RUC units or deployment of ancillary services. May also inform how large to build a proposed project.</w:t>
      </w:r>
    </w:p>
    <w:p w:rsidR="00877909" w:rsidRPr="00B27F1F" w:rsidRDefault="00B27F1F" w:rsidP="00475316">
      <w:pPr>
        <w:ind w:left="1440" w:hanging="360"/>
        <w:contextualSpacing/>
        <w:rPr>
          <w:rFonts w:asciiTheme="minorHAnsi" w:hAnsiTheme="minorHAnsi"/>
        </w:rPr>
      </w:pPr>
      <w:r>
        <w:rPr>
          <w:rFonts w:asciiTheme="minorHAnsi" w:hAnsiTheme="minorHAnsi" w:cstheme="minorHAnsi"/>
        </w:rPr>
        <w:t xml:space="preserve">     d</w:t>
      </w:r>
      <w:r w:rsidR="00877909" w:rsidRPr="00B27F1F">
        <w:rPr>
          <w:rFonts w:asciiTheme="minorHAnsi" w:hAnsiTheme="minorHAnsi" w:cstheme="minorHAnsi"/>
        </w:rPr>
        <w:t>.</w:t>
      </w:r>
      <w:r w:rsidR="00877909" w:rsidRPr="00475316">
        <w:rPr>
          <w:rFonts w:asciiTheme="minorHAnsi" w:hAnsiTheme="minorHAnsi" w:cstheme="minorHAnsi"/>
        </w:rPr>
        <w:t> PUCT Subst. Rule 25.199a. Purpose. The purpose of this section is to prescribe the procedures and criteria under which the commission may require an electric utility or a transmission and distribution utility to construct or enlarge facilities to ensure safe, reliable service and to reduce transmission constraints within the Electric Reliability Council of Texas (ERCOT) in a cost-effective manner.</w:t>
      </w:r>
    </w:p>
    <w:p w:rsidR="00877909" w:rsidRPr="00B27F1F" w:rsidRDefault="00475316" w:rsidP="00475316">
      <w:pPr>
        <w:ind w:left="2520" w:hanging="360"/>
        <w:contextualSpacing/>
        <w:rPr>
          <w:rFonts w:asciiTheme="minorHAnsi" w:hAnsiTheme="minorHAnsi"/>
        </w:rPr>
      </w:pPr>
      <w:proofErr w:type="spellStart"/>
      <w:r>
        <w:rPr>
          <w:rFonts w:asciiTheme="minorHAnsi" w:hAnsiTheme="minorHAnsi" w:cstheme="minorHAnsi"/>
        </w:rPr>
        <w:t>i</w:t>
      </w:r>
      <w:proofErr w:type="spellEnd"/>
      <w:r w:rsidR="00877909" w:rsidRPr="00B27F1F">
        <w:rPr>
          <w:rFonts w:asciiTheme="minorHAnsi" w:hAnsiTheme="minorHAnsi" w:cstheme="minorHAnsi"/>
        </w:rPr>
        <w:t>.</w:t>
      </w:r>
      <w:r w:rsidR="00877909" w:rsidRPr="00B27F1F">
        <w:rPr>
          <w:rFonts w:asciiTheme="minorHAnsi" w:hAnsiTheme="minorHAnsi"/>
          <w:sz w:val="14"/>
          <w:szCs w:val="14"/>
        </w:rPr>
        <w:t xml:space="preserve">       </w:t>
      </w:r>
      <w:r w:rsidR="00877909" w:rsidRPr="00B27F1F">
        <w:rPr>
          <w:rFonts w:asciiTheme="minorHAnsi" w:hAnsiTheme="minorHAnsi"/>
        </w:rPr>
        <w:t>The economic planning criteria as contained in the substantive rules: Is the criteria sufficient to address projects needed for “full” generator access to the grid (</w:t>
      </w:r>
      <w:proofErr w:type="spellStart"/>
      <w:r w:rsidR="00877909" w:rsidRPr="00B27F1F">
        <w:rPr>
          <w:rFonts w:asciiTheme="minorHAnsi" w:hAnsiTheme="minorHAnsi"/>
        </w:rPr>
        <w:t>eg</w:t>
      </w:r>
      <w:proofErr w:type="spellEnd"/>
      <w:r w:rsidR="00877909" w:rsidRPr="00B27F1F">
        <w:rPr>
          <w:rFonts w:asciiTheme="minorHAnsi" w:hAnsiTheme="minorHAnsi"/>
        </w:rPr>
        <w:t>. Peaking units)? How to define “full” generator access?</w:t>
      </w:r>
    </w:p>
    <w:p w:rsidR="00877909" w:rsidRPr="00B27F1F" w:rsidRDefault="00B74A8E" w:rsidP="00877909">
      <w:pPr>
        <w:ind w:left="720" w:hanging="360"/>
        <w:rPr>
          <w:rFonts w:asciiTheme="minorHAnsi" w:hAnsiTheme="minorHAnsi"/>
        </w:rPr>
      </w:pPr>
      <w:r>
        <w:rPr>
          <w:rFonts w:asciiTheme="minorHAnsi" w:hAnsiTheme="minorHAnsi" w:cstheme="minorHAnsi"/>
        </w:rPr>
        <w:t>4</w:t>
      </w:r>
      <w:r w:rsidR="00877909" w:rsidRPr="00B27F1F">
        <w:rPr>
          <w:rFonts w:asciiTheme="minorHAnsi" w:hAnsiTheme="minorHAnsi" w:cstheme="minorHAnsi"/>
        </w:rPr>
        <w:t>.</w:t>
      </w:r>
      <w:r w:rsidR="00877909" w:rsidRPr="00B27F1F">
        <w:rPr>
          <w:rFonts w:asciiTheme="minorHAnsi" w:hAnsiTheme="minorHAnsi"/>
          <w:sz w:val="14"/>
          <w:szCs w:val="14"/>
        </w:rPr>
        <w:t xml:space="preserve">       </w:t>
      </w:r>
      <w:r w:rsidR="00877909" w:rsidRPr="00B27F1F">
        <w:rPr>
          <w:rFonts w:asciiTheme="minorHAnsi" w:hAnsiTheme="minorHAnsi"/>
        </w:rPr>
        <w:t xml:space="preserve">How </w:t>
      </w:r>
      <w:r w:rsidR="0040684B">
        <w:rPr>
          <w:rFonts w:asciiTheme="minorHAnsi" w:hAnsiTheme="minorHAnsi"/>
        </w:rPr>
        <w:t>should team</w:t>
      </w:r>
      <w:r w:rsidR="00877909" w:rsidRPr="00B27F1F">
        <w:rPr>
          <w:rFonts w:asciiTheme="minorHAnsi" w:hAnsiTheme="minorHAnsi"/>
        </w:rPr>
        <w:t xml:space="preserve"> prioritize</w:t>
      </w:r>
      <w:r w:rsidR="0040684B">
        <w:rPr>
          <w:rFonts w:asciiTheme="minorHAnsi" w:hAnsiTheme="minorHAnsi"/>
        </w:rPr>
        <w:t xml:space="preserve"> questions for further investigation</w:t>
      </w:r>
      <w:r w:rsidR="00877909" w:rsidRPr="00B27F1F">
        <w:rPr>
          <w:rFonts w:asciiTheme="minorHAnsi" w:hAnsiTheme="minorHAnsi"/>
        </w:rPr>
        <w:t>?</w:t>
      </w:r>
    </w:p>
    <w:p w:rsidR="00877909" w:rsidRPr="00B27F1F" w:rsidRDefault="00877909" w:rsidP="00877909">
      <w:pPr>
        <w:ind w:left="1440" w:hanging="360"/>
        <w:contextualSpacing/>
        <w:rPr>
          <w:rFonts w:asciiTheme="minorHAnsi" w:hAnsiTheme="minorHAnsi"/>
        </w:rPr>
      </w:pPr>
      <w:r w:rsidRPr="00B27F1F">
        <w:rPr>
          <w:rFonts w:asciiTheme="minorHAnsi" w:hAnsiTheme="minorHAnsi" w:cstheme="minorHAnsi"/>
        </w:rPr>
        <w:t>a.</w:t>
      </w:r>
      <w:r w:rsidRPr="00B27F1F">
        <w:rPr>
          <w:rFonts w:asciiTheme="minorHAnsi" w:hAnsiTheme="minorHAnsi"/>
          <w:sz w:val="14"/>
          <w:szCs w:val="14"/>
        </w:rPr>
        <w:t>     </w:t>
      </w:r>
      <w:r w:rsidRPr="00B27F1F">
        <w:rPr>
          <w:rFonts w:asciiTheme="minorHAnsi" w:hAnsiTheme="minorHAnsi"/>
        </w:rPr>
        <w:t>Would legislative action be required?</w:t>
      </w:r>
      <w:r w:rsidR="00B27F1F" w:rsidRPr="00B27F1F">
        <w:rPr>
          <w:rFonts w:asciiTheme="minorHAnsi" w:hAnsiTheme="minorHAnsi"/>
        </w:rPr>
        <w:t xml:space="preserve"> Focus on issues that do not require legislative action.</w:t>
      </w:r>
    </w:p>
    <w:p w:rsidR="00877909" w:rsidRPr="00B27F1F" w:rsidRDefault="00877909" w:rsidP="00877909">
      <w:pPr>
        <w:ind w:left="1440" w:hanging="360"/>
        <w:contextualSpacing/>
        <w:rPr>
          <w:rFonts w:asciiTheme="minorHAnsi" w:hAnsiTheme="minorHAnsi"/>
        </w:rPr>
      </w:pPr>
      <w:r w:rsidRPr="00B27F1F">
        <w:rPr>
          <w:rFonts w:asciiTheme="minorHAnsi" w:hAnsiTheme="minorHAnsi" w:cstheme="minorHAnsi"/>
        </w:rPr>
        <w:t>b.</w:t>
      </w:r>
      <w:r w:rsidRPr="00B27F1F">
        <w:rPr>
          <w:rFonts w:asciiTheme="minorHAnsi" w:hAnsiTheme="minorHAnsi"/>
          <w:sz w:val="14"/>
          <w:szCs w:val="14"/>
        </w:rPr>
        <w:t>     </w:t>
      </w:r>
      <w:r w:rsidRPr="00B27F1F">
        <w:rPr>
          <w:rFonts w:asciiTheme="minorHAnsi" w:hAnsiTheme="minorHAnsi"/>
        </w:rPr>
        <w:t>Would Protocol revisions be needed?</w:t>
      </w:r>
      <w:r w:rsidRPr="00B27F1F">
        <w:rPr>
          <w:rFonts w:asciiTheme="minorHAnsi" w:hAnsiTheme="minorHAnsi"/>
          <w:sz w:val="14"/>
          <w:szCs w:val="14"/>
        </w:rPr>
        <w:t> </w:t>
      </w:r>
      <w:r w:rsidRPr="00B27F1F">
        <w:rPr>
          <w:rFonts w:asciiTheme="minorHAnsi" w:hAnsiTheme="minorHAnsi"/>
        </w:rPr>
        <w:t>Focus on areas that would require true-up as a result of a PGRR revision.</w:t>
      </w:r>
    </w:p>
    <w:p w:rsidR="00877909" w:rsidRPr="00B27F1F" w:rsidRDefault="00877909" w:rsidP="00877909">
      <w:pPr>
        <w:ind w:left="1440" w:hanging="360"/>
        <w:contextualSpacing/>
        <w:rPr>
          <w:rFonts w:asciiTheme="minorHAnsi" w:hAnsiTheme="minorHAnsi"/>
        </w:rPr>
      </w:pPr>
      <w:proofErr w:type="gramStart"/>
      <w:r w:rsidRPr="00B27F1F">
        <w:rPr>
          <w:rFonts w:asciiTheme="minorHAnsi" w:hAnsiTheme="minorHAnsi" w:cstheme="minorHAnsi"/>
        </w:rPr>
        <w:t>c</w:t>
      </w:r>
      <w:proofErr w:type="gramEnd"/>
      <w:r w:rsidRPr="00B27F1F">
        <w:rPr>
          <w:rFonts w:asciiTheme="minorHAnsi" w:hAnsiTheme="minorHAnsi" w:cstheme="minorHAnsi"/>
        </w:rPr>
        <w:t>.</w:t>
      </w:r>
      <w:r w:rsidRPr="00B27F1F">
        <w:rPr>
          <w:rFonts w:asciiTheme="minorHAnsi" w:hAnsiTheme="minorHAnsi"/>
          <w:sz w:val="14"/>
          <w:szCs w:val="14"/>
        </w:rPr>
        <w:t>      </w:t>
      </w:r>
      <w:r w:rsidRPr="00B27F1F">
        <w:rPr>
          <w:rFonts w:asciiTheme="minorHAnsi" w:hAnsiTheme="minorHAnsi"/>
        </w:rPr>
        <w:t>Would Planning Guide revisions be needed?</w:t>
      </w:r>
      <w:r w:rsidR="00B74A8E">
        <w:rPr>
          <w:rFonts w:asciiTheme="minorHAnsi" w:hAnsiTheme="minorHAnsi"/>
        </w:rPr>
        <w:t xml:space="preserve"> May propose if supportable.</w:t>
      </w:r>
    </w:p>
    <w:p w:rsidR="00877909" w:rsidRPr="00B27F1F" w:rsidRDefault="00877909" w:rsidP="00877909">
      <w:pPr>
        <w:spacing w:after="200"/>
        <w:ind w:left="1440" w:hanging="360"/>
        <w:contextualSpacing/>
        <w:rPr>
          <w:rFonts w:asciiTheme="minorHAnsi" w:hAnsiTheme="minorHAnsi"/>
        </w:rPr>
      </w:pPr>
      <w:r w:rsidRPr="00B27F1F">
        <w:rPr>
          <w:rFonts w:asciiTheme="minorHAnsi" w:hAnsiTheme="minorHAnsi" w:cstheme="minorHAnsi"/>
        </w:rPr>
        <w:t>d.</w:t>
      </w:r>
      <w:r w:rsidRPr="00B27F1F">
        <w:rPr>
          <w:rFonts w:asciiTheme="minorHAnsi" w:hAnsiTheme="minorHAnsi"/>
          <w:sz w:val="14"/>
          <w:szCs w:val="14"/>
        </w:rPr>
        <w:t>     </w:t>
      </w:r>
      <w:r w:rsidRPr="00B27F1F">
        <w:rPr>
          <w:rFonts w:asciiTheme="minorHAnsi" w:hAnsiTheme="minorHAnsi"/>
        </w:rPr>
        <w:t>Are processes, study scopes, or common practices in need of review?</w:t>
      </w:r>
      <w:r w:rsidR="00B74A8E">
        <w:rPr>
          <w:rFonts w:asciiTheme="minorHAnsi" w:hAnsiTheme="minorHAnsi"/>
        </w:rPr>
        <w:t xml:space="preserve"> </w:t>
      </w:r>
    </w:p>
    <w:p w:rsidR="00877909" w:rsidRPr="00B27F1F" w:rsidRDefault="00877909" w:rsidP="00877909">
      <w:pPr>
        <w:spacing w:after="200"/>
        <w:contextualSpacing/>
        <w:rPr>
          <w:rFonts w:asciiTheme="minorHAnsi" w:hAnsiTheme="minorHAnsi"/>
        </w:rPr>
      </w:pPr>
      <w:r w:rsidRPr="00B27F1F">
        <w:rPr>
          <w:rFonts w:asciiTheme="minorHAnsi" w:hAnsiTheme="minorHAnsi"/>
        </w:rPr>
        <w:t xml:space="preserve">       </w:t>
      </w:r>
      <w:r w:rsidR="00B74A8E">
        <w:rPr>
          <w:rFonts w:asciiTheme="minorHAnsi" w:hAnsiTheme="minorHAnsi"/>
        </w:rPr>
        <w:t>5</w:t>
      </w:r>
      <w:r w:rsidRPr="00B27F1F">
        <w:rPr>
          <w:rFonts w:asciiTheme="minorHAnsi" w:hAnsiTheme="minorHAnsi"/>
        </w:rPr>
        <w:t>. Next steps:</w:t>
      </w:r>
    </w:p>
    <w:p w:rsidR="00877909" w:rsidRPr="00B27F1F" w:rsidRDefault="00877909" w:rsidP="00877909">
      <w:pPr>
        <w:spacing w:after="200"/>
        <w:ind w:left="720"/>
        <w:contextualSpacing/>
        <w:rPr>
          <w:rFonts w:asciiTheme="minorHAnsi" w:hAnsiTheme="minorHAnsi"/>
        </w:rPr>
      </w:pPr>
      <w:r w:rsidRPr="00B27F1F">
        <w:rPr>
          <w:rFonts w:asciiTheme="minorHAnsi" w:hAnsiTheme="minorHAnsi"/>
        </w:rPr>
        <w:t xml:space="preserve">a. Create draft status report for </w:t>
      </w:r>
      <w:r w:rsidR="00F20B0E">
        <w:rPr>
          <w:rFonts w:asciiTheme="minorHAnsi" w:hAnsiTheme="minorHAnsi"/>
        </w:rPr>
        <w:t xml:space="preserve">presentation to </w:t>
      </w:r>
      <w:r w:rsidRPr="00B27F1F">
        <w:rPr>
          <w:rFonts w:asciiTheme="minorHAnsi" w:hAnsiTheme="minorHAnsi"/>
        </w:rPr>
        <w:t>ROS</w:t>
      </w:r>
      <w:r w:rsidR="00F20B0E">
        <w:rPr>
          <w:rFonts w:asciiTheme="minorHAnsi" w:hAnsiTheme="minorHAnsi"/>
        </w:rPr>
        <w:t xml:space="preserve"> March Meeting</w:t>
      </w:r>
      <w:r w:rsidR="0040684B">
        <w:rPr>
          <w:rFonts w:asciiTheme="minorHAnsi" w:hAnsiTheme="minorHAnsi"/>
        </w:rPr>
        <w:t>.</w:t>
      </w:r>
    </w:p>
    <w:p w:rsidR="00877909" w:rsidRPr="00B27F1F" w:rsidRDefault="009538CC" w:rsidP="00877909">
      <w:pPr>
        <w:spacing w:after="200"/>
        <w:ind w:left="720"/>
        <w:contextualSpacing/>
        <w:rPr>
          <w:rFonts w:asciiTheme="minorHAnsi" w:hAnsiTheme="minorHAnsi"/>
        </w:rPr>
      </w:pPr>
      <w:r>
        <w:rPr>
          <w:rFonts w:asciiTheme="minorHAnsi" w:hAnsiTheme="minorHAnsi"/>
        </w:rPr>
        <w:t>b. Take directives</w:t>
      </w:r>
      <w:r w:rsidR="00475964">
        <w:rPr>
          <w:rFonts w:asciiTheme="minorHAnsi" w:hAnsiTheme="minorHAnsi"/>
        </w:rPr>
        <w:t xml:space="preserve"> from</w:t>
      </w:r>
      <w:bookmarkStart w:id="0" w:name="_GoBack"/>
      <w:bookmarkEnd w:id="0"/>
      <w:r>
        <w:rPr>
          <w:rFonts w:asciiTheme="minorHAnsi" w:hAnsiTheme="minorHAnsi"/>
        </w:rPr>
        <w:t xml:space="preserve"> </w:t>
      </w:r>
      <w:r w:rsidR="00F20B0E">
        <w:rPr>
          <w:rFonts w:asciiTheme="minorHAnsi" w:hAnsiTheme="minorHAnsi"/>
        </w:rPr>
        <w:t>ROS March Meeting for consideration at March PLWG Meeting</w:t>
      </w:r>
      <w:r w:rsidR="00877909" w:rsidRPr="00B27F1F">
        <w:rPr>
          <w:rFonts w:asciiTheme="minorHAnsi" w:hAnsiTheme="minorHAnsi"/>
        </w:rPr>
        <w:t>.</w:t>
      </w:r>
    </w:p>
    <w:p w:rsidR="00671BC0" w:rsidRPr="00B27F1F" w:rsidRDefault="00671BC0">
      <w:pPr>
        <w:rPr>
          <w:rFonts w:asciiTheme="minorHAnsi" w:hAnsiTheme="minorHAnsi"/>
        </w:rPr>
      </w:pPr>
    </w:p>
    <w:sectPr w:rsidR="00671BC0" w:rsidRPr="00B27F1F" w:rsidSect="00671B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214C45"/>
    <w:multiLevelType w:val="hybridMultilevel"/>
    <w:tmpl w:val="A53A4ACC"/>
    <w:lvl w:ilvl="0" w:tplc="AE269D3C">
      <w:start w:val="1"/>
      <w:numFmt w:val="decimal"/>
      <w:lvlText w:val="%1."/>
      <w:lvlJc w:val="left"/>
      <w:pPr>
        <w:ind w:left="780" w:hanging="420"/>
      </w:pPr>
      <w:rPr>
        <w:rFonts w:cstheme="minorHAns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77909"/>
    <w:rsid w:val="00001BA7"/>
    <w:rsid w:val="000118F0"/>
    <w:rsid w:val="00017094"/>
    <w:rsid w:val="00030AC1"/>
    <w:rsid w:val="000443FD"/>
    <w:rsid w:val="00050BF1"/>
    <w:rsid w:val="000546F2"/>
    <w:rsid w:val="0005783E"/>
    <w:rsid w:val="00057BC3"/>
    <w:rsid w:val="000917C1"/>
    <w:rsid w:val="00092315"/>
    <w:rsid w:val="000956DD"/>
    <w:rsid w:val="000A1133"/>
    <w:rsid w:val="000A31AC"/>
    <w:rsid w:val="000A7E00"/>
    <w:rsid w:val="000B10E8"/>
    <w:rsid w:val="000B23C9"/>
    <w:rsid w:val="000B7029"/>
    <w:rsid w:val="000C4A4B"/>
    <w:rsid w:val="000C6447"/>
    <w:rsid w:val="000D33AB"/>
    <w:rsid w:val="000D695D"/>
    <w:rsid w:val="000E17AE"/>
    <w:rsid w:val="000E3C9C"/>
    <w:rsid w:val="000F18B0"/>
    <w:rsid w:val="000F2FC2"/>
    <w:rsid w:val="000F4D14"/>
    <w:rsid w:val="00103C11"/>
    <w:rsid w:val="00105E70"/>
    <w:rsid w:val="0011369C"/>
    <w:rsid w:val="001140AC"/>
    <w:rsid w:val="00134CF2"/>
    <w:rsid w:val="00136A09"/>
    <w:rsid w:val="0014527D"/>
    <w:rsid w:val="00146F2D"/>
    <w:rsid w:val="0015098D"/>
    <w:rsid w:val="001555A2"/>
    <w:rsid w:val="001623D6"/>
    <w:rsid w:val="00164CF7"/>
    <w:rsid w:val="00171EF7"/>
    <w:rsid w:val="001747F5"/>
    <w:rsid w:val="0017641A"/>
    <w:rsid w:val="0019342C"/>
    <w:rsid w:val="001B5DF0"/>
    <w:rsid w:val="001C7421"/>
    <w:rsid w:val="001D3B78"/>
    <w:rsid w:val="001E0BAA"/>
    <w:rsid w:val="001E5B27"/>
    <w:rsid w:val="001F3704"/>
    <w:rsid w:val="00206A2A"/>
    <w:rsid w:val="00215824"/>
    <w:rsid w:val="00221622"/>
    <w:rsid w:val="002258A8"/>
    <w:rsid w:val="00237884"/>
    <w:rsid w:val="002406F5"/>
    <w:rsid w:val="00241233"/>
    <w:rsid w:val="00242CF7"/>
    <w:rsid w:val="00261E4B"/>
    <w:rsid w:val="00263C99"/>
    <w:rsid w:val="002669E9"/>
    <w:rsid w:val="002704F9"/>
    <w:rsid w:val="00282CDF"/>
    <w:rsid w:val="0029348E"/>
    <w:rsid w:val="002A3520"/>
    <w:rsid w:val="002A6C25"/>
    <w:rsid w:val="002B6213"/>
    <w:rsid w:val="002C4D7F"/>
    <w:rsid w:val="002D5170"/>
    <w:rsid w:val="002F6836"/>
    <w:rsid w:val="003119B4"/>
    <w:rsid w:val="003128A4"/>
    <w:rsid w:val="00322AE5"/>
    <w:rsid w:val="003407FA"/>
    <w:rsid w:val="00352384"/>
    <w:rsid w:val="003558D7"/>
    <w:rsid w:val="003721AC"/>
    <w:rsid w:val="003841BA"/>
    <w:rsid w:val="00390C4E"/>
    <w:rsid w:val="0039613B"/>
    <w:rsid w:val="003A5FD8"/>
    <w:rsid w:val="003B33CF"/>
    <w:rsid w:val="003B58F8"/>
    <w:rsid w:val="003C15BD"/>
    <w:rsid w:val="003D1D60"/>
    <w:rsid w:val="003E2B05"/>
    <w:rsid w:val="003F3889"/>
    <w:rsid w:val="0040684B"/>
    <w:rsid w:val="00411C4F"/>
    <w:rsid w:val="0042360A"/>
    <w:rsid w:val="004314BD"/>
    <w:rsid w:val="004355EF"/>
    <w:rsid w:val="00451CFC"/>
    <w:rsid w:val="00455431"/>
    <w:rsid w:val="004610CE"/>
    <w:rsid w:val="004613B9"/>
    <w:rsid w:val="00461C02"/>
    <w:rsid w:val="00462DE8"/>
    <w:rsid w:val="0046492A"/>
    <w:rsid w:val="00464C6F"/>
    <w:rsid w:val="00472C9C"/>
    <w:rsid w:val="00473DDF"/>
    <w:rsid w:val="00475316"/>
    <w:rsid w:val="00475350"/>
    <w:rsid w:val="00475964"/>
    <w:rsid w:val="004A0DD6"/>
    <w:rsid w:val="004A2FE0"/>
    <w:rsid w:val="004A300A"/>
    <w:rsid w:val="004C63FD"/>
    <w:rsid w:val="004C7088"/>
    <w:rsid w:val="004D0FAB"/>
    <w:rsid w:val="004D1B5F"/>
    <w:rsid w:val="004D7266"/>
    <w:rsid w:val="004E4DDE"/>
    <w:rsid w:val="004E60AD"/>
    <w:rsid w:val="004F4F15"/>
    <w:rsid w:val="00503F1E"/>
    <w:rsid w:val="005056D8"/>
    <w:rsid w:val="00515BD2"/>
    <w:rsid w:val="00530782"/>
    <w:rsid w:val="005378E1"/>
    <w:rsid w:val="005415DD"/>
    <w:rsid w:val="00542070"/>
    <w:rsid w:val="00547233"/>
    <w:rsid w:val="005815B6"/>
    <w:rsid w:val="00582379"/>
    <w:rsid w:val="00583E64"/>
    <w:rsid w:val="00586FEE"/>
    <w:rsid w:val="005A3064"/>
    <w:rsid w:val="005D0999"/>
    <w:rsid w:val="005E0CAD"/>
    <w:rsid w:val="005F30FE"/>
    <w:rsid w:val="005F353C"/>
    <w:rsid w:val="006045B0"/>
    <w:rsid w:val="00610F68"/>
    <w:rsid w:val="00615AF1"/>
    <w:rsid w:val="00625520"/>
    <w:rsid w:val="00632BD9"/>
    <w:rsid w:val="0063466A"/>
    <w:rsid w:val="00636451"/>
    <w:rsid w:val="0063776C"/>
    <w:rsid w:val="00656063"/>
    <w:rsid w:val="006651CE"/>
    <w:rsid w:val="00665CD4"/>
    <w:rsid w:val="006713F3"/>
    <w:rsid w:val="00671506"/>
    <w:rsid w:val="00671BC0"/>
    <w:rsid w:val="00675F7F"/>
    <w:rsid w:val="00677001"/>
    <w:rsid w:val="006A222C"/>
    <w:rsid w:val="006A2ACB"/>
    <w:rsid w:val="006A37FA"/>
    <w:rsid w:val="006B3A32"/>
    <w:rsid w:val="006B525B"/>
    <w:rsid w:val="006B68AB"/>
    <w:rsid w:val="006B705F"/>
    <w:rsid w:val="006B74DC"/>
    <w:rsid w:val="006C07F8"/>
    <w:rsid w:val="006D29F5"/>
    <w:rsid w:val="006E3896"/>
    <w:rsid w:val="006E5C03"/>
    <w:rsid w:val="006E6E9B"/>
    <w:rsid w:val="006E6EAD"/>
    <w:rsid w:val="0074710E"/>
    <w:rsid w:val="007631BB"/>
    <w:rsid w:val="00767C2A"/>
    <w:rsid w:val="00772796"/>
    <w:rsid w:val="007750BA"/>
    <w:rsid w:val="00781216"/>
    <w:rsid w:val="00782DE4"/>
    <w:rsid w:val="00794CF1"/>
    <w:rsid w:val="007A0100"/>
    <w:rsid w:val="007A47F2"/>
    <w:rsid w:val="007B2543"/>
    <w:rsid w:val="007B5B64"/>
    <w:rsid w:val="007B73FE"/>
    <w:rsid w:val="007C35C2"/>
    <w:rsid w:val="007C7B12"/>
    <w:rsid w:val="007D4F84"/>
    <w:rsid w:val="007E3530"/>
    <w:rsid w:val="007F329C"/>
    <w:rsid w:val="007F51B0"/>
    <w:rsid w:val="007F692E"/>
    <w:rsid w:val="00803FDD"/>
    <w:rsid w:val="0080562A"/>
    <w:rsid w:val="00837D45"/>
    <w:rsid w:val="008627D8"/>
    <w:rsid w:val="00863A49"/>
    <w:rsid w:val="0086581D"/>
    <w:rsid w:val="00865FCA"/>
    <w:rsid w:val="00877909"/>
    <w:rsid w:val="00883C84"/>
    <w:rsid w:val="00883CA3"/>
    <w:rsid w:val="008907EC"/>
    <w:rsid w:val="00894DB9"/>
    <w:rsid w:val="008A653F"/>
    <w:rsid w:val="008B6F81"/>
    <w:rsid w:val="008D1212"/>
    <w:rsid w:val="008D3CED"/>
    <w:rsid w:val="008D42AF"/>
    <w:rsid w:val="008D6150"/>
    <w:rsid w:val="008D6162"/>
    <w:rsid w:val="008E0024"/>
    <w:rsid w:val="008E66DE"/>
    <w:rsid w:val="008F3004"/>
    <w:rsid w:val="008F7406"/>
    <w:rsid w:val="009005F9"/>
    <w:rsid w:val="009126D8"/>
    <w:rsid w:val="00916D8D"/>
    <w:rsid w:val="00917C48"/>
    <w:rsid w:val="009204E7"/>
    <w:rsid w:val="0093760F"/>
    <w:rsid w:val="009443B2"/>
    <w:rsid w:val="00944D8E"/>
    <w:rsid w:val="00945500"/>
    <w:rsid w:val="00952A6C"/>
    <w:rsid w:val="009538CC"/>
    <w:rsid w:val="009542AF"/>
    <w:rsid w:val="00956526"/>
    <w:rsid w:val="00957193"/>
    <w:rsid w:val="00963893"/>
    <w:rsid w:val="00965E7F"/>
    <w:rsid w:val="009676FA"/>
    <w:rsid w:val="00981857"/>
    <w:rsid w:val="00982680"/>
    <w:rsid w:val="00987450"/>
    <w:rsid w:val="009A13EF"/>
    <w:rsid w:val="009B061F"/>
    <w:rsid w:val="009C041D"/>
    <w:rsid w:val="009C25CC"/>
    <w:rsid w:val="009C56D1"/>
    <w:rsid w:val="009E0C24"/>
    <w:rsid w:val="009E35CD"/>
    <w:rsid w:val="009F61BC"/>
    <w:rsid w:val="00A06C8C"/>
    <w:rsid w:val="00A06F3B"/>
    <w:rsid w:val="00A10195"/>
    <w:rsid w:val="00A11A40"/>
    <w:rsid w:val="00A1336F"/>
    <w:rsid w:val="00A17377"/>
    <w:rsid w:val="00A21AE3"/>
    <w:rsid w:val="00A301DB"/>
    <w:rsid w:val="00A346EA"/>
    <w:rsid w:val="00A3486D"/>
    <w:rsid w:val="00A37694"/>
    <w:rsid w:val="00A51E54"/>
    <w:rsid w:val="00A569C2"/>
    <w:rsid w:val="00A62D60"/>
    <w:rsid w:val="00A637EC"/>
    <w:rsid w:val="00A71B2A"/>
    <w:rsid w:val="00A9032A"/>
    <w:rsid w:val="00AA2DFF"/>
    <w:rsid w:val="00AA358D"/>
    <w:rsid w:val="00AA6C14"/>
    <w:rsid w:val="00AB1B37"/>
    <w:rsid w:val="00AB3E60"/>
    <w:rsid w:val="00AC4CEC"/>
    <w:rsid w:val="00AD507D"/>
    <w:rsid w:val="00AF13D0"/>
    <w:rsid w:val="00AF1AA9"/>
    <w:rsid w:val="00AF32E1"/>
    <w:rsid w:val="00AF6452"/>
    <w:rsid w:val="00AF73F4"/>
    <w:rsid w:val="00B12994"/>
    <w:rsid w:val="00B1670B"/>
    <w:rsid w:val="00B27F1F"/>
    <w:rsid w:val="00B313D5"/>
    <w:rsid w:val="00B35108"/>
    <w:rsid w:val="00B40845"/>
    <w:rsid w:val="00B451C0"/>
    <w:rsid w:val="00B74A8E"/>
    <w:rsid w:val="00B77B95"/>
    <w:rsid w:val="00B80D22"/>
    <w:rsid w:val="00B82B4A"/>
    <w:rsid w:val="00B83741"/>
    <w:rsid w:val="00B9246F"/>
    <w:rsid w:val="00B95380"/>
    <w:rsid w:val="00B9539C"/>
    <w:rsid w:val="00B969AB"/>
    <w:rsid w:val="00BB1FAB"/>
    <w:rsid w:val="00BB2D37"/>
    <w:rsid w:val="00BB39B1"/>
    <w:rsid w:val="00BC2902"/>
    <w:rsid w:val="00BC7D43"/>
    <w:rsid w:val="00BD0BD6"/>
    <w:rsid w:val="00BE1E4C"/>
    <w:rsid w:val="00BE6277"/>
    <w:rsid w:val="00C003BD"/>
    <w:rsid w:val="00C007F8"/>
    <w:rsid w:val="00C053BD"/>
    <w:rsid w:val="00C0679F"/>
    <w:rsid w:val="00C145E7"/>
    <w:rsid w:val="00C24CC2"/>
    <w:rsid w:val="00C25875"/>
    <w:rsid w:val="00C30658"/>
    <w:rsid w:val="00C4034C"/>
    <w:rsid w:val="00C46E5A"/>
    <w:rsid w:val="00C51FD1"/>
    <w:rsid w:val="00C57BFC"/>
    <w:rsid w:val="00C60E2E"/>
    <w:rsid w:val="00C6404F"/>
    <w:rsid w:val="00C738AF"/>
    <w:rsid w:val="00C76922"/>
    <w:rsid w:val="00C86067"/>
    <w:rsid w:val="00C8770B"/>
    <w:rsid w:val="00C9003C"/>
    <w:rsid w:val="00C93D1E"/>
    <w:rsid w:val="00C94063"/>
    <w:rsid w:val="00C94501"/>
    <w:rsid w:val="00CA2D45"/>
    <w:rsid w:val="00CA4F59"/>
    <w:rsid w:val="00CB48A9"/>
    <w:rsid w:val="00CB4ABE"/>
    <w:rsid w:val="00CB5B0E"/>
    <w:rsid w:val="00CC48A4"/>
    <w:rsid w:val="00CD2946"/>
    <w:rsid w:val="00CD7660"/>
    <w:rsid w:val="00CF1C02"/>
    <w:rsid w:val="00CF4E4F"/>
    <w:rsid w:val="00D05A46"/>
    <w:rsid w:val="00D128EE"/>
    <w:rsid w:val="00D21506"/>
    <w:rsid w:val="00D22EED"/>
    <w:rsid w:val="00D326AE"/>
    <w:rsid w:val="00D45E41"/>
    <w:rsid w:val="00D5295F"/>
    <w:rsid w:val="00D535BD"/>
    <w:rsid w:val="00D53FCD"/>
    <w:rsid w:val="00D543A4"/>
    <w:rsid w:val="00D54B0B"/>
    <w:rsid w:val="00D57471"/>
    <w:rsid w:val="00D678A7"/>
    <w:rsid w:val="00D81C90"/>
    <w:rsid w:val="00D91CC8"/>
    <w:rsid w:val="00DA274A"/>
    <w:rsid w:val="00DB7557"/>
    <w:rsid w:val="00DC59B5"/>
    <w:rsid w:val="00DC5A08"/>
    <w:rsid w:val="00DD5678"/>
    <w:rsid w:val="00DE0D3B"/>
    <w:rsid w:val="00DF3B08"/>
    <w:rsid w:val="00DF3C4D"/>
    <w:rsid w:val="00DF4C66"/>
    <w:rsid w:val="00E07BA0"/>
    <w:rsid w:val="00E12290"/>
    <w:rsid w:val="00E14815"/>
    <w:rsid w:val="00E23B98"/>
    <w:rsid w:val="00E25A18"/>
    <w:rsid w:val="00E32A85"/>
    <w:rsid w:val="00E56583"/>
    <w:rsid w:val="00E65C7E"/>
    <w:rsid w:val="00E70FF6"/>
    <w:rsid w:val="00E8077B"/>
    <w:rsid w:val="00E82FB9"/>
    <w:rsid w:val="00E93725"/>
    <w:rsid w:val="00EA5D6E"/>
    <w:rsid w:val="00EB01AA"/>
    <w:rsid w:val="00EC0BDD"/>
    <w:rsid w:val="00ED258C"/>
    <w:rsid w:val="00ED7CB0"/>
    <w:rsid w:val="00EE3960"/>
    <w:rsid w:val="00EE6891"/>
    <w:rsid w:val="00EE7E0B"/>
    <w:rsid w:val="00EF0C6A"/>
    <w:rsid w:val="00F12997"/>
    <w:rsid w:val="00F14D19"/>
    <w:rsid w:val="00F15E0F"/>
    <w:rsid w:val="00F20B0E"/>
    <w:rsid w:val="00F26B4D"/>
    <w:rsid w:val="00F37C51"/>
    <w:rsid w:val="00F518CB"/>
    <w:rsid w:val="00F53410"/>
    <w:rsid w:val="00F534CF"/>
    <w:rsid w:val="00F6390D"/>
    <w:rsid w:val="00F81D69"/>
    <w:rsid w:val="00F845A9"/>
    <w:rsid w:val="00F85594"/>
    <w:rsid w:val="00F86168"/>
    <w:rsid w:val="00F879B0"/>
    <w:rsid w:val="00F91BF1"/>
    <w:rsid w:val="00F94E80"/>
    <w:rsid w:val="00FA2791"/>
    <w:rsid w:val="00FB5C38"/>
    <w:rsid w:val="00FC5200"/>
    <w:rsid w:val="00FD3D41"/>
    <w:rsid w:val="00FD581B"/>
    <w:rsid w:val="00FE2950"/>
    <w:rsid w:val="00FE4A51"/>
    <w:rsid w:val="00FF2281"/>
    <w:rsid w:val="00FF67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7909"/>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F91BF1"/>
    <w:pPr>
      <w:keepNext/>
      <w:keepLines/>
      <w:spacing w:before="480" w:line="276" w:lineRule="auto"/>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1BF1"/>
    <w:rPr>
      <w:rFonts w:asciiTheme="majorHAnsi" w:eastAsiaTheme="majorEastAsia" w:hAnsiTheme="majorHAnsi" w:cstheme="majorBidi"/>
      <w:b/>
      <w:bCs/>
      <w:sz w:val="28"/>
      <w:szCs w:val="28"/>
    </w:rPr>
  </w:style>
  <w:style w:type="paragraph" w:styleId="Title">
    <w:name w:val="Title"/>
    <w:basedOn w:val="Normal"/>
    <w:next w:val="Normal"/>
    <w:link w:val="TitleChar"/>
    <w:uiPriority w:val="10"/>
    <w:qFormat/>
    <w:rsid w:val="004A300A"/>
    <w:pPr>
      <w:pBdr>
        <w:bottom w:val="single" w:sz="8" w:space="4" w:color="auto"/>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4A300A"/>
    <w:rPr>
      <w:rFonts w:asciiTheme="majorHAnsi" w:eastAsiaTheme="majorEastAsia" w:hAnsiTheme="majorHAnsi" w:cstheme="majorBidi"/>
      <w:spacing w:val="5"/>
      <w:kern w:val="28"/>
      <w:sz w:val="52"/>
      <w:szCs w:val="52"/>
    </w:rPr>
  </w:style>
  <w:style w:type="paragraph" w:styleId="ListParagraph">
    <w:name w:val="List Paragraph"/>
    <w:basedOn w:val="Normal"/>
    <w:uiPriority w:val="34"/>
    <w:qFormat/>
    <w:rsid w:val="00877909"/>
    <w:pPr>
      <w:ind w:left="720"/>
      <w:contextualSpacing/>
    </w:pPr>
  </w:style>
</w:styles>
</file>

<file path=word/webSettings.xml><?xml version="1.0" encoding="utf-8"?>
<w:webSettings xmlns:r="http://schemas.openxmlformats.org/officeDocument/2006/relationships" xmlns:w="http://schemas.openxmlformats.org/wordprocessingml/2006/main">
  <w:divs>
    <w:div w:id="109983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3535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4147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Charles DeWitt</dc:creator>
  <cp:keywords/>
  <dc:description/>
  <cp:lastModifiedBy>2/21/2014</cp:lastModifiedBy>
  <cp:revision>2</cp:revision>
  <dcterms:created xsi:type="dcterms:W3CDTF">2014-03-05T20:17:00Z</dcterms:created>
  <dcterms:modified xsi:type="dcterms:W3CDTF">2014-03-05T20:17:00Z</dcterms:modified>
</cp:coreProperties>
</file>