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615C41" w:rsidP="00A0788C">
      <w:pPr>
        <w:spacing w:after="0"/>
        <w:jc w:val="center"/>
        <w:rPr>
          <w:rFonts w:ascii="Times New Roman" w:hAnsi="Times New Roman" w:cs="Times New Roman"/>
        </w:rPr>
      </w:pPr>
      <w:r>
        <w:rPr>
          <w:rFonts w:ascii="Times New Roman" w:hAnsi="Times New Roman" w:cs="Times New Roman"/>
        </w:rPr>
        <w:t>Febr</w:t>
      </w:r>
      <w:r w:rsidR="00CE2E3E">
        <w:rPr>
          <w:rFonts w:ascii="Times New Roman" w:hAnsi="Times New Roman" w:cs="Times New Roman"/>
        </w:rPr>
        <w:t>uary, 2014</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615C41">
        <w:rPr>
          <w:rFonts w:ascii="Times New Roman" w:hAnsi="Times New Roman" w:cs="Times New Roman"/>
        </w:rPr>
        <w:t>g Group (OWG) met on January 2</w:t>
      </w:r>
      <w:r w:rsidR="00CE2E3E">
        <w:rPr>
          <w:rFonts w:ascii="Times New Roman" w:hAnsi="Times New Roman" w:cs="Times New Roman"/>
        </w:rPr>
        <w:t>7</w:t>
      </w:r>
      <w:r w:rsidR="00615C41">
        <w:rPr>
          <w:rFonts w:ascii="Times New Roman" w:hAnsi="Times New Roman" w:cs="Times New Roman"/>
        </w:rPr>
        <w:t>, 2014</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615C41">
        <w:rPr>
          <w:rFonts w:ascii="Times New Roman" w:hAnsi="Times New Roman" w:cs="Times New Roman"/>
        </w:rPr>
        <w:t>viewed and approved the December</w:t>
      </w:r>
      <w:r w:rsidR="003F08E7">
        <w:rPr>
          <w:rFonts w:ascii="Times New Roman" w:hAnsi="Times New Roman" w:cs="Times New Roman"/>
        </w:rPr>
        <w:t xml:space="preserve"> 2013</w:t>
      </w:r>
      <w:r w:rsidR="004F1D7B">
        <w:rPr>
          <w:rFonts w:ascii="Times New Roman" w:hAnsi="Times New Roman" w:cs="Times New Roman"/>
        </w:rPr>
        <w:t xml:space="preserve"> meeting notes</w:t>
      </w:r>
      <w:r w:rsidR="004E1087">
        <w:rPr>
          <w:rFonts w:ascii="Times New Roman" w:hAnsi="Times New Roman" w:cs="Times New Roman"/>
        </w:rPr>
        <w:t xml:space="preserve"> with </w:t>
      </w:r>
      <w:r w:rsidR="00615C41">
        <w:rPr>
          <w:rFonts w:ascii="Times New Roman" w:hAnsi="Times New Roman" w:cs="Times New Roman"/>
        </w:rPr>
        <w:t>no</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E3174F" w:rsidTr="009E57FD">
        <w:tc>
          <w:tcPr>
            <w:tcW w:w="6390" w:type="dxa"/>
            <w:shd w:val="clear" w:color="auto" w:fill="000000" w:themeFill="text1"/>
          </w:tcPr>
          <w:p w:rsidR="00E3174F" w:rsidRDefault="00E3174F" w:rsidP="008D52AF">
            <w:pPr>
              <w:jc w:val="center"/>
              <w:rPr>
                <w:rFonts w:ascii="Times New Roman" w:hAnsi="Times New Roman" w:cs="Times New Roman"/>
                <w:b/>
                <w:color w:val="00B050"/>
              </w:rPr>
            </w:pPr>
          </w:p>
        </w:tc>
      </w:tr>
      <w:tr w:rsidR="003E3FA9" w:rsidTr="009E57FD">
        <w:tc>
          <w:tcPr>
            <w:tcW w:w="6390" w:type="dxa"/>
          </w:tcPr>
          <w:p w:rsidR="003E3FA9" w:rsidRDefault="003E3FA9" w:rsidP="008D52AF">
            <w:pPr>
              <w:jc w:val="center"/>
              <w:rPr>
                <w:rFonts w:ascii="Times New Roman" w:hAnsi="Times New Roman" w:cs="Times New Roman"/>
                <w:b/>
                <w:color w:val="00B050"/>
              </w:rPr>
            </w:pPr>
          </w:p>
        </w:tc>
      </w:tr>
      <w:tr w:rsidR="00615C41" w:rsidRPr="009B6AA6" w:rsidTr="009E57FD">
        <w:tc>
          <w:tcPr>
            <w:tcW w:w="6390" w:type="dxa"/>
          </w:tcPr>
          <w:p w:rsidR="00615C41" w:rsidRPr="009B6AA6" w:rsidRDefault="00615C41" w:rsidP="00E442B3">
            <w:pPr>
              <w:jc w:val="center"/>
              <w:rPr>
                <w:rFonts w:ascii="Times New Roman" w:hAnsi="Times New Roman" w:cs="Times New Roman"/>
                <w:b/>
                <w:color w:val="00B050"/>
              </w:rPr>
            </w:pPr>
            <w:r>
              <w:rPr>
                <w:rFonts w:ascii="Times New Roman" w:hAnsi="Times New Roman" w:cs="Times New Roman"/>
                <w:b/>
                <w:color w:val="00B050"/>
              </w:rPr>
              <w:t>124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479820BA" wp14:editId="322C5AD6">
                  <wp:extent cx="135456" cy="118652"/>
                  <wp:effectExtent l="19050" t="0" r="0" b="0"/>
                  <wp:docPr id="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3600B6" w:rsidTr="009E57FD">
        <w:tc>
          <w:tcPr>
            <w:tcW w:w="6390" w:type="dxa"/>
          </w:tcPr>
          <w:p w:rsidR="00615C41" w:rsidRPr="003600B6" w:rsidRDefault="00615C41" w:rsidP="00E442B3">
            <w:pPr>
              <w:jc w:val="center"/>
              <w:rPr>
                <w:rFonts w:ascii="Times New Roman" w:hAnsi="Times New Roman" w:cs="Times New Roman"/>
                <w:b/>
              </w:rPr>
            </w:pPr>
            <w:r w:rsidRPr="009E57FD">
              <w:rPr>
                <w:rFonts w:cs="Calibri"/>
                <w:b/>
                <w:bCs/>
              </w:rPr>
              <w:t>Additional VRT Requirement for IRRs.</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tabled </w:t>
            </w:r>
            <w:r w:rsidRPr="009B6AA6">
              <w:rPr>
                <w:rFonts w:ascii="Times New Roman" w:hAnsi="Times New Roman" w:cs="Times New Roman"/>
                <w:noProof/>
                <w:color w:val="00B050"/>
              </w:rPr>
              <w:drawing>
                <wp:inline distT="0" distB="0" distL="0" distR="0" wp14:anchorId="2612886F" wp14:editId="3008CE6F">
                  <wp:extent cx="135456" cy="118652"/>
                  <wp:effectExtent l="19050" t="0" r="0" b="0"/>
                  <wp:docPr id="2" name="Picture 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rPr>
              <w:t>Discussion:</w:t>
            </w:r>
          </w:p>
          <w:p w:rsidR="00615C41" w:rsidRPr="009B6AA6" w:rsidRDefault="00615C41" w:rsidP="00615C41">
            <w:pPr>
              <w:pStyle w:val="ListParagraph"/>
              <w:numPr>
                <w:ilvl w:val="0"/>
                <w:numId w:val="22"/>
              </w:numPr>
              <w:rPr>
                <w:rFonts w:ascii="Times New Roman" w:hAnsi="Times New Roman" w:cs="Times New Roman"/>
              </w:rPr>
            </w:pPr>
            <w:r w:rsidRPr="0043403B">
              <w:t xml:space="preserve">This Nodal Operating Guide Revision Request (NOGRR) specifies new high Voltage Ride-Through (VRT) requirements for Intermittent Renewable Resources (IRRs) and prohibits IRRs from tripping for events that are less severe than the defined thresholds and occur for shorter time durations.  Walter Reid asked that ERCOT do an outreach to the developers to make them aware of this NOGRR.  </w:t>
            </w:r>
            <w:r w:rsidRPr="00615C41">
              <w:rPr>
                <w:b/>
              </w:rPr>
              <w:t xml:space="preserve">Tabled </w:t>
            </w:r>
            <w:r>
              <w:rPr>
                <w:b/>
              </w:rPr>
              <w:t xml:space="preserve">for one month </w:t>
            </w:r>
            <w:r w:rsidRPr="00615C41">
              <w:rPr>
                <w:b/>
              </w:rPr>
              <w:t>to allow market participants to respond to ERCOT comments.</w:t>
            </w:r>
            <w:r>
              <w:rPr>
                <w:b/>
              </w:rPr>
              <w:t xml:space="preserve"> </w:t>
            </w:r>
            <w:r w:rsidRPr="0043403B">
              <w:t xml:space="preserve"> </w:t>
            </w:r>
            <w:r>
              <w:t>(ERCOT</w:t>
            </w:r>
            <w:r w:rsidRPr="003E3FA9">
              <w:t>).</w:t>
            </w:r>
          </w:p>
        </w:tc>
      </w:tr>
      <w:tr w:rsidR="00615C41" w:rsidTr="009E57FD">
        <w:tc>
          <w:tcPr>
            <w:tcW w:w="6390" w:type="dxa"/>
            <w:tcBorders>
              <w:bottom w:val="single" w:sz="4" w:space="0" w:color="auto"/>
            </w:tcBorders>
          </w:tcPr>
          <w:p w:rsidR="00615C41" w:rsidRDefault="00615C41" w:rsidP="008D52AF">
            <w:pPr>
              <w:jc w:val="center"/>
              <w:rPr>
                <w:rFonts w:ascii="Times New Roman" w:hAnsi="Times New Roman" w:cs="Times New Roman"/>
                <w:b/>
                <w:color w:val="00B050"/>
              </w:rPr>
            </w:pPr>
          </w:p>
        </w:tc>
      </w:tr>
      <w:tr w:rsidR="00615C41" w:rsidTr="009E57FD">
        <w:tc>
          <w:tcPr>
            <w:tcW w:w="6390" w:type="dxa"/>
            <w:shd w:val="clear" w:color="auto" w:fill="000000" w:themeFill="text1"/>
          </w:tcPr>
          <w:p w:rsidR="00615C41" w:rsidRDefault="00615C41" w:rsidP="008D52AF">
            <w:pPr>
              <w:jc w:val="center"/>
              <w:rPr>
                <w:rFonts w:ascii="Times New Roman" w:hAnsi="Times New Roman" w:cs="Times New Roman"/>
                <w:b/>
                <w:color w:val="00B050"/>
              </w:rPr>
            </w:pPr>
          </w:p>
        </w:tc>
      </w:tr>
      <w:tr w:rsidR="00615C41" w:rsidTr="009E57FD">
        <w:tc>
          <w:tcPr>
            <w:tcW w:w="6390" w:type="dxa"/>
          </w:tcPr>
          <w:p w:rsidR="00615C41" w:rsidRDefault="00615C41" w:rsidP="008D52AF">
            <w:pPr>
              <w:jc w:val="center"/>
              <w:rPr>
                <w:rFonts w:ascii="Times New Roman" w:hAnsi="Times New Roman" w:cs="Times New Roman"/>
                <w:b/>
                <w:color w:val="00B050"/>
              </w:rPr>
            </w:pPr>
          </w:p>
        </w:tc>
      </w:tr>
      <w:tr w:rsidR="00615C41" w:rsidRPr="009B6AA6" w:rsidTr="009E57FD">
        <w:tc>
          <w:tcPr>
            <w:tcW w:w="6390" w:type="dxa"/>
          </w:tcPr>
          <w:p w:rsidR="00615C41" w:rsidRPr="009B6AA6" w:rsidRDefault="00480209" w:rsidP="008D52AF">
            <w:pPr>
              <w:jc w:val="center"/>
              <w:rPr>
                <w:rFonts w:ascii="Times New Roman" w:hAnsi="Times New Roman" w:cs="Times New Roman"/>
                <w:b/>
                <w:color w:val="00B050"/>
              </w:rPr>
            </w:pPr>
            <w:r>
              <w:rPr>
                <w:rFonts w:ascii="Times New Roman" w:hAnsi="Times New Roman" w:cs="Times New Roman"/>
                <w:b/>
                <w:color w:val="00B050"/>
              </w:rPr>
              <w:t>126</w:t>
            </w:r>
            <w:r w:rsidR="00615C41" w:rsidRPr="002E0064">
              <w:rPr>
                <w:rFonts w:ascii="Times New Roman" w:hAnsi="Times New Roman" w:cs="Times New Roman"/>
                <w:b/>
                <w:color w:val="00B050"/>
              </w:rPr>
              <w:t xml:space="preserve">NOGRR </w:t>
            </w:r>
            <w:r w:rsidR="00615C41" w:rsidRPr="0006701A">
              <w:rPr>
                <w:rFonts w:ascii="Times New Roman" w:hAnsi="Times New Roman" w:cs="Times New Roman"/>
                <w:b/>
                <w:noProof/>
                <w:color w:val="00B050"/>
              </w:rPr>
              <w:drawing>
                <wp:inline distT="0" distB="0" distL="0" distR="0" wp14:anchorId="259255DF" wp14:editId="79F5016F">
                  <wp:extent cx="135456" cy="118652"/>
                  <wp:effectExtent l="19050" t="0" r="0" b="0"/>
                  <wp:docPr id="7"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3600B6" w:rsidTr="009E57FD">
        <w:tc>
          <w:tcPr>
            <w:tcW w:w="6390" w:type="dxa"/>
          </w:tcPr>
          <w:p w:rsidR="00615C41" w:rsidRPr="003600B6" w:rsidRDefault="00480209" w:rsidP="008D52AF">
            <w:pPr>
              <w:jc w:val="center"/>
              <w:rPr>
                <w:rFonts w:ascii="Times New Roman" w:hAnsi="Times New Roman" w:cs="Times New Roman"/>
                <w:b/>
              </w:rPr>
            </w:pPr>
            <w:r w:rsidRPr="00480209">
              <w:rPr>
                <w:rFonts w:cs="Calibri"/>
                <w:b/>
                <w:bCs/>
              </w:rPr>
              <w:t>Deletion of the Regulatory Required Incident and Disturbance Reports.</w:t>
            </w:r>
          </w:p>
        </w:tc>
      </w:tr>
      <w:tr w:rsidR="00615C41" w:rsidRPr="009B6AA6" w:rsidTr="009E57FD">
        <w:tc>
          <w:tcPr>
            <w:tcW w:w="6390" w:type="dxa"/>
          </w:tcPr>
          <w:p w:rsidR="00615C41" w:rsidRPr="009B6AA6" w:rsidRDefault="00615C41" w:rsidP="008D52AF">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615C41" w:rsidRPr="009B6AA6" w:rsidTr="009E57FD">
        <w:tc>
          <w:tcPr>
            <w:tcW w:w="6390" w:type="dxa"/>
          </w:tcPr>
          <w:p w:rsidR="00615C41" w:rsidRPr="009B6AA6" w:rsidRDefault="00615C41" w:rsidP="008D52AF">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tabled </w:t>
            </w:r>
            <w:r w:rsidRPr="009B6AA6">
              <w:rPr>
                <w:rFonts w:ascii="Times New Roman" w:hAnsi="Times New Roman" w:cs="Times New Roman"/>
                <w:noProof/>
                <w:color w:val="00B050"/>
              </w:rPr>
              <w:drawing>
                <wp:inline distT="0" distB="0" distL="0" distR="0" wp14:anchorId="4744ECB8" wp14:editId="3A3A302D">
                  <wp:extent cx="135456" cy="118652"/>
                  <wp:effectExtent l="19050" t="0" r="0" b="0"/>
                  <wp:docPr id="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9B6AA6" w:rsidTr="009E57FD">
        <w:tc>
          <w:tcPr>
            <w:tcW w:w="6390" w:type="dxa"/>
          </w:tcPr>
          <w:p w:rsidR="00615C41" w:rsidRPr="009B6AA6" w:rsidRDefault="00615C41" w:rsidP="008D52AF">
            <w:pPr>
              <w:jc w:val="center"/>
              <w:rPr>
                <w:rFonts w:ascii="Times New Roman" w:hAnsi="Times New Roman" w:cs="Times New Roman"/>
              </w:rPr>
            </w:pPr>
            <w:r w:rsidRPr="009B6AA6">
              <w:rPr>
                <w:rFonts w:ascii="Times New Roman" w:hAnsi="Times New Roman" w:cs="Times New Roman"/>
              </w:rPr>
              <w:t>Discussion:</w:t>
            </w:r>
          </w:p>
          <w:p w:rsidR="00615C41" w:rsidRPr="009B6AA6" w:rsidRDefault="00615C41" w:rsidP="00480209">
            <w:pPr>
              <w:pStyle w:val="ListParagraph"/>
              <w:rPr>
                <w:rFonts w:ascii="Times New Roman" w:hAnsi="Times New Roman" w:cs="Times New Roman"/>
              </w:rPr>
            </w:pPr>
            <w:r w:rsidRPr="0043403B">
              <w:t xml:space="preserve">This Nodal Operating Guide Revision Request (NOGRR) </w:t>
            </w:r>
            <w:r w:rsidR="00480209" w:rsidRPr="00480209">
              <w:rPr>
                <w:bCs/>
              </w:rPr>
              <w:t>removes the regulation reporting requirements from the Operating Guides.</w:t>
            </w:r>
            <w:r w:rsidR="00480209">
              <w:rPr>
                <w:bCs/>
              </w:rPr>
              <w:t xml:space="preserve"> </w:t>
            </w:r>
            <w:r w:rsidR="00480209" w:rsidRPr="00480209">
              <w:rPr>
                <w:b/>
                <w:bCs/>
              </w:rPr>
              <w:t>Tabled for one month</w:t>
            </w:r>
          </w:p>
        </w:tc>
      </w:tr>
      <w:tr w:rsidR="00615C41" w:rsidTr="009E57FD">
        <w:tc>
          <w:tcPr>
            <w:tcW w:w="6390" w:type="dxa"/>
          </w:tcPr>
          <w:p w:rsidR="00615C41" w:rsidRDefault="00615C41" w:rsidP="00480209">
            <w:pPr>
              <w:jc w:val="center"/>
              <w:rPr>
                <w:rFonts w:ascii="Times New Roman" w:hAnsi="Times New Roman" w:cs="Times New Roman"/>
                <w:b/>
                <w:color w:val="00B050"/>
              </w:rPr>
            </w:pPr>
          </w:p>
        </w:tc>
      </w:tr>
      <w:tr w:rsidR="00615C41" w:rsidTr="00EF117E">
        <w:tc>
          <w:tcPr>
            <w:tcW w:w="6390" w:type="dxa"/>
            <w:shd w:val="clear" w:color="auto" w:fill="000000" w:themeFill="text1"/>
          </w:tcPr>
          <w:p w:rsidR="00615C41" w:rsidRDefault="00615C41" w:rsidP="00EF117E">
            <w:pPr>
              <w:jc w:val="center"/>
              <w:rPr>
                <w:rFonts w:ascii="Times New Roman" w:hAnsi="Times New Roman" w:cs="Times New Roman"/>
                <w:b/>
                <w:color w:val="00B050"/>
              </w:rPr>
            </w:pPr>
          </w:p>
        </w:tc>
      </w:tr>
      <w:tr w:rsidR="00615C41" w:rsidTr="00EF117E">
        <w:tc>
          <w:tcPr>
            <w:tcW w:w="6390" w:type="dxa"/>
          </w:tcPr>
          <w:p w:rsidR="00615C41" w:rsidRDefault="00615C41" w:rsidP="00EF117E">
            <w:pPr>
              <w:jc w:val="center"/>
              <w:rPr>
                <w:rFonts w:ascii="Times New Roman" w:hAnsi="Times New Roman" w:cs="Times New Roman"/>
                <w:b/>
                <w:color w:val="00B050"/>
              </w:rPr>
            </w:pPr>
          </w:p>
        </w:tc>
      </w:tr>
      <w:tr w:rsidR="00615C41" w:rsidRPr="009B6AA6" w:rsidTr="00EF117E">
        <w:tc>
          <w:tcPr>
            <w:tcW w:w="6390" w:type="dxa"/>
          </w:tcPr>
          <w:p w:rsidR="00615C41" w:rsidRPr="009B6AA6" w:rsidRDefault="00480209" w:rsidP="00EF117E">
            <w:pPr>
              <w:jc w:val="center"/>
              <w:rPr>
                <w:rFonts w:ascii="Times New Roman" w:hAnsi="Times New Roman" w:cs="Times New Roman"/>
                <w:b/>
                <w:color w:val="00B050"/>
              </w:rPr>
            </w:pPr>
            <w:r>
              <w:rPr>
                <w:rFonts w:ascii="Times New Roman" w:hAnsi="Times New Roman" w:cs="Times New Roman"/>
                <w:b/>
                <w:color w:val="00B050"/>
              </w:rPr>
              <w:t>127</w:t>
            </w:r>
            <w:r w:rsidR="00615C41" w:rsidRPr="002E0064">
              <w:rPr>
                <w:rFonts w:ascii="Times New Roman" w:hAnsi="Times New Roman" w:cs="Times New Roman"/>
                <w:b/>
                <w:color w:val="00B050"/>
              </w:rPr>
              <w:t xml:space="preserve">NOGRR </w:t>
            </w:r>
            <w:r w:rsidR="00615C41" w:rsidRPr="0006701A">
              <w:rPr>
                <w:rFonts w:ascii="Times New Roman" w:hAnsi="Times New Roman" w:cs="Times New Roman"/>
                <w:b/>
                <w:noProof/>
                <w:color w:val="00B050"/>
              </w:rPr>
              <w:drawing>
                <wp:inline distT="0" distB="0" distL="0" distR="0" wp14:anchorId="65570650" wp14:editId="569A0E57">
                  <wp:extent cx="135456" cy="118652"/>
                  <wp:effectExtent l="19050" t="0" r="0" b="0"/>
                  <wp:docPr id="1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3600B6" w:rsidTr="00EF117E">
        <w:tc>
          <w:tcPr>
            <w:tcW w:w="6390" w:type="dxa"/>
          </w:tcPr>
          <w:p w:rsidR="00615C41" w:rsidRPr="003600B6" w:rsidRDefault="00480209" w:rsidP="00EF117E">
            <w:pPr>
              <w:jc w:val="center"/>
              <w:rPr>
                <w:rFonts w:ascii="Times New Roman" w:hAnsi="Times New Roman" w:cs="Times New Roman"/>
                <w:b/>
              </w:rPr>
            </w:pPr>
            <w:r w:rsidRPr="00480209">
              <w:rPr>
                <w:rFonts w:cs="Calibri"/>
                <w:b/>
                <w:bCs/>
              </w:rPr>
              <w:t>Synchronization with NPRR564, Thirty-Minute Emergency Response Service (ERS) and Other ERS Revisions. </w:t>
            </w:r>
          </w:p>
        </w:tc>
      </w:tr>
      <w:tr w:rsidR="00615C41" w:rsidRPr="009B6AA6" w:rsidTr="00EF117E">
        <w:tc>
          <w:tcPr>
            <w:tcW w:w="6390" w:type="dxa"/>
          </w:tcPr>
          <w:p w:rsidR="00615C41" w:rsidRPr="009B6AA6" w:rsidRDefault="00615C41" w:rsidP="00EF117E">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615C41" w:rsidRPr="009B6AA6" w:rsidTr="00EF117E">
        <w:tc>
          <w:tcPr>
            <w:tcW w:w="6390" w:type="dxa"/>
          </w:tcPr>
          <w:p w:rsidR="00615C41" w:rsidRPr="009B6AA6" w:rsidRDefault="00615C41" w:rsidP="00EF117E">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910474">
              <w:rPr>
                <w:rFonts w:ascii="Times New Roman" w:hAnsi="Times New Roman" w:cs="Times New Roman"/>
                <w:color w:val="00B050"/>
              </w:rPr>
              <w:t>OWG Recommends</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6F25134B" wp14:editId="7C620F77">
                  <wp:extent cx="135456" cy="118652"/>
                  <wp:effectExtent l="19050" t="0" r="0" b="0"/>
                  <wp:docPr id="12" name="Picture 1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9B6AA6" w:rsidTr="00EF117E">
        <w:tc>
          <w:tcPr>
            <w:tcW w:w="6390" w:type="dxa"/>
          </w:tcPr>
          <w:p w:rsidR="00615C41" w:rsidRPr="009B6AA6" w:rsidRDefault="00615C41" w:rsidP="00EF117E">
            <w:pPr>
              <w:jc w:val="center"/>
              <w:rPr>
                <w:rFonts w:ascii="Times New Roman" w:hAnsi="Times New Roman" w:cs="Times New Roman"/>
              </w:rPr>
            </w:pPr>
            <w:r w:rsidRPr="009B6AA6">
              <w:rPr>
                <w:rFonts w:ascii="Times New Roman" w:hAnsi="Times New Roman" w:cs="Times New Roman"/>
              </w:rPr>
              <w:t>Discussion:</w:t>
            </w:r>
          </w:p>
          <w:p w:rsidR="00615C41" w:rsidRPr="009B6AA6" w:rsidRDefault="00615C41" w:rsidP="00910474">
            <w:pPr>
              <w:pStyle w:val="ListParagraph"/>
              <w:rPr>
                <w:rFonts w:ascii="Times New Roman" w:hAnsi="Times New Roman" w:cs="Times New Roman"/>
              </w:rPr>
            </w:pPr>
            <w:r w:rsidRPr="0043403B">
              <w:rPr>
                <w:bCs/>
              </w:rPr>
              <w:t xml:space="preserve">This Nodal Operating Guide Revision Request (NOGRR) </w:t>
            </w:r>
            <w:r w:rsidR="00910474" w:rsidRPr="00910474">
              <w:rPr>
                <w:bCs/>
              </w:rPr>
              <w:t>synchronizes Nodal Operating Guide Section 4.5.3.3, EEA Levels, with Protocol Section 6.5.9.4.2, EEA Levels.</w:t>
            </w:r>
            <w:r w:rsidR="00910474" w:rsidRPr="00910474">
              <w:rPr>
                <w:b/>
                <w:bCs/>
              </w:rPr>
              <w:t> </w:t>
            </w:r>
            <w:r w:rsidR="00910474" w:rsidRPr="00910474">
              <w:rPr>
                <w:bCs/>
              </w:rPr>
              <w:t xml:space="preserve"> </w:t>
            </w:r>
            <w:r w:rsidR="00910474" w:rsidRPr="00910474">
              <w:rPr>
                <w:b/>
                <w:bCs/>
              </w:rPr>
              <w:t>OWG recommends as requested.</w:t>
            </w:r>
          </w:p>
        </w:tc>
      </w:tr>
      <w:tr w:rsidR="00615C41" w:rsidTr="00EF117E">
        <w:tc>
          <w:tcPr>
            <w:tcW w:w="6390" w:type="dxa"/>
          </w:tcPr>
          <w:p w:rsidR="00615C41" w:rsidRDefault="00615C41" w:rsidP="00EF117E">
            <w:pPr>
              <w:jc w:val="center"/>
              <w:rPr>
                <w:rFonts w:ascii="Times New Roman" w:hAnsi="Times New Roman" w:cs="Times New Roman"/>
                <w:b/>
                <w:color w:val="00B050"/>
              </w:rPr>
            </w:pPr>
          </w:p>
        </w:tc>
      </w:tr>
    </w:tbl>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0030AD" w:rsidRPr="0087112B" w:rsidRDefault="00CA3A65" w:rsidP="0087112B">
      <w:pPr>
        <w:pStyle w:val="ListParagraph"/>
        <w:numPr>
          <w:ilvl w:val="0"/>
          <w:numId w:val="33"/>
        </w:numPr>
        <w:spacing w:after="0"/>
        <w:rPr>
          <w:rFonts w:ascii="Times New Roman" w:hAnsi="Times New Roman" w:cs="Times New Roman"/>
          <w:sz w:val="24"/>
        </w:rPr>
      </w:pPr>
      <w:r w:rsidRPr="0087112B">
        <w:rPr>
          <w:rFonts w:ascii="Times New Roman" w:hAnsi="Times New Roman" w:cs="Times New Roman"/>
          <w:sz w:val="24"/>
        </w:rPr>
        <w:t>Reviewed the report; comments/questions were answered by ERCOT personnel.</w:t>
      </w:r>
      <w:r w:rsidR="00B10CA5" w:rsidRPr="0087112B">
        <w:rPr>
          <w:rFonts w:ascii="Times New Roman" w:hAnsi="Times New Roman" w:cs="Times New Roman"/>
          <w:sz w:val="24"/>
        </w:rPr>
        <w:t xml:space="preserve"> </w:t>
      </w:r>
    </w:p>
    <w:p w:rsidR="00CA3A65" w:rsidRPr="009B6AA6" w:rsidRDefault="00CA3A65" w:rsidP="000030AD">
      <w:pPr>
        <w:pStyle w:val="ListParagraph"/>
        <w:spacing w:after="0"/>
        <w:ind w:left="1080"/>
        <w:rPr>
          <w:rFonts w:ascii="Times New Roman" w:hAnsi="Times New Roman" w:cs="Times New Roman"/>
        </w:rPr>
      </w:pPr>
    </w:p>
    <w:p w:rsidR="0087112B" w:rsidRDefault="0087112B" w:rsidP="00910474">
      <w:pPr>
        <w:spacing w:after="0" w:line="240" w:lineRule="auto"/>
        <w:rPr>
          <w:rFonts w:ascii="Times New Roman" w:hAnsi="Times New Roman" w:cs="Times New Roman"/>
          <w:b/>
          <w:sz w:val="24"/>
        </w:rPr>
      </w:pPr>
      <w:r>
        <w:rPr>
          <w:rFonts w:ascii="Times New Roman" w:hAnsi="Times New Roman" w:cs="Times New Roman"/>
          <w:b/>
          <w:sz w:val="24"/>
        </w:rPr>
        <w:t xml:space="preserve">Operations Task Force Report </w:t>
      </w:r>
    </w:p>
    <w:p w:rsidR="00910474" w:rsidRPr="0087112B" w:rsidRDefault="00910474" w:rsidP="0087112B">
      <w:pPr>
        <w:pStyle w:val="ListParagraph"/>
        <w:numPr>
          <w:ilvl w:val="0"/>
          <w:numId w:val="32"/>
        </w:numPr>
        <w:spacing w:after="0" w:line="240" w:lineRule="auto"/>
        <w:rPr>
          <w:rFonts w:eastAsia="Times New Roman" w:cs="Times New Roman"/>
          <w:color w:val="000000"/>
        </w:rPr>
      </w:pPr>
      <w:r w:rsidRPr="0087112B">
        <w:rPr>
          <w:rFonts w:eastAsia="Times New Roman" w:cs="Times New Roman"/>
          <w:color w:val="000000"/>
        </w:rPr>
        <w:t>Stan will send out Market Notice regarding workshop to begin to tackle many of the voltage issues currently on the table.</w:t>
      </w:r>
    </w:p>
    <w:p w:rsidR="00910474" w:rsidRPr="00910474" w:rsidRDefault="00910474" w:rsidP="00910474">
      <w:pPr>
        <w:spacing w:after="0" w:line="240" w:lineRule="auto"/>
        <w:rPr>
          <w:rFonts w:eastAsia="Times New Roman" w:cs="Times New Roman"/>
          <w:color w:val="000000"/>
        </w:rPr>
      </w:pPr>
    </w:p>
    <w:p w:rsidR="007F12A8" w:rsidRPr="0087112B" w:rsidRDefault="00910474" w:rsidP="0087112B">
      <w:pPr>
        <w:pStyle w:val="ListParagraph"/>
        <w:numPr>
          <w:ilvl w:val="0"/>
          <w:numId w:val="31"/>
        </w:numPr>
        <w:spacing w:after="0" w:line="240" w:lineRule="auto"/>
        <w:rPr>
          <w:rFonts w:eastAsia="Times New Roman" w:cs="Times New Roman"/>
          <w:color w:val="000000"/>
        </w:rPr>
      </w:pPr>
      <w:r w:rsidRPr="0087112B">
        <w:rPr>
          <w:rFonts w:eastAsia="Times New Roman" w:cs="Times New Roman"/>
          <w:color w:val="000000"/>
        </w:rPr>
        <w:t>Kelly Blackmer gave a brief report on the upcoming Hurricane Drill.</w:t>
      </w:r>
    </w:p>
    <w:p w:rsidR="00104A89" w:rsidRDefault="00104A89" w:rsidP="00C61410">
      <w:pPr>
        <w:spacing w:after="0"/>
        <w:rPr>
          <w:rFonts w:ascii="Times New Roman" w:hAnsi="Times New Roman" w:cs="Times New Roman"/>
          <w:b/>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7F12A8" w:rsidRPr="00347FA3" w:rsidRDefault="007F12A8" w:rsidP="007F12A8">
      <w:pPr>
        <w:pStyle w:val="ListParagraph"/>
        <w:numPr>
          <w:ilvl w:val="0"/>
          <w:numId w:val="10"/>
        </w:numPr>
        <w:rPr>
          <w:rFonts w:cs="Calibri"/>
        </w:rPr>
      </w:pPr>
      <w:r w:rsidRPr="00347FA3">
        <w:rPr>
          <w:rFonts w:cs="Calibri"/>
        </w:rPr>
        <w:t xml:space="preserve">2014 </w:t>
      </w:r>
      <w:r w:rsidR="00347FA3" w:rsidRPr="00347FA3">
        <w:rPr>
          <w:rFonts w:cs="Calibri"/>
        </w:rPr>
        <w:t>Operations Seminar Dry Run beginning after OWG meeting.</w:t>
      </w:r>
    </w:p>
    <w:p w:rsidR="00104A89" w:rsidRPr="00AD65B2" w:rsidRDefault="00104A89" w:rsidP="00104A89">
      <w:pPr>
        <w:pStyle w:val="ListParagraph"/>
        <w:spacing w:after="0"/>
        <w:ind w:left="1080"/>
        <w:rPr>
          <w:rFonts w:ascii="Times New Roman" w:hAnsi="Times New Roman" w:cs="Times New Roman"/>
        </w:rPr>
      </w:pPr>
    </w:p>
    <w:p w:rsidR="008251DB" w:rsidRDefault="00FB0BBC" w:rsidP="006E148A">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8251DB">
        <w:rPr>
          <w:rFonts w:ascii="Times New Roman" w:hAnsi="Times New Roman" w:cs="Times New Roman"/>
          <w:b/>
          <w:sz w:val="24"/>
        </w:rPr>
        <w:t xml:space="preserve"> Report </w:t>
      </w:r>
    </w:p>
    <w:p w:rsidR="00347FA3" w:rsidRPr="00347FA3" w:rsidRDefault="00347FA3" w:rsidP="00347FA3">
      <w:pPr>
        <w:pStyle w:val="ListParagraph"/>
        <w:numPr>
          <w:ilvl w:val="0"/>
          <w:numId w:val="10"/>
        </w:numPr>
        <w:spacing w:after="0"/>
        <w:rPr>
          <w:rFonts w:ascii="Times New Roman" w:hAnsi="Times New Roman" w:cs="Times New Roman"/>
          <w:sz w:val="24"/>
        </w:rPr>
      </w:pPr>
      <w:r w:rsidRPr="00347FA3">
        <w:rPr>
          <w:rFonts w:ascii="Times New Roman" w:hAnsi="Times New Roman" w:cs="Times New Roman"/>
          <w:sz w:val="24"/>
        </w:rPr>
        <w:t>BAL – 001 has been approved with an implementation date of 04/01/2014.</w:t>
      </w:r>
    </w:p>
    <w:p w:rsidR="00347FA3" w:rsidRPr="00347FA3" w:rsidRDefault="00347FA3" w:rsidP="00347FA3">
      <w:pPr>
        <w:pStyle w:val="ListParagraph"/>
        <w:numPr>
          <w:ilvl w:val="0"/>
          <w:numId w:val="10"/>
        </w:numPr>
        <w:spacing w:after="0"/>
        <w:rPr>
          <w:rFonts w:ascii="Times New Roman" w:hAnsi="Times New Roman" w:cs="Times New Roman"/>
          <w:sz w:val="24"/>
        </w:rPr>
      </w:pPr>
      <w:r w:rsidRPr="00347FA3">
        <w:rPr>
          <w:rFonts w:ascii="Times New Roman" w:hAnsi="Times New Roman" w:cs="Times New Roman"/>
          <w:sz w:val="24"/>
        </w:rPr>
        <w:t>COM – 002 is out for ballot.</w:t>
      </w:r>
    </w:p>
    <w:p w:rsidR="00347FA3" w:rsidRPr="00347FA3" w:rsidRDefault="00347FA3" w:rsidP="00347FA3">
      <w:pPr>
        <w:pStyle w:val="ListParagraph"/>
        <w:numPr>
          <w:ilvl w:val="0"/>
          <w:numId w:val="10"/>
        </w:numPr>
        <w:spacing w:after="0"/>
        <w:rPr>
          <w:rFonts w:ascii="Times New Roman" w:hAnsi="Times New Roman" w:cs="Times New Roman"/>
          <w:sz w:val="24"/>
        </w:rPr>
      </w:pPr>
      <w:r w:rsidRPr="00347FA3">
        <w:rPr>
          <w:rFonts w:ascii="Times New Roman" w:hAnsi="Times New Roman" w:cs="Times New Roman"/>
          <w:sz w:val="24"/>
        </w:rPr>
        <w:t>January 6 RFIs have been sent out in coordination with ERCOT.  Preliminary report on generator performance can be expected the middle of next month.  The full report will not be ready until March due to data collection on ERS deployment.</w:t>
      </w:r>
    </w:p>
    <w:p w:rsidR="00D11489" w:rsidRPr="00C61410" w:rsidRDefault="00D11489" w:rsidP="00B248F7">
      <w:pPr>
        <w:pStyle w:val="ListParagraph"/>
        <w:spacing w:after="0"/>
        <w:rPr>
          <w:rFonts w:ascii="Times New Roman" w:hAnsi="Times New Roman" w:cs="Times New Roman"/>
        </w:rPr>
      </w:pPr>
    </w:p>
    <w:p w:rsidR="00347FA3" w:rsidRDefault="00347FA3" w:rsidP="00347FA3">
      <w:pPr>
        <w:spacing w:after="0"/>
        <w:rPr>
          <w:rFonts w:ascii="Times New Roman" w:hAnsi="Times New Roman" w:cs="Times New Roman"/>
          <w:b/>
          <w:sz w:val="24"/>
        </w:rPr>
      </w:pPr>
      <w:r>
        <w:rPr>
          <w:rFonts w:ascii="Times New Roman" w:hAnsi="Times New Roman" w:cs="Times New Roman"/>
          <w:b/>
          <w:sz w:val="24"/>
        </w:rPr>
        <w:t xml:space="preserve">System Operations Report </w:t>
      </w:r>
    </w:p>
    <w:p w:rsidR="00347FA3" w:rsidRPr="00347FA3" w:rsidRDefault="00347FA3" w:rsidP="00347FA3">
      <w:pPr>
        <w:pStyle w:val="ListParagraph"/>
        <w:numPr>
          <w:ilvl w:val="0"/>
          <w:numId w:val="30"/>
        </w:numPr>
        <w:spacing w:after="0"/>
        <w:rPr>
          <w:rFonts w:ascii="Times New Roman" w:hAnsi="Times New Roman" w:cs="Times New Roman"/>
        </w:rPr>
      </w:pPr>
      <w:r w:rsidRPr="00347FA3">
        <w:rPr>
          <w:rFonts w:ascii="Times New Roman" w:hAnsi="Times New Roman" w:cs="Times New Roman"/>
          <w:sz w:val="24"/>
        </w:rPr>
        <w:t xml:space="preserve">No report </w:t>
      </w:r>
    </w:p>
    <w:p w:rsidR="00A5619A" w:rsidRPr="009671A6" w:rsidRDefault="00A5619A" w:rsidP="007F12A8">
      <w:pPr>
        <w:pStyle w:val="ListParagraph"/>
        <w:spacing w:after="0"/>
        <w:ind w:left="1080"/>
        <w:rPr>
          <w:rFonts w:ascii="Times New Roman" w:hAnsi="Times New Roman" w:cs="Times New Roman"/>
        </w:rPr>
      </w:pPr>
    </w:p>
    <w:p w:rsidR="00006E8B" w:rsidRPr="00AF6BFC" w:rsidRDefault="00672302" w:rsidP="00006E8B">
      <w:pPr>
        <w:spacing w:after="0"/>
        <w:rPr>
          <w:rFonts w:ascii="Times New Roman" w:hAnsi="Times New Roman" w:cs="Times New Roman"/>
          <w:sz w:val="24"/>
        </w:rPr>
      </w:pPr>
      <w:r w:rsidRPr="009B6AA6">
        <w:rPr>
          <w:rFonts w:ascii="Times New Roman" w:hAnsi="Times New Roman" w:cs="Times New Roman"/>
          <w:b/>
          <w:sz w:val="24"/>
        </w:rPr>
        <w:t xml:space="preserve">Other – </w:t>
      </w:r>
    </w:p>
    <w:p w:rsidR="00347FA3" w:rsidRPr="00347FA3" w:rsidRDefault="00347FA3" w:rsidP="00347FA3">
      <w:pPr>
        <w:pStyle w:val="ListParagraph"/>
        <w:numPr>
          <w:ilvl w:val="0"/>
          <w:numId w:val="30"/>
        </w:numPr>
        <w:spacing w:after="0"/>
        <w:rPr>
          <w:rFonts w:ascii="Times New Roman" w:hAnsi="Times New Roman" w:cs="Times New Roman"/>
        </w:rPr>
      </w:pPr>
      <w:r w:rsidRPr="00347FA3">
        <w:rPr>
          <w:rFonts w:ascii="Times New Roman" w:hAnsi="Times New Roman" w:cs="Times New Roman"/>
        </w:rPr>
        <w:t>John Warren brought up PRC values and the makeup of PRC.  The question on the table is do we need to look at what we procure or the change the levels of PRC associated with each level of EEA.  The item will be listed as an action item for next month’s OWG meeting.</w:t>
      </w:r>
    </w:p>
    <w:p w:rsidR="00347FA3" w:rsidRPr="00347FA3" w:rsidRDefault="00347FA3" w:rsidP="00347FA3">
      <w:pPr>
        <w:spacing w:after="0"/>
        <w:rPr>
          <w:rFonts w:ascii="Times New Roman" w:hAnsi="Times New Roman" w:cs="Times New Roman"/>
        </w:rPr>
      </w:pPr>
    </w:p>
    <w:p w:rsidR="00347FA3" w:rsidRPr="00347FA3" w:rsidRDefault="00347FA3" w:rsidP="00347FA3">
      <w:pPr>
        <w:pStyle w:val="ListParagraph"/>
        <w:numPr>
          <w:ilvl w:val="0"/>
          <w:numId w:val="30"/>
        </w:numPr>
        <w:spacing w:after="0"/>
        <w:rPr>
          <w:rFonts w:ascii="Times New Roman" w:hAnsi="Times New Roman" w:cs="Times New Roman"/>
        </w:rPr>
      </w:pPr>
      <w:r w:rsidRPr="00347FA3">
        <w:rPr>
          <w:rFonts w:ascii="Times New Roman" w:hAnsi="Times New Roman" w:cs="Times New Roman"/>
        </w:rPr>
        <w:t>Frank Owens and John Warren confirmed as Chair and Vice Chair of OWG for another year.</w:t>
      </w:r>
    </w:p>
    <w:p w:rsidR="00347FA3" w:rsidRPr="00347FA3" w:rsidRDefault="00347FA3" w:rsidP="00347FA3">
      <w:pPr>
        <w:spacing w:after="0"/>
        <w:rPr>
          <w:rFonts w:ascii="Times New Roman" w:hAnsi="Times New Roman" w:cs="Times New Roman"/>
        </w:rPr>
      </w:pPr>
    </w:p>
    <w:p w:rsidR="00347FA3" w:rsidRPr="00347FA3" w:rsidRDefault="00347FA3" w:rsidP="00347FA3">
      <w:pPr>
        <w:pStyle w:val="ListParagraph"/>
        <w:numPr>
          <w:ilvl w:val="0"/>
          <w:numId w:val="30"/>
        </w:numPr>
        <w:spacing w:after="0"/>
        <w:rPr>
          <w:rFonts w:ascii="Times New Roman" w:hAnsi="Times New Roman" w:cs="Times New Roman"/>
        </w:rPr>
      </w:pPr>
      <w:r w:rsidRPr="00347FA3">
        <w:rPr>
          <w:rFonts w:ascii="Times New Roman" w:hAnsi="Times New Roman" w:cs="Times New Roman"/>
        </w:rPr>
        <w:t xml:space="preserve">Discussion on </w:t>
      </w:r>
      <w:r w:rsidRPr="00347FA3">
        <w:rPr>
          <w:rFonts w:ascii="Times New Roman" w:hAnsi="Times New Roman" w:cs="Times New Roman"/>
          <w:bCs/>
        </w:rPr>
        <w:t>ROS directive - Voltage support requirement for all Generation Resources greater than 20 MVA. (See Protocol Section 3.15, paragraph 2).  Walter Reid will draft some language and submit to Operations group to review.</w:t>
      </w:r>
    </w:p>
    <w:p w:rsidR="009671A6" w:rsidRPr="009671A6" w:rsidRDefault="009671A6" w:rsidP="009671A6">
      <w:pPr>
        <w:spacing w:after="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7F12A8" w:rsidRDefault="00347FA3" w:rsidP="007F12A8">
      <w:pPr>
        <w:pStyle w:val="ListParagraph"/>
        <w:numPr>
          <w:ilvl w:val="0"/>
          <w:numId w:val="28"/>
        </w:numPr>
        <w:rPr>
          <w:rFonts w:cs="Calibri"/>
        </w:rPr>
      </w:pPr>
      <w:r>
        <w:rPr>
          <w:rFonts w:cs="Calibri"/>
        </w:rPr>
        <w:t>Monday</w:t>
      </w:r>
      <w:r w:rsidR="007F12A8" w:rsidRPr="00444FD7">
        <w:rPr>
          <w:rFonts w:cs="Calibri"/>
        </w:rPr>
        <w:t xml:space="preserve"> </w:t>
      </w:r>
      <w:r>
        <w:rPr>
          <w:rFonts w:cs="Calibri"/>
        </w:rPr>
        <w:t>February 1</w:t>
      </w:r>
      <w:r w:rsidR="007F12A8">
        <w:rPr>
          <w:rFonts w:cs="Calibri"/>
        </w:rPr>
        <w:t>7</w:t>
      </w:r>
      <w:r w:rsidR="007F12A8" w:rsidRPr="00444FD7">
        <w:rPr>
          <w:rFonts w:cs="Calibri"/>
        </w:rPr>
        <w:t>, 201</w:t>
      </w:r>
      <w:r w:rsidR="007F12A8">
        <w:rPr>
          <w:rFonts w:cs="Calibri"/>
        </w:rPr>
        <w:t xml:space="preserve">4 – </w:t>
      </w:r>
      <w:r w:rsidR="0087112B">
        <w:rPr>
          <w:rFonts w:cs="Calibri"/>
        </w:rPr>
        <w:t>at the ERCOT Met Center.</w:t>
      </w:r>
    </w:p>
    <w:sectPr w:rsidR="007F12A8"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C7158DA"/>
    <w:multiLevelType w:val="hybridMultilevel"/>
    <w:tmpl w:val="E6DC26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413164"/>
    <w:multiLevelType w:val="hybridMultilevel"/>
    <w:tmpl w:val="10A62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1F909B0"/>
    <w:multiLevelType w:val="hybridMultilevel"/>
    <w:tmpl w:val="2E749C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8E397C"/>
    <w:multiLevelType w:val="hybridMultilevel"/>
    <w:tmpl w:val="F45E5C32"/>
    <w:lvl w:ilvl="0" w:tplc="04090003">
      <w:start w:val="1"/>
      <w:numFmt w:val="bullet"/>
      <w:lvlText w:val="o"/>
      <w:lvlJc w:val="left"/>
      <w:pPr>
        <w:ind w:left="360" w:hanging="360"/>
      </w:pPr>
      <w:rPr>
        <w:rFonts w:ascii="Courier New" w:hAnsi="Courier New" w:cs="Courier New"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FE8657C"/>
    <w:multiLevelType w:val="hybridMultilevel"/>
    <w:tmpl w:val="2124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457DA5"/>
    <w:multiLevelType w:val="hybridMultilevel"/>
    <w:tmpl w:val="EC867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4CE4EDA"/>
    <w:multiLevelType w:val="hybridMultilevel"/>
    <w:tmpl w:val="1C705B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14E5485"/>
    <w:multiLevelType w:val="hybridMultilevel"/>
    <w:tmpl w:val="35FEA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23">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A237B3"/>
    <w:multiLevelType w:val="hybridMultilevel"/>
    <w:tmpl w:val="3A1217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B472FA8"/>
    <w:multiLevelType w:val="hybridMultilevel"/>
    <w:tmpl w:val="04C2F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BEA1889"/>
    <w:multiLevelType w:val="hybridMultilevel"/>
    <w:tmpl w:val="ED046760"/>
    <w:lvl w:ilvl="0" w:tplc="04090003">
      <w:start w:val="1"/>
      <w:numFmt w:val="bullet"/>
      <w:lvlText w:val="o"/>
      <w:lvlJc w:val="left"/>
      <w:pPr>
        <w:ind w:left="720" w:hanging="360"/>
      </w:pPr>
      <w:rPr>
        <w:rFonts w:ascii="Courier New" w:hAnsi="Courier New" w:cs="Courier New" w:hint="default"/>
        <w:b/>
      </w:rPr>
    </w:lvl>
    <w:lvl w:ilvl="1" w:tplc="0409001B">
      <w:start w:val="1"/>
      <w:numFmt w:val="lowerRoman"/>
      <w:lvlText w:val="%2."/>
      <w:lvlJc w:val="right"/>
      <w:pPr>
        <w:ind w:left="1440" w:hanging="360"/>
      </w:pPr>
      <w:rPr>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5"/>
  </w:num>
  <w:num w:numId="3">
    <w:abstractNumId w:val="11"/>
  </w:num>
  <w:num w:numId="4">
    <w:abstractNumId w:val="20"/>
  </w:num>
  <w:num w:numId="5">
    <w:abstractNumId w:val="6"/>
  </w:num>
  <w:num w:numId="6">
    <w:abstractNumId w:val="0"/>
  </w:num>
  <w:num w:numId="7">
    <w:abstractNumId w:val="24"/>
  </w:num>
  <w:num w:numId="8">
    <w:abstractNumId w:val="5"/>
  </w:num>
  <w:num w:numId="9">
    <w:abstractNumId w:val="1"/>
  </w:num>
  <w:num w:numId="10">
    <w:abstractNumId w:val="8"/>
  </w:num>
  <w:num w:numId="11">
    <w:abstractNumId w:val="17"/>
  </w:num>
  <w:num w:numId="12">
    <w:abstractNumId w:val="22"/>
  </w:num>
  <w:num w:numId="13">
    <w:abstractNumId w:val="2"/>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3"/>
  </w:num>
  <w:num w:numId="17">
    <w:abstractNumId w:val="24"/>
  </w:num>
  <w:num w:numId="18">
    <w:abstractNumId w:val="19"/>
  </w:num>
  <w:num w:numId="19">
    <w:abstractNumId w:val="10"/>
  </w:num>
  <w:num w:numId="20">
    <w:abstractNumId w:val="21"/>
  </w:num>
  <w:num w:numId="21">
    <w:abstractNumId w:val="26"/>
  </w:num>
  <w:num w:numId="22">
    <w:abstractNumId w:val="3"/>
  </w:num>
  <w:num w:numId="23">
    <w:abstractNumId w:val="9"/>
  </w:num>
  <w:num w:numId="24">
    <w:abstractNumId w:val="15"/>
  </w:num>
  <w:num w:numId="25">
    <w:abstractNumId w:val="7"/>
  </w:num>
  <w:num w:numId="26">
    <w:abstractNumId w:val="29"/>
  </w:num>
  <w:num w:numId="27">
    <w:abstractNumId w:val="12"/>
  </w:num>
  <w:num w:numId="28">
    <w:abstractNumId w:val="16"/>
  </w:num>
  <w:num w:numId="29">
    <w:abstractNumId w:val="13"/>
  </w:num>
  <w:num w:numId="30">
    <w:abstractNumId w:val="27"/>
  </w:num>
  <w:num w:numId="31">
    <w:abstractNumId w:val="28"/>
  </w:num>
  <w:num w:numId="32">
    <w:abstractNumId w:val="14"/>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45AFB"/>
    <w:rsid w:val="00065AD5"/>
    <w:rsid w:val="0006701A"/>
    <w:rsid w:val="000704FA"/>
    <w:rsid w:val="00096811"/>
    <w:rsid w:val="000B118E"/>
    <w:rsid w:val="000B3FF4"/>
    <w:rsid w:val="000D191E"/>
    <w:rsid w:val="000E532A"/>
    <w:rsid w:val="000F2B8B"/>
    <w:rsid w:val="000F5DF9"/>
    <w:rsid w:val="001020AB"/>
    <w:rsid w:val="00104A89"/>
    <w:rsid w:val="00127C45"/>
    <w:rsid w:val="001300F3"/>
    <w:rsid w:val="001316EC"/>
    <w:rsid w:val="001401BB"/>
    <w:rsid w:val="00163AC6"/>
    <w:rsid w:val="00165E52"/>
    <w:rsid w:val="00177504"/>
    <w:rsid w:val="001E353E"/>
    <w:rsid w:val="001F34C9"/>
    <w:rsid w:val="00256EDE"/>
    <w:rsid w:val="00263CEA"/>
    <w:rsid w:val="002A23C9"/>
    <w:rsid w:val="002A4A9E"/>
    <w:rsid w:val="002B0CC9"/>
    <w:rsid w:val="002C7D6A"/>
    <w:rsid w:val="002D07E0"/>
    <w:rsid w:val="002E0064"/>
    <w:rsid w:val="002E06C9"/>
    <w:rsid w:val="00310926"/>
    <w:rsid w:val="00325264"/>
    <w:rsid w:val="003277EF"/>
    <w:rsid w:val="00331489"/>
    <w:rsid w:val="00332881"/>
    <w:rsid w:val="00341694"/>
    <w:rsid w:val="00347FA3"/>
    <w:rsid w:val="003600B6"/>
    <w:rsid w:val="00364ED7"/>
    <w:rsid w:val="00370EC3"/>
    <w:rsid w:val="003966CC"/>
    <w:rsid w:val="00396E23"/>
    <w:rsid w:val="003A3691"/>
    <w:rsid w:val="003B2C22"/>
    <w:rsid w:val="003C7453"/>
    <w:rsid w:val="003D516B"/>
    <w:rsid w:val="003D5246"/>
    <w:rsid w:val="003D7863"/>
    <w:rsid w:val="003E3FA9"/>
    <w:rsid w:val="003F08E7"/>
    <w:rsid w:val="00400BC7"/>
    <w:rsid w:val="004308AD"/>
    <w:rsid w:val="0043403B"/>
    <w:rsid w:val="00435944"/>
    <w:rsid w:val="004419B7"/>
    <w:rsid w:val="00447403"/>
    <w:rsid w:val="00462E30"/>
    <w:rsid w:val="004666B1"/>
    <w:rsid w:val="0047273C"/>
    <w:rsid w:val="00480209"/>
    <w:rsid w:val="004805AC"/>
    <w:rsid w:val="0048327C"/>
    <w:rsid w:val="00485E20"/>
    <w:rsid w:val="00490EA6"/>
    <w:rsid w:val="004A1D02"/>
    <w:rsid w:val="004A2211"/>
    <w:rsid w:val="004A571E"/>
    <w:rsid w:val="004B3967"/>
    <w:rsid w:val="004D5166"/>
    <w:rsid w:val="004E092A"/>
    <w:rsid w:val="004E1087"/>
    <w:rsid w:val="004E1642"/>
    <w:rsid w:val="004E39E2"/>
    <w:rsid w:val="004E6C24"/>
    <w:rsid w:val="004F1D7B"/>
    <w:rsid w:val="00504A51"/>
    <w:rsid w:val="00513F5C"/>
    <w:rsid w:val="005178A8"/>
    <w:rsid w:val="00521C01"/>
    <w:rsid w:val="00527D2D"/>
    <w:rsid w:val="0053172D"/>
    <w:rsid w:val="00532610"/>
    <w:rsid w:val="00541DA5"/>
    <w:rsid w:val="00542F30"/>
    <w:rsid w:val="00567D9B"/>
    <w:rsid w:val="00571107"/>
    <w:rsid w:val="00583676"/>
    <w:rsid w:val="00590BB0"/>
    <w:rsid w:val="00592401"/>
    <w:rsid w:val="005A4A3C"/>
    <w:rsid w:val="005B11F6"/>
    <w:rsid w:val="005B14A9"/>
    <w:rsid w:val="005F2520"/>
    <w:rsid w:val="00606352"/>
    <w:rsid w:val="006073D2"/>
    <w:rsid w:val="00610EEE"/>
    <w:rsid w:val="00615C41"/>
    <w:rsid w:val="00621007"/>
    <w:rsid w:val="006350A2"/>
    <w:rsid w:val="00637621"/>
    <w:rsid w:val="00655E7C"/>
    <w:rsid w:val="00655F35"/>
    <w:rsid w:val="006566B4"/>
    <w:rsid w:val="00662858"/>
    <w:rsid w:val="00672302"/>
    <w:rsid w:val="00675E3E"/>
    <w:rsid w:val="00693A65"/>
    <w:rsid w:val="006A48A1"/>
    <w:rsid w:val="006B2C72"/>
    <w:rsid w:val="006C3006"/>
    <w:rsid w:val="006C45FD"/>
    <w:rsid w:val="006D7ADC"/>
    <w:rsid w:val="006E148A"/>
    <w:rsid w:val="006E32B0"/>
    <w:rsid w:val="006E6E77"/>
    <w:rsid w:val="007173AE"/>
    <w:rsid w:val="00734CA7"/>
    <w:rsid w:val="00740FF4"/>
    <w:rsid w:val="007A1852"/>
    <w:rsid w:val="007A4B0F"/>
    <w:rsid w:val="007B1481"/>
    <w:rsid w:val="007C2415"/>
    <w:rsid w:val="007C6C5F"/>
    <w:rsid w:val="007D181D"/>
    <w:rsid w:val="007D1DD3"/>
    <w:rsid w:val="007E2D2D"/>
    <w:rsid w:val="007E783C"/>
    <w:rsid w:val="007F12A8"/>
    <w:rsid w:val="00802C8A"/>
    <w:rsid w:val="00804146"/>
    <w:rsid w:val="00812757"/>
    <w:rsid w:val="008251DB"/>
    <w:rsid w:val="008317DF"/>
    <w:rsid w:val="00834E79"/>
    <w:rsid w:val="00836DCA"/>
    <w:rsid w:val="008543AC"/>
    <w:rsid w:val="0086111A"/>
    <w:rsid w:val="00863836"/>
    <w:rsid w:val="0086459D"/>
    <w:rsid w:val="0087112B"/>
    <w:rsid w:val="00884B84"/>
    <w:rsid w:val="008A2DEB"/>
    <w:rsid w:val="008A35AA"/>
    <w:rsid w:val="008B4377"/>
    <w:rsid w:val="008B7149"/>
    <w:rsid w:val="008D27F6"/>
    <w:rsid w:val="008D4E27"/>
    <w:rsid w:val="008D4F78"/>
    <w:rsid w:val="00902B74"/>
    <w:rsid w:val="00904754"/>
    <w:rsid w:val="00910474"/>
    <w:rsid w:val="00914FA4"/>
    <w:rsid w:val="00956025"/>
    <w:rsid w:val="00960EB9"/>
    <w:rsid w:val="00966C2B"/>
    <w:rsid w:val="009671A6"/>
    <w:rsid w:val="00982C37"/>
    <w:rsid w:val="0098702E"/>
    <w:rsid w:val="00992EBA"/>
    <w:rsid w:val="009B0C33"/>
    <w:rsid w:val="009B232B"/>
    <w:rsid w:val="009B2471"/>
    <w:rsid w:val="009B6AA6"/>
    <w:rsid w:val="009D208C"/>
    <w:rsid w:val="009D3D99"/>
    <w:rsid w:val="009E3116"/>
    <w:rsid w:val="009E57FD"/>
    <w:rsid w:val="00A0788C"/>
    <w:rsid w:val="00A16300"/>
    <w:rsid w:val="00A35D8B"/>
    <w:rsid w:val="00A36E51"/>
    <w:rsid w:val="00A41FB0"/>
    <w:rsid w:val="00A4207F"/>
    <w:rsid w:val="00A5083E"/>
    <w:rsid w:val="00A5128D"/>
    <w:rsid w:val="00A5619A"/>
    <w:rsid w:val="00A61108"/>
    <w:rsid w:val="00A64492"/>
    <w:rsid w:val="00A87BB0"/>
    <w:rsid w:val="00A90817"/>
    <w:rsid w:val="00AA04D0"/>
    <w:rsid w:val="00AA12E4"/>
    <w:rsid w:val="00AB0D6A"/>
    <w:rsid w:val="00AC05C3"/>
    <w:rsid w:val="00AC57E7"/>
    <w:rsid w:val="00AC7B9F"/>
    <w:rsid w:val="00AD180D"/>
    <w:rsid w:val="00AD65B2"/>
    <w:rsid w:val="00AF4DA6"/>
    <w:rsid w:val="00AF6BFC"/>
    <w:rsid w:val="00AF711E"/>
    <w:rsid w:val="00B01D88"/>
    <w:rsid w:val="00B052BE"/>
    <w:rsid w:val="00B10CA5"/>
    <w:rsid w:val="00B1501A"/>
    <w:rsid w:val="00B248F7"/>
    <w:rsid w:val="00B26430"/>
    <w:rsid w:val="00B3067B"/>
    <w:rsid w:val="00B32C21"/>
    <w:rsid w:val="00B33277"/>
    <w:rsid w:val="00B52FEA"/>
    <w:rsid w:val="00B62A0A"/>
    <w:rsid w:val="00B62AF1"/>
    <w:rsid w:val="00B648B1"/>
    <w:rsid w:val="00B66BCE"/>
    <w:rsid w:val="00B86D5C"/>
    <w:rsid w:val="00B97BC2"/>
    <w:rsid w:val="00BA3F5E"/>
    <w:rsid w:val="00BC3EC5"/>
    <w:rsid w:val="00BD145D"/>
    <w:rsid w:val="00BD3F7D"/>
    <w:rsid w:val="00BE26DA"/>
    <w:rsid w:val="00BF17E4"/>
    <w:rsid w:val="00C14DF3"/>
    <w:rsid w:val="00C23097"/>
    <w:rsid w:val="00C276F4"/>
    <w:rsid w:val="00C37408"/>
    <w:rsid w:val="00C46AA0"/>
    <w:rsid w:val="00C609A4"/>
    <w:rsid w:val="00C61410"/>
    <w:rsid w:val="00C63FD8"/>
    <w:rsid w:val="00C7085D"/>
    <w:rsid w:val="00C7365B"/>
    <w:rsid w:val="00C802BB"/>
    <w:rsid w:val="00CA3A65"/>
    <w:rsid w:val="00CD2EFF"/>
    <w:rsid w:val="00CE2266"/>
    <w:rsid w:val="00CE2E3E"/>
    <w:rsid w:val="00CF22F6"/>
    <w:rsid w:val="00D0006E"/>
    <w:rsid w:val="00D07C8F"/>
    <w:rsid w:val="00D11489"/>
    <w:rsid w:val="00D1227C"/>
    <w:rsid w:val="00D229AE"/>
    <w:rsid w:val="00D51E3F"/>
    <w:rsid w:val="00D540B2"/>
    <w:rsid w:val="00D57471"/>
    <w:rsid w:val="00D63E5E"/>
    <w:rsid w:val="00D94ABD"/>
    <w:rsid w:val="00DA136F"/>
    <w:rsid w:val="00DB285C"/>
    <w:rsid w:val="00DB4A8A"/>
    <w:rsid w:val="00DC08A7"/>
    <w:rsid w:val="00DC685A"/>
    <w:rsid w:val="00DC7520"/>
    <w:rsid w:val="00DE221D"/>
    <w:rsid w:val="00DF3D5F"/>
    <w:rsid w:val="00DF6B58"/>
    <w:rsid w:val="00E30BFB"/>
    <w:rsid w:val="00E3174F"/>
    <w:rsid w:val="00E54337"/>
    <w:rsid w:val="00E573DB"/>
    <w:rsid w:val="00E6058A"/>
    <w:rsid w:val="00E6359E"/>
    <w:rsid w:val="00E65BFD"/>
    <w:rsid w:val="00E850B4"/>
    <w:rsid w:val="00EB3317"/>
    <w:rsid w:val="00EE2055"/>
    <w:rsid w:val="00EE6C8A"/>
    <w:rsid w:val="00F05CF9"/>
    <w:rsid w:val="00F12322"/>
    <w:rsid w:val="00F15C5B"/>
    <w:rsid w:val="00F15D1D"/>
    <w:rsid w:val="00F3274F"/>
    <w:rsid w:val="00F61369"/>
    <w:rsid w:val="00F624F4"/>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B26A24-D063-44E5-A981-F4F648346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3</cp:revision>
  <dcterms:created xsi:type="dcterms:W3CDTF">2014-02-05T16:43:00Z</dcterms:created>
  <dcterms:modified xsi:type="dcterms:W3CDTF">2014-02-05T16:58:00Z</dcterms:modified>
</cp:coreProperties>
</file>