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174E" w:rsidRPr="00F41F49" w:rsidRDefault="003F159C" w:rsidP="003F159C">
      <w:pPr>
        <w:jc w:val="center"/>
        <w:rPr>
          <w:b/>
          <w:sz w:val="36"/>
        </w:rPr>
      </w:pPr>
      <w:r w:rsidRPr="00F41F49">
        <w:rPr>
          <w:b/>
          <w:sz w:val="36"/>
        </w:rPr>
        <w:t>R</w:t>
      </w:r>
      <w:bookmarkStart w:id="0" w:name="_GoBack"/>
      <w:bookmarkEnd w:id="0"/>
      <w:r w:rsidRPr="00F41F49">
        <w:rPr>
          <w:b/>
          <w:sz w:val="36"/>
        </w:rPr>
        <w:t>OS Update to TAC</w:t>
      </w:r>
    </w:p>
    <w:p w:rsidR="003F159C" w:rsidRPr="00F41F49" w:rsidRDefault="00F41F49" w:rsidP="00F41F49">
      <w:pPr>
        <w:spacing w:after="0" w:line="240" w:lineRule="auto"/>
        <w:rPr>
          <w:b/>
          <w:sz w:val="28"/>
        </w:rPr>
      </w:pPr>
      <w:r>
        <w:rPr>
          <w:b/>
          <w:sz w:val="28"/>
        </w:rPr>
        <w:t>TAC Meeting: Jan. 28, 1014</w:t>
      </w:r>
      <w:r>
        <w:rPr>
          <w:b/>
          <w:sz w:val="28"/>
        </w:rPr>
        <w:tab/>
      </w:r>
      <w:r>
        <w:rPr>
          <w:b/>
          <w:sz w:val="28"/>
        </w:rPr>
        <w:tab/>
      </w:r>
      <w:r>
        <w:rPr>
          <w:b/>
          <w:sz w:val="28"/>
        </w:rPr>
        <w:tab/>
      </w:r>
      <w:r>
        <w:rPr>
          <w:b/>
          <w:sz w:val="28"/>
        </w:rPr>
        <w:tab/>
      </w:r>
      <w:r>
        <w:rPr>
          <w:b/>
          <w:sz w:val="28"/>
        </w:rPr>
        <w:tab/>
      </w:r>
      <w:r>
        <w:rPr>
          <w:b/>
          <w:sz w:val="28"/>
        </w:rPr>
        <w:tab/>
      </w:r>
      <w:r>
        <w:rPr>
          <w:b/>
          <w:sz w:val="28"/>
        </w:rPr>
        <w:tab/>
      </w:r>
      <w:r>
        <w:rPr>
          <w:b/>
          <w:sz w:val="28"/>
        </w:rPr>
        <w:tab/>
      </w:r>
      <w:r>
        <w:rPr>
          <w:b/>
          <w:sz w:val="28"/>
        </w:rPr>
        <w:tab/>
        <w:t xml:space="preserve">ROS Meeting: </w:t>
      </w:r>
      <w:r w:rsidR="00462398">
        <w:rPr>
          <w:b/>
          <w:sz w:val="28"/>
        </w:rPr>
        <w:t>Jan. 9</w:t>
      </w:r>
      <w:r w:rsidR="003F159C" w:rsidRPr="00F41F49">
        <w:rPr>
          <w:b/>
          <w:sz w:val="28"/>
        </w:rPr>
        <w:t>, 101</w:t>
      </w:r>
      <w:r w:rsidR="00462398">
        <w:rPr>
          <w:b/>
          <w:sz w:val="28"/>
        </w:rPr>
        <w:t>4</w:t>
      </w:r>
    </w:p>
    <w:p w:rsidR="003F159C" w:rsidRPr="002A77C1" w:rsidRDefault="00302AC0" w:rsidP="003F159C">
      <w:pPr>
        <w:spacing w:after="0" w:line="240" w:lineRule="auto"/>
        <w:rPr>
          <w:sz w:val="24"/>
        </w:rPr>
      </w:pP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p>
    <w:p w:rsidR="007139AE" w:rsidRPr="00003C4B" w:rsidRDefault="00D9341F" w:rsidP="007139AE">
      <w:pPr>
        <w:pStyle w:val="ListParagraph"/>
        <w:numPr>
          <w:ilvl w:val="0"/>
          <w:numId w:val="1"/>
        </w:numPr>
        <w:spacing w:after="0" w:line="240" w:lineRule="auto"/>
        <w:rPr>
          <w:b/>
          <w:sz w:val="28"/>
        </w:rPr>
      </w:pPr>
      <w:r w:rsidRPr="00003C4B">
        <w:rPr>
          <w:b/>
          <w:sz w:val="28"/>
        </w:rPr>
        <w:t>TAC voting item</w:t>
      </w:r>
      <w:r w:rsidR="00462398" w:rsidRPr="00003C4B">
        <w:rPr>
          <w:b/>
          <w:sz w:val="28"/>
        </w:rPr>
        <w:t>s</w:t>
      </w:r>
    </w:p>
    <w:p w:rsidR="00462398" w:rsidRPr="00003C4B" w:rsidRDefault="00910B26" w:rsidP="00462398">
      <w:pPr>
        <w:pStyle w:val="ListParagraph"/>
        <w:numPr>
          <w:ilvl w:val="1"/>
          <w:numId w:val="1"/>
        </w:numPr>
        <w:spacing w:after="0" w:line="240" w:lineRule="auto"/>
        <w:rPr>
          <w:sz w:val="28"/>
        </w:rPr>
      </w:pPr>
      <w:r>
        <w:rPr>
          <w:sz w:val="28"/>
        </w:rPr>
        <w:t>Leadership Nominations:</w:t>
      </w:r>
      <w:r w:rsidR="00462398" w:rsidRPr="00003C4B">
        <w:rPr>
          <w:sz w:val="28"/>
        </w:rPr>
        <w:t xml:space="preserve"> </w:t>
      </w:r>
    </w:p>
    <w:p w:rsidR="00462398" w:rsidRPr="00003C4B" w:rsidRDefault="00910B26" w:rsidP="00462398">
      <w:pPr>
        <w:pStyle w:val="ListParagraph"/>
        <w:numPr>
          <w:ilvl w:val="2"/>
          <w:numId w:val="1"/>
        </w:numPr>
        <w:spacing w:after="0" w:line="240" w:lineRule="auto"/>
        <w:rPr>
          <w:sz w:val="28"/>
        </w:rPr>
      </w:pPr>
      <w:r>
        <w:rPr>
          <w:sz w:val="28"/>
        </w:rPr>
        <w:t xml:space="preserve">Chair: </w:t>
      </w:r>
      <w:r w:rsidR="00462398" w:rsidRPr="00003C4B">
        <w:rPr>
          <w:sz w:val="28"/>
        </w:rPr>
        <w:tab/>
        <w:t>Bill Hatfield, LCRA</w:t>
      </w:r>
    </w:p>
    <w:p w:rsidR="00462398" w:rsidRPr="00003C4B" w:rsidRDefault="00910B26" w:rsidP="00462398">
      <w:pPr>
        <w:pStyle w:val="ListParagraph"/>
        <w:numPr>
          <w:ilvl w:val="2"/>
          <w:numId w:val="1"/>
        </w:numPr>
        <w:spacing w:after="0" w:line="240" w:lineRule="auto"/>
        <w:rPr>
          <w:sz w:val="28"/>
        </w:rPr>
      </w:pPr>
      <w:r>
        <w:rPr>
          <w:sz w:val="28"/>
        </w:rPr>
        <w:t>Vice Chair:</w:t>
      </w:r>
      <w:r>
        <w:rPr>
          <w:sz w:val="28"/>
        </w:rPr>
        <w:tab/>
      </w:r>
      <w:r w:rsidR="00462398" w:rsidRPr="00003C4B">
        <w:rPr>
          <w:sz w:val="28"/>
        </w:rPr>
        <w:t>Dana Showalter, E.ON Climate &amp; Renewables</w:t>
      </w:r>
    </w:p>
    <w:p w:rsidR="00462398" w:rsidRPr="00003C4B" w:rsidRDefault="00D1655E" w:rsidP="00462398">
      <w:pPr>
        <w:pStyle w:val="ListParagraph"/>
        <w:numPr>
          <w:ilvl w:val="1"/>
          <w:numId w:val="1"/>
        </w:numPr>
        <w:spacing w:after="0" w:line="240" w:lineRule="auto"/>
        <w:rPr>
          <w:sz w:val="28"/>
        </w:rPr>
      </w:pPr>
      <w:r>
        <w:rPr>
          <w:sz w:val="28"/>
        </w:rPr>
        <w:t>Revision Requests</w:t>
      </w:r>
      <w:r w:rsidR="00A26DA1" w:rsidRPr="00003C4B">
        <w:rPr>
          <w:sz w:val="28"/>
        </w:rPr>
        <w:t xml:space="preserve"> (see table below)</w:t>
      </w:r>
    </w:p>
    <w:p w:rsidR="00462398" w:rsidRDefault="00462398" w:rsidP="00462398">
      <w:pPr>
        <w:spacing w:after="0" w:line="240" w:lineRule="auto"/>
        <w:rPr>
          <w:b/>
          <w:sz w:val="24"/>
        </w:rPr>
      </w:pPr>
    </w:p>
    <w:p w:rsidR="00462398" w:rsidRDefault="00462398" w:rsidP="00462398">
      <w:pPr>
        <w:spacing w:after="0" w:line="240" w:lineRule="auto"/>
        <w:rPr>
          <w:sz w:val="24"/>
        </w:rPr>
      </w:pPr>
    </w:p>
    <w:tbl>
      <w:tblPr>
        <w:tblStyle w:val="TableGrid"/>
        <w:tblW w:w="0" w:type="auto"/>
        <w:tblLook w:val="04A0" w:firstRow="1" w:lastRow="0" w:firstColumn="1" w:lastColumn="0" w:noHBand="0" w:noVBand="1"/>
      </w:tblPr>
      <w:tblGrid>
        <w:gridCol w:w="1368"/>
        <w:gridCol w:w="3902"/>
        <w:gridCol w:w="5368"/>
        <w:gridCol w:w="2520"/>
      </w:tblGrid>
      <w:tr w:rsidR="00462398" w:rsidRPr="006E712F" w:rsidTr="00D26583">
        <w:tc>
          <w:tcPr>
            <w:tcW w:w="1368" w:type="dxa"/>
            <w:shd w:val="clear" w:color="auto" w:fill="C6D9F1" w:themeFill="text2" w:themeFillTint="33"/>
          </w:tcPr>
          <w:p w:rsidR="00462398" w:rsidRPr="003C3EDD" w:rsidRDefault="00462398" w:rsidP="00D26583">
            <w:pPr>
              <w:rPr>
                <w:b/>
                <w:sz w:val="24"/>
                <w:szCs w:val="24"/>
              </w:rPr>
            </w:pPr>
            <w:r w:rsidRPr="003C3EDD">
              <w:rPr>
                <w:b/>
                <w:sz w:val="24"/>
                <w:szCs w:val="24"/>
              </w:rPr>
              <w:t>Item</w:t>
            </w:r>
          </w:p>
        </w:tc>
        <w:tc>
          <w:tcPr>
            <w:tcW w:w="3902" w:type="dxa"/>
            <w:shd w:val="clear" w:color="auto" w:fill="C6D9F1" w:themeFill="text2" w:themeFillTint="33"/>
          </w:tcPr>
          <w:p w:rsidR="00462398" w:rsidRPr="003C3EDD" w:rsidRDefault="00462398" w:rsidP="00D26583">
            <w:pPr>
              <w:rPr>
                <w:b/>
                <w:sz w:val="24"/>
                <w:szCs w:val="24"/>
              </w:rPr>
            </w:pPr>
            <w:r w:rsidRPr="003C3EDD">
              <w:rPr>
                <w:b/>
                <w:sz w:val="24"/>
                <w:szCs w:val="24"/>
              </w:rPr>
              <w:t>Title</w:t>
            </w:r>
          </w:p>
        </w:tc>
        <w:tc>
          <w:tcPr>
            <w:tcW w:w="5368" w:type="dxa"/>
            <w:shd w:val="clear" w:color="auto" w:fill="C6D9F1" w:themeFill="text2" w:themeFillTint="33"/>
          </w:tcPr>
          <w:p w:rsidR="00462398" w:rsidRPr="003C3EDD" w:rsidRDefault="00462398" w:rsidP="00D26583">
            <w:pPr>
              <w:rPr>
                <w:b/>
                <w:sz w:val="24"/>
                <w:szCs w:val="24"/>
              </w:rPr>
            </w:pPr>
            <w:r w:rsidRPr="003C3EDD">
              <w:rPr>
                <w:b/>
                <w:sz w:val="24"/>
                <w:szCs w:val="24"/>
              </w:rPr>
              <w:t>Short Description</w:t>
            </w:r>
          </w:p>
        </w:tc>
        <w:tc>
          <w:tcPr>
            <w:tcW w:w="2520" w:type="dxa"/>
            <w:shd w:val="clear" w:color="auto" w:fill="C6D9F1" w:themeFill="text2" w:themeFillTint="33"/>
          </w:tcPr>
          <w:p w:rsidR="00462398" w:rsidRPr="003C3EDD" w:rsidRDefault="00462398" w:rsidP="00D26583">
            <w:pPr>
              <w:rPr>
                <w:b/>
                <w:sz w:val="24"/>
                <w:szCs w:val="24"/>
              </w:rPr>
            </w:pPr>
            <w:r w:rsidRPr="003C3EDD">
              <w:rPr>
                <w:b/>
                <w:sz w:val="24"/>
                <w:szCs w:val="24"/>
              </w:rPr>
              <w:t>Motion</w:t>
            </w:r>
          </w:p>
        </w:tc>
      </w:tr>
      <w:tr w:rsidR="00462398" w:rsidTr="00D26583">
        <w:tc>
          <w:tcPr>
            <w:tcW w:w="1368" w:type="dxa"/>
            <w:tcBorders>
              <w:top w:val="single" w:sz="4" w:space="0" w:color="auto"/>
            </w:tcBorders>
          </w:tcPr>
          <w:p w:rsidR="00462398" w:rsidRPr="003C3EDD" w:rsidRDefault="00462398" w:rsidP="00A26DA1">
            <w:pPr>
              <w:rPr>
                <w:sz w:val="24"/>
                <w:szCs w:val="24"/>
              </w:rPr>
            </w:pPr>
            <w:r w:rsidRPr="003C3EDD">
              <w:rPr>
                <w:sz w:val="24"/>
                <w:szCs w:val="24"/>
              </w:rPr>
              <w:t>NOG</w:t>
            </w:r>
            <w:r w:rsidR="00462CF7" w:rsidRPr="003C3EDD">
              <w:rPr>
                <w:sz w:val="24"/>
                <w:szCs w:val="24"/>
              </w:rPr>
              <w:t>R</w:t>
            </w:r>
            <w:r w:rsidRPr="003C3EDD">
              <w:rPr>
                <w:sz w:val="24"/>
                <w:szCs w:val="24"/>
              </w:rPr>
              <w:t>R123</w:t>
            </w:r>
          </w:p>
        </w:tc>
        <w:tc>
          <w:tcPr>
            <w:tcW w:w="3902" w:type="dxa"/>
            <w:tcBorders>
              <w:top w:val="single" w:sz="4" w:space="0" w:color="auto"/>
            </w:tcBorders>
          </w:tcPr>
          <w:p w:rsidR="00462398" w:rsidRPr="003C3EDD" w:rsidRDefault="00462398" w:rsidP="00D26583">
            <w:pPr>
              <w:rPr>
                <w:sz w:val="24"/>
                <w:szCs w:val="24"/>
              </w:rPr>
            </w:pPr>
            <w:r w:rsidRPr="003C3EDD">
              <w:rPr>
                <w:sz w:val="24"/>
                <w:szCs w:val="24"/>
              </w:rPr>
              <w:t xml:space="preserve">Revisions to </w:t>
            </w:r>
            <w:proofErr w:type="spellStart"/>
            <w:r w:rsidRPr="003C3EDD">
              <w:rPr>
                <w:sz w:val="24"/>
                <w:szCs w:val="24"/>
              </w:rPr>
              <w:t>Misoperations</w:t>
            </w:r>
            <w:proofErr w:type="spellEnd"/>
            <w:r w:rsidRPr="003C3EDD">
              <w:rPr>
                <w:sz w:val="24"/>
                <w:szCs w:val="24"/>
              </w:rPr>
              <w:t xml:space="preserve"> Reporting Requirements</w:t>
            </w:r>
          </w:p>
        </w:tc>
        <w:tc>
          <w:tcPr>
            <w:tcW w:w="5368" w:type="dxa"/>
            <w:tcBorders>
              <w:top w:val="single" w:sz="4" w:space="0" w:color="auto"/>
            </w:tcBorders>
          </w:tcPr>
          <w:p w:rsidR="00462398" w:rsidRPr="003C3EDD" w:rsidRDefault="00462CF7" w:rsidP="00D26583">
            <w:pPr>
              <w:rPr>
                <w:sz w:val="24"/>
                <w:szCs w:val="24"/>
              </w:rPr>
            </w:pPr>
            <w:r w:rsidRPr="003C3EDD">
              <w:rPr>
                <w:sz w:val="24"/>
                <w:szCs w:val="24"/>
              </w:rPr>
              <w:t xml:space="preserve">To improve the reporting process of </w:t>
            </w:r>
            <w:proofErr w:type="spellStart"/>
            <w:r w:rsidRPr="003C3EDD">
              <w:rPr>
                <w:sz w:val="24"/>
                <w:szCs w:val="24"/>
              </w:rPr>
              <w:t>misoperations</w:t>
            </w:r>
            <w:proofErr w:type="spellEnd"/>
            <w:r w:rsidRPr="003C3EDD">
              <w:rPr>
                <w:sz w:val="24"/>
                <w:szCs w:val="24"/>
              </w:rPr>
              <w:t xml:space="preserve"> to ERCOT and Texas RE by specifying the frequency for reporting and clarifying how, and to what entities, the reporting should be made</w:t>
            </w:r>
          </w:p>
        </w:tc>
        <w:tc>
          <w:tcPr>
            <w:tcW w:w="2520" w:type="dxa"/>
            <w:tcBorders>
              <w:top w:val="single" w:sz="4" w:space="0" w:color="auto"/>
            </w:tcBorders>
          </w:tcPr>
          <w:p w:rsidR="00462398" w:rsidRPr="003C3EDD" w:rsidRDefault="00462CF7" w:rsidP="00462CF7">
            <w:pPr>
              <w:rPr>
                <w:sz w:val="24"/>
                <w:szCs w:val="24"/>
              </w:rPr>
            </w:pPr>
            <w:r w:rsidRPr="003C3EDD">
              <w:rPr>
                <w:sz w:val="24"/>
                <w:szCs w:val="24"/>
                <w:u w:val="single"/>
              </w:rPr>
              <w:t xml:space="preserve">ROS unanimously recommend </w:t>
            </w:r>
            <w:r w:rsidR="00462398" w:rsidRPr="003C3EDD">
              <w:rPr>
                <w:sz w:val="24"/>
                <w:szCs w:val="24"/>
                <w:u w:val="single"/>
              </w:rPr>
              <w:t xml:space="preserve"> </w:t>
            </w:r>
            <w:r w:rsidRPr="003C3EDD">
              <w:rPr>
                <w:sz w:val="24"/>
                <w:szCs w:val="24"/>
                <w:u w:val="single"/>
              </w:rPr>
              <w:t>for approval</w:t>
            </w:r>
            <w:r w:rsidRPr="003C3EDD">
              <w:rPr>
                <w:sz w:val="24"/>
                <w:szCs w:val="24"/>
              </w:rPr>
              <w:t xml:space="preserve"> as recommended by 12/17/13 OWG Report and as amended by the 1/7/14 Oncor comments</w:t>
            </w:r>
          </w:p>
        </w:tc>
      </w:tr>
      <w:tr w:rsidR="00462398" w:rsidTr="00D26583">
        <w:tc>
          <w:tcPr>
            <w:tcW w:w="1368" w:type="dxa"/>
          </w:tcPr>
          <w:p w:rsidR="00462398" w:rsidRPr="003C3EDD" w:rsidRDefault="00462CF7" w:rsidP="00D26583">
            <w:pPr>
              <w:rPr>
                <w:sz w:val="24"/>
                <w:szCs w:val="24"/>
              </w:rPr>
            </w:pPr>
            <w:r w:rsidRPr="003C3EDD">
              <w:rPr>
                <w:sz w:val="24"/>
                <w:szCs w:val="24"/>
              </w:rPr>
              <w:t>NOGRR125</w:t>
            </w:r>
          </w:p>
        </w:tc>
        <w:tc>
          <w:tcPr>
            <w:tcW w:w="3902" w:type="dxa"/>
          </w:tcPr>
          <w:p w:rsidR="00462398" w:rsidRPr="003C3EDD" w:rsidRDefault="00462CF7" w:rsidP="00D26583">
            <w:pPr>
              <w:rPr>
                <w:sz w:val="24"/>
                <w:szCs w:val="24"/>
              </w:rPr>
            </w:pPr>
            <w:r w:rsidRPr="003C3EDD">
              <w:rPr>
                <w:sz w:val="24"/>
                <w:szCs w:val="24"/>
              </w:rPr>
              <w:t>Minimum Notice for Coordinated Reactive testing</w:t>
            </w:r>
          </w:p>
        </w:tc>
        <w:tc>
          <w:tcPr>
            <w:tcW w:w="5368" w:type="dxa"/>
          </w:tcPr>
          <w:p w:rsidR="00462398" w:rsidRPr="003C3EDD" w:rsidRDefault="00462CF7" w:rsidP="00D26583">
            <w:pPr>
              <w:rPr>
                <w:sz w:val="24"/>
                <w:szCs w:val="24"/>
              </w:rPr>
            </w:pPr>
            <w:r w:rsidRPr="003C3EDD">
              <w:rPr>
                <w:sz w:val="24"/>
                <w:szCs w:val="24"/>
              </w:rPr>
              <w:t>Changes the minimum advance notification for a coordinated reactive capability test of a Generation Resource from 48 hours prior, to 1700 the day prior to the day of the test.  Decreasing the minimum notification time for reactive testing will allow ERCOT Operations, the QSE, and the Transmission Service Provider (TSP) to make a decision based on the final and most accurate plans for the Operating Period.</w:t>
            </w:r>
          </w:p>
        </w:tc>
        <w:tc>
          <w:tcPr>
            <w:tcW w:w="2520" w:type="dxa"/>
          </w:tcPr>
          <w:p w:rsidR="00462398" w:rsidRPr="003C3EDD" w:rsidRDefault="00462CF7" w:rsidP="00462CF7">
            <w:pPr>
              <w:rPr>
                <w:sz w:val="24"/>
                <w:szCs w:val="24"/>
              </w:rPr>
            </w:pPr>
            <w:r w:rsidRPr="003C3EDD">
              <w:rPr>
                <w:sz w:val="24"/>
                <w:szCs w:val="24"/>
                <w:u w:val="single"/>
              </w:rPr>
              <w:t>ROS u</w:t>
            </w:r>
            <w:r w:rsidR="00462398" w:rsidRPr="003C3EDD">
              <w:rPr>
                <w:sz w:val="24"/>
                <w:szCs w:val="24"/>
                <w:u w:val="single"/>
              </w:rPr>
              <w:t xml:space="preserve">nanimously </w:t>
            </w:r>
            <w:r w:rsidRPr="003C3EDD">
              <w:rPr>
                <w:sz w:val="24"/>
                <w:szCs w:val="24"/>
                <w:u w:val="single"/>
              </w:rPr>
              <w:t>recommended for approval</w:t>
            </w:r>
            <w:r w:rsidRPr="003C3EDD">
              <w:rPr>
                <w:sz w:val="24"/>
                <w:szCs w:val="24"/>
              </w:rPr>
              <w:t xml:space="preserve"> as recommended </w:t>
            </w:r>
            <w:r w:rsidR="00462398" w:rsidRPr="003C3EDD">
              <w:rPr>
                <w:sz w:val="24"/>
                <w:szCs w:val="24"/>
              </w:rPr>
              <w:t xml:space="preserve">by </w:t>
            </w:r>
            <w:r w:rsidRPr="003C3EDD">
              <w:rPr>
                <w:sz w:val="24"/>
                <w:szCs w:val="24"/>
              </w:rPr>
              <w:t xml:space="preserve">the 12/17/13 OWG Report </w:t>
            </w:r>
          </w:p>
        </w:tc>
      </w:tr>
      <w:tr w:rsidR="00462398" w:rsidTr="00D26583">
        <w:tc>
          <w:tcPr>
            <w:tcW w:w="1368" w:type="dxa"/>
          </w:tcPr>
          <w:p w:rsidR="00462398" w:rsidRPr="003C3EDD" w:rsidRDefault="00D1655E" w:rsidP="00D26583">
            <w:pPr>
              <w:rPr>
                <w:sz w:val="24"/>
                <w:szCs w:val="24"/>
              </w:rPr>
            </w:pPr>
            <w:r w:rsidRPr="003C3EDD">
              <w:rPr>
                <w:sz w:val="24"/>
                <w:szCs w:val="24"/>
              </w:rPr>
              <w:t>PGRR033</w:t>
            </w:r>
          </w:p>
          <w:p w:rsidR="00A26DA1" w:rsidRPr="003C3EDD" w:rsidRDefault="00A26DA1" w:rsidP="00D26583">
            <w:pPr>
              <w:rPr>
                <w:sz w:val="24"/>
                <w:szCs w:val="24"/>
              </w:rPr>
            </w:pPr>
          </w:p>
        </w:tc>
        <w:tc>
          <w:tcPr>
            <w:tcW w:w="3902" w:type="dxa"/>
          </w:tcPr>
          <w:p w:rsidR="00462398" w:rsidRPr="003C3EDD" w:rsidRDefault="00462CF7" w:rsidP="00D26583">
            <w:pPr>
              <w:rPr>
                <w:sz w:val="24"/>
                <w:szCs w:val="24"/>
              </w:rPr>
            </w:pPr>
            <w:r w:rsidRPr="003C3EDD">
              <w:rPr>
                <w:sz w:val="24"/>
                <w:szCs w:val="24"/>
              </w:rPr>
              <w:lastRenderedPageBreak/>
              <w:t>Dynamic Flat Start Cases Preparation</w:t>
            </w:r>
          </w:p>
        </w:tc>
        <w:tc>
          <w:tcPr>
            <w:tcW w:w="5368" w:type="dxa"/>
          </w:tcPr>
          <w:p w:rsidR="00462398" w:rsidRPr="003C3EDD" w:rsidRDefault="00462CF7" w:rsidP="00D26583">
            <w:pPr>
              <w:rPr>
                <w:sz w:val="24"/>
                <w:szCs w:val="24"/>
              </w:rPr>
            </w:pPr>
            <w:r w:rsidRPr="003C3EDD">
              <w:rPr>
                <w:sz w:val="24"/>
                <w:szCs w:val="24"/>
              </w:rPr>
              <w:t>This PGRR aligns the Planning Guide with the ROS-</w:t>
            </w:r>
            <w:r w:rsidRPr="003C3EDD">
              <w:rPr>
                <w:sz w:val="24"/>
                <w:szCs w:val="24"/>
              </w:rPr>
              <w:lastRenderedPageBreak/>
              <w:t>approved Dynamics Working Group Procedural Manual, Revision 8, which requires ERCOT to prepare all flat start simulations</w:t>
            </w:r>
          </w:p>
        </w:tc>
        <w:tc>
          <w:tcPr>
            <w:tcW w:w="2520" w:type="dxa"/>
          </w:tcPr>
          <w:p w:rsidR="00462398" w:rsidRPr="003C3EDD" w:rsidRDefault="00462398" w:rsidP="00234E96">
            <w:pPr>
              <w:rPr>
                <w:sz w:val="24"/>
                <w:szCs w:val="24"/>
              </w:rPr>
            </w:pPr>
            <w:r w:rsidRPr="003C3EDD">
              <w:rPr>
                <w:sz w:val="24"/>
                <w:szCs w:val="24"/>
                <w:u w:val="single"/>
              </w:rPr>
              <w:lastRenderedPageBreak/>
              <w:t xml:space="preserve">ROS unanimously </w:t>
            </w:r>
            <w:r w:rsidR="00462CF7" w:rsidRPr="003C3EDD">
              <w:rPr>
                <w:sz w:val="24"/>
                <w:szCs w:val="24"/>
                <w:u w:val="single"/>
              </w:rPr>
              <w:lastRenderedPageBreak/>
              <w:t>recommended approval</w:t>
            </w:r>
            <w:r w:rsidR="00462CF7" w:rsidRPr="003C3EDD">
              <w:rPr>
                <w:sz w:val="24"/>
                <w:szCs w:val="24"/>
              </w:rPr>
              <w:t xml:space="preserve"> </w:t>
            </w:r>
            <w:r w:rsidR="00A26DA1" w:rsidRPr="003C3EDD">
              <w:rPr>
                <w:sz w:val="24"/>
                <w:szCs w:val="24"/>
              </w:rPr>
              <w:t>as recommended by</w:t>
            </w:r>
            <w:r w:rsidR="00234E96">
              <w:rPr>
                <w:sz w:val="24"/>
                <w:szCs w:val="24"/>
              </w:rPr>
              <w:t xml:space="preserve"> PLWG in</w:t>
            </w:r>
            <w:r w:rsidR="00A26DA1" w:rsidRPr="003C3EDD">
              <w:rPr>
                <w:sz w:val="24"/>
                <w:szCs w:val="24"/>
              </w:rPr>
              <w:t xml:space="preserve"> the 11/22/13 PLWG </w:t>
            </w:r>
            <w:r w:rsidR="00234E96">
              <w:rPr>
                <w:sz w:val="24"/>
                <w:szCs w:val="24"/>
              </w:rPr>
              <w:t>Report</w:t>
            </w:r>
            <w:r w:rsidR="00A26DA1" w:rsidRPr="003C3EDD">
              <w:rPr>
                <w:sz w:val="24"/>
                <w:szCs w:val="24"/>
              </w:rPr>
              <w:t xml:space="preserve"> with effective date of 1/1/15</w:t>
            </w:r>
          </w:p>
        </w:tc>
      </w:tr>
    </w:tbl>
    <w:p w:rsidR="00462398" w:rsidRDefault="00462398" w:rsidP="00462398">
      <w:pPr>
        <w:spacing w:after="0" w:line="240" w:lineRule="auto"/>
        <w:rPr>
          <w:sz w:val="24"/>
        </w:rPr>
      </w:pPr>
    </w:p>
    <w:p w:rsidR="00D9341F" w:rsidRPr="00A26DA1" w:rsidRDefault="00D9341F" w:rsidP="00A26DA1">
      <w:pPr>
        <w:spacing w:after="0" w:line="240" w:lineRule="auto"/>
        <w:rPr>
          <w:sz w:val="24"/>
        </w:rPr>
      </w:pPr>
    </w:p>
    <w:p w:rsidR="007139AE" w:rsidRPr="00003C4B" w:rsidRDefault="00A26DA1" w:rsidP="007139AE">
      <w:pPr>
        <w:pStyle w:val="ListParagraph"/>
        <w:numPr>
          <w:ilvl w:val="0"/>
          <w:numId w:val="1"/>
        </w:numPr>
        <w:spacing w:after="0" w:line="240" w:lineRule="auto"/>
        <w:rPr>
          <w:b/>
          <w:sz w:val="28"/>
        </w:rPr>
      </w:pPr>
      <w:r w:rsidRPr="00003C4B">
        <w:rPr>
          <w:b/>
          <w:sz w:val="28"/>
        </w:rPr>
        <w:t>TAC Update Items</w:t>
      </w:r>
    </w:p>
    <w:p w:rsidR="00A26DA1" w:rsidRPr="00003C4B" w:rsidRDefault="00A26DA1" w:rsidP="00A26DA1">
      <w:pPr>
        <w:pStyle w:val="ListParagraph"/>
        <w:numPr>
          <w:ilvl w:val="1"/>
          <w:numId w:val="1"/>
        </w:numPr>
        <w:spacing w:after="0" w:line="240" w:lineRule="auto"/>
        <w:rPr>
          <w:sz w:val="28"/>
        </w:rPr>
      </w:pPr>
      <w:r w:rsidRPr="00003C4B">
        <w:rPr>
          <w:sz w:val="28"/>
        </w:rPr>
        <w:t>2014 Draft ROS Goals</w:t>
      </w:r>
      <w:r w:rsidR="00DE0AFE" w:rsidRPr="00003C4B">
        <w:rPr>
          <w:sz w:val="28"/>
        </w:rPr>
        <w:t xml:space="preserve"> (see below)</w:t>
      </w:r>
    </w:p>
    <w:p w:rsidR="005C1774" w:rsidRPr="00003C4B" w:rsidRDefault="005C1774" w:rsidP="003F159C">
      <w:pPr>
        <w:spacing w:after="0" w:line="240" w:lineRule="auto"/>
        <w:rPr>
          <w:sz w:val="28"/>
        </w:rPr>
      </w:pPr>
    </w:p>
    <w:p w:rsidR="00D9341F" w:rsidRPr="00003C4B" w:rsidRDefault="00D9341F" w:rsidP="005C1774">
      <w:pPr>
        <w:pStyle w:val="ListParagraph"/>
        <w:numPr>
          <w:ilvl w:val="0"/>
          <w:numId w:val="1"/>
        </w:numPr>
        <w:spacing w:after="0" w:line="240" w:lineRule="auto"/>
        <w:rPr>
          <w:b/>
          <w:sz w:val="28"/>
        </w:rPr>
      </w:pPr>
      <w:r w:rsidRPr="00003C4B">
        <w:rPr>
          <w:b/>
          <w:sz w:val="28"/>
        </w:rPr>
        <w:t>TAC Requests</w:t>
      </w:r>
      <w:r w:rsidR="00F41F49" w:rsidRPr="00003C4B">
        <w:rPr>
          <w:b/>
          <w:sz w:val="28"/>
        </w:rPr>
        <w:t xml:space="preserve"> that ROS look into the following:</w:t>
      </w:r>
    </w:p>
    <w:p w:rsidR="00D9341F" w:rsidRPr="00003C4B" w:rsidRDefault="00A26DA1" w:rsidP="00D9341F">
      <w:pPr>
        <w:pStyle w:val="ListParagraph"/>
        <w:numPr>
          <w:ilvl w:val="1"/>
          <w:numId w:val="1"/>
        </w:numPr>
        <w:spacing w:after="0" w:line="240" w:lineRule="auto"/>
        <w:rPr>
          <w:sz w:val="28"/>
        </w:rPr>
      </w:pPr>
      <w:r w:rsidRPr="00003C4B">
        <w:rPr>
          <w:sz w:val="28"/>
        </w:rPr>
        <w:t xml:space="preserve"> </w:t>
      </w:r>
      <w:r w:rsidR="00D9341F" w:rsidRPr="00003C4B">
        <w:rPr>
          <w:sz w:val="28"/>
        </w:rPr>
        <w:t>“</w:t>
      </w:r>
      <w:r w:rsidR="0082426E" w:rsidRPr="00003C4B">
        <w:rPr>
          <w:sz w:val="28"/>
        </w:rPr>
        <w:t>…</w:t>
      </w:r>
      <w:r w:rsidR="00D9341F" w:rsidRPr="00003C4B">
        <w:rPr>
          <w:sz w:val="28"/>
        </w:rPr>
        <w:t>early release of HSAL to SCED</w:t>
      </w:r>
      <w:r w:rsidR="000302F6" w:rsidRPr="00003C4B">
        <w:rPr>
          <w:sz w:val="28"/>
        </w:rPr>
        <w:t xml:space="preserve"> under ORDC</w:t>
      </w:r>
      <w:r w:rsidR="00D9341F" w:rsidRPr="00003C4B">
        <w:rPr>
          <w:sz w:val="28"/>
        </w:rPr>
        <w:t>”</w:t>
      </w:r>
    </w:p>
    <w:p w:rsidR="0082426E" w:rsidRPr="00003C4B" w:rsidRDefault="0082426E" w:rsidP="0082426E">
      <w:pPr>
        <w:pStyle w:val="ListParagraph"/>
        <w:numPr>
          <w:ilvl w:val="2"/>
          <w:numId w:val="1"/>
        </w:numPr>
        <w:spacing w:after="0" w:line="240" w:lineRule="auto"/>
        <w:rPr>
          <w:sz w:val="28"/>
        </w:rPr>
      </w:pPr>
      <w:r w:rsidRPr="00003C4B">
        <w:rPr>
          <w:sz w:val="28"/>
        </w:rPr>
        <w:t>Still eval</w:t>
      </w:r>
      <w:r w:rsidR="005C1774" w:rsidRPr="00003C4B">
        <w:rPr>
          <w:sz w:val="28"/>
        </w:rPr>
        <w:t xml:space="preserve">uating and anticipate follow-up </w:t>
      </w:r>
      <w:r w:rsidR="00F41F49" w:rsidRPr="00003C4B">
        <w:rPr>
          <w:sz w:val="28"/>
        </w:rPr>
        <w:t>at February TAC meeting</w:t>
      </w:r>
    </w:p>
    <w:p w:rsidR="008B220A" w:rsidRDefault="008B220A" w:rsidP="008B220A">
      <w:pPr>
        <w:spacing w:after="0" w:line="240" w:lineRule="auto"/>
        <w:rPr>
          <w:sz w:val="24"/>
        </w:rPr>
      </w:pPr>
    </w:p>
    <w:p w:rsidR="005C1774" w:rsidRDefault="005C1774" w:rsidP="008B220A">
      <w:pPr>
        <w:spacing w:after="0" w:line="240" w:lineRule="auto"/>
        <w:rPr>
          <w:sz w:val="24"/>
        </w:rPr>
      </w:pPr>
    </w:p>
    <w:p w:rsidR="005C1774" w:rsidRDefault="005C1774" w:rsidP="008B220A">
      <w:pPr>
        <w:spacing w:after="0" w:line="240" w:lineRule="auto"/>
        <w:rPr>
          <w:sz w:val="24"/>
        </w:rPr>
      </w:pPr>
    </w:p>
    <w:p w:rsidR="005C1774" w:rsidRDefault="005C1774" w:rsidP="008B220A">
      <w:pPr>
        <w:spacing w:after="0" w:line="240" w:lineRule="auto"/>
        <w:rPr>
          <w:sz w:val="24"/>
        </w:rPr>
      </w:pPr>
    </w:p>
    <w:p w:rsidR="005C1774" w:rsidRDefault="005C1774" w:rsidP="008B220A">
      <w:pPr>
        <w:spacing w:after="0" w:line="240" w:lineRule="auto"/>
        <w:rPr>
          <w:sz w:val="24"/>
        </w:rPr>
      </w:pPr>
    </w:p>
    <w:p w:rsidR="005C1774" w:rsidRDefault="005C1774" w:rsidP="008B220A">
      <w:pPr>
        <w:spacing w:after="0" w:line="240" w:lineRule="auto"/>
        <w:rPr>
          <w:sz w:val="24"/>
        </w:rPr>
      </w:pPr>
    </w:p>
    <w:p w:rsidR="008B220A" w:rsidRDefault="008B220A" w:rsidP="008B220A">
      <w:pPr>
        <w:spacing w:after="0" w:line="240" w:lineRule="auto"/>
        <w:rPr>
          <w:sz w:val="24"/>
        </w:rPr>
      </w:pPr>
    </w:p>
    <w:p w:rsidR="008B220A" w:rsidRDefault="008B220A" w:rsidP="008B220A">
      <w:pPr>
        <w:spacing w:after="0" w:line="240" w:lineRule="auto"/>
        <w:rPr>
          <w:sz w:val="24"/>
        </w:rPr>
      </w:pPr>
    </w:p>
    <w:p w:rsidR="008B220A" w:rsidRDefault="008B220A" w:rsidP="008B220A">
      <w:pPr>
        <w:spacing w:after="0" w:line="240" w:lineRule="auto"/>
        <w:rPr>
          <w:sz w:val="24"/>
        </w:rPr>
      </w:pPr>
    </w:p>
    <w:p w:rsidR="00C65388" w:rsidRDefault="00C65388" w:rsidP="008B220A">
      <w:pPr>
        <w:spacing w:after="0" w:line="240" w:lineRule="auto"/>
        <w:rPr>
          <w:sz w:val="24"/>
        </w:rPr>
      </w:pPr>
    </w:p>
    <w:p w:rsidR="00C65388" w:rsidRDefault="00C65388" w:rsidP="008B220A">
      <w:pPr>
        <w:spacing w:after="0" w:line="240" w:lineRule="auto"/>
        <w:rPr>
          <w:sz w:val="24"/>
        </w:rPr>
      </w:pPr>
    </w:p>
    <w:p w:rsidR="00C65388" w:rsidRDefault="00C65388" w:rsidP="008B220A">
      <w:pPr>
        <w:spacing w:after="0" w:line="240" w:lineRule="auto"/>
        <w:rPr>
          <w:sz w:val="24"/>
        </w:rPr>
      </w:pPr>
    </w:p>
    <w:p w:rsidR="00C65388" w:rsidRDefault="00C65388" w:rsidP="008B220A">
      <w:pPr>
        <w:spacing w:after="0" w:line="240" w:lineRule="auto"/>
        <w:rPr>
          <w:sz w:val="24"/>
        </w:rPr>
      </w:pPr>
    </w:p>
    <w:p w:rsidR="00C65388" w:rsidRDefault="00C65388" w:rsidP="008B220A">
      <w:pPr>
        <w:spacing w:after="0" w:line="240" w:lineRule="auto"/>
        <w:rPr>
          <w:sz w:val="24"/>
        </w:rPr>
      </w:pPr>
    </w:p>
    <w:p w:rsidR="00C65388" w:rsidRDefault="00C65388" w:rsidP="008B220A">
      <w:pPr>
        <w:spacing w:after="0" w:line="240" w:lineRule="auto"/>
        <w:rPr>
          <w:sz w:val="24"/>
        </w:rPr>
      </w:pPr>
    </w:p>
    <w:p w:rsidR="00C65388" w:rsidRPr="004D08F3" w:rsidRDefault="00C65388" w:rsidP="00C65388">
      <w:pPr>
        <w:spacing w:after="240"/>
        <w:jc w:val="center"/>
        <w:rPr>
          <w:rFonts w:ascii="Times New Roman" w:hAnsi="Times New Roman"/>
          <w:b/>
          <w:sz w:val="32"/>
          <w:szCs w:val="28"/>
        </w:rPr>
      </w:pPr>
      <w:r w:rsidRPr="004D08F3">
        <w:rPr>
          <w:rFonts w:ascii="Times New Roman" w:hAnsi="Times New Roman"/>
          <w:b/>
          <w:sz w:val="32"/>
          <w:szCs w:val="28"/>
        </w:rPr>
        <w:lastRenderedPageBreak/>
        <w:t>Draft 2014 ROS Goals</w:t>
      </w:r>
    </w:p>
    <w:p w:rsidR="00C65388" w:rsidRPr="00176DE5" w:rsidRDefault="00C65388" w:rsidP="00C65388">
      <w:pPr>
        <w:spacing w:after="240"/>
        <w:jc w:val="center"/>
        <w:rPr>
          <w:rFonts w:ascii="Times New Roman" w:hAnsi="Times New Roman"/>
          <w:b/>
          <w:sz w:val="28"/>
          <w:szCs w:val="28"/>
        </w:rPr>
      </w:pPr>
    </w:p>
    <w:p w:rsidR="00C65388" w:rsidRPr="004D08F3" w:rsidRDefault="00C65388" w:rsidP="00C65388">
      <w:pPr>
        <w:numPr>
          <w:ilvl w:val="1"/>
          <w:numId w:val="2"/>
        </w:numPr>
        <w:tabs>
          <w:tab w:val="clear" w:pos="1440"/>
        </w:tabs>
        <w:ind w:left="360"/>
        <w:rPr>
          <w:rFonts w:ascii="Times New Roman" w:hAnsi="Times New Roman"/>
          <w:sz w:val="28"/>
          <w:szCs w:val="24"/>
        </w:rPr>
      </w:pPr>
      <w:r w:rsidRPr="004D08F3">
        <w:rPr>
          <w:rFonts w:ascii="Times New Roman" w:hAnsi="Times New Roman"/>
          <w:sz w:val="28"/>
          <w:szCs w:val="24"/>
        </w:rPr>
        <w:t>Align ROS Subcommittee Goals with the strategic vision of the ERCOT Board of Directors.</w:t>
      </w:r>
    </w:p>
    <w:p w:rsidR="00C65388" w:rsidRPr="004D08F3" w:rsidRDefault="00C65388" w:rsidP="00C65388">
      <w:pPr>
        <w:numPr>
          <w:ilvl w:val="1"/>
          <w:numId w:val="2"/>
        </w:numPr>
        <w:tabs>
          <w:tab w:val="clear" w:pos="1440"/>
        </w:tabs>
        <w:ind w:left="360"/>
        <w:rPr>
          <w:rFonts w:ascii="Times New Roman" w:hAnsi="Times New Roman"/>
          <w:sz w:val="28"/>
          <w:szCs w:val="24"/>
        </w:rPr>
      </w:pPr>
      <w:r w:rsidRPr="004D08F3">
        <w:rPr>
          <w:rFonts w:ascii="Times New Roman" w:hAnsi="Times New Roman"/>
          <w:sz w:val="28"/>
          <w:szCs w:val="24"/>
        </w:rPr>
        <w:t>Maintain market rules that support ERCOT system reliability consistent with PURA, PUC, and NERC standards.</w:t>
      </w:r>
    </w:p>
    <w:p w:rsidR="00C65388" w:rsidRPr="004D08F3" w:rsidRDefault="00C65388" w:rsidP="00C65388">
      <w:pPr>
        <w:numPr>
          <w:ilvl w:val="1"/>
          <w:numId w:val="2"/>
        </w:numPr>
        <w:tabs>
          <w:tab w:val="clear" w:pos="1440"/>
        </w:tabs>
        <w:ind w:left="360"/>
        <w:rPr>
          <w:rFonts w:ascii="Times New Roman" w:hAnsi="Times New Roman"/>
          <w:sz w:val="28"/>
          <w:szCs w:val="24"/>
        </w:rPr>
      </w:pPr>
      <w:r w:rsidRPr="004D08F3">
        <w:rPr>
          <w:rFonts w:ascii="Times New Roman" w:hAnsi="Times New Roman"/>
          <w:sz w:val="28"/>
          <w:szCs w:val="24"/>
        </w:rPr>
        <w:t>Implement any appropriate Resource Adequacy related market changes.</w:t>
      </w:r>
    </w:p>
    <w:p w:rsidR="00C65388" w:rsidRPr="004D08F3" w:rsidRDefault="00C65388" w:rsidP="00C65388">
      <w:pPr>
        <w:numPr>
          <w:ilvl w:val="1"/>
          <w:numId w:val="2"/>
        </w:numPr>
        <w:tabs>
          <w:tab w:val="clear" w:pos="1440"/>
        </w:tabs>
        <w:ind w:left="360"/>
        <w:rPr>
          <w:rFonts w:ascii="Times New Roman" w:hAnsi="Times New Roman"/>
          <w:sz w:val="28"/>
          <w:szCs w:val="24"/>
        </w:rPr>
      </w:pPr>
      <w:r w:rsidRPr="004D08F3">
        <w:rPr>
          <w:rFonts w:ascii="Times New Roman" w:hAnsi="Times New Roman"/>
          <w:sz w:val="28"/>
          <w:szCs w:val="24"/>
        </w:rPr>
        <w:t>Pursue the appropriate incorporation of load participation.</w:t>
      </w:r>
    </w:p>
    <w:p w:rsidR="00C65388" w:rsidRPr="004D08F3" w:rsidRDefault="00C65388" w:rsidP="00C65388">
      <w:pPr>
        <w:numPr>
          <w:ilvl w:val="1"/>
          <w:numId w:val="2"/>
        </w:numPr>
        <w:tabs>
          <w:tab w:val="clear" w:pos="1440"/>
        </w:tabs>
        <w:ind w:left="360"/>
        <w:rPr>
          <w:rFonts w:ascii="Times New Roman" w:hAnsi="Times New Roman"/>
          <w:sz w:val="28"/>
          <w:szCs w:val="24"/>
        </w:rPr>
      </w:pPr>
      <w:r w:rsidRPr="004D08F3">
        <w:rPr>
          <w:rFonts w:ascii="Times New Roman" w:hAnsi="Times New Roman"/>
          <w:sz w:val="28"/>
          <w:szCs w:val="24"/>
        </w:rPr>
        <w:t>Pursue the appropriate incorporation of emerging technologies.</w:t>
      </w:r>
    </w:p>
    <w:p w:rsidR="00C65388" w:rsidRPr="004D08F3" w:rsidRDefault="00C65388" w:rsidP="00C65388">
      <w:pPr>
        <w:numPr>
          <w:ilvl w:val="1"/>
          <w:numId w:val="2"/>
        </w:numPr>
        <w:tabs>
          <w:tab w:val="clear" w:pos="1440"/>
          <w:tab w:val="num" w:pos="360"/>
        </w:tabs>
        <w:ind w:left="360"/>
        <w:rPr>
          <w:rFonts w:ascii="Times New Roman" w:hAnsi="Times New Roman"/>
          <w:sz w:val="28"/>
          <w:szCs w:val="24"/>
        </w:rPr>
      </w:pPr>
      <w:r w:rsidRPr="004D08F3">
        <w:rPr>
          <w:rFonts w:ascii="Times New Roman" w:hAnsi="Times New Roman"/>
          <w:sz w:val="28"/>
          <w:szCs w:val="24"/>
        </w:rPr>
        <w:t>Collaborate with ERCOT on the review of Ancillary Service needs and implement changes as necessary.</w:t>
      </w:r>
    </w:p>
    <w:p w:rsidR="00C65388" w:rsidRPr="004D08F3" w:rsidRDefault="00C65388" w:rsidP="00C65388">
      <w:pPr>
        <w:numPr>
          <w:ilvl w:val="1"/>
          <w:numId w:val="2"/>
        </w:numPr>
        <w:tabs>
          <w:tab w:val="clear" w:pos="1440"/>
          <w:tab w:val="num" w:pos="360"/>
        </w:tabs>
        <w:ind w:left="360"/>
        <w:rPr>
          <w:rFonts w:ascii="Times New Roman" w:hAnsi="Times New Roman"/>
          <w:sz w:val="28"/>
          <w:szCs w:val="24"/>
        </w:rPr>
      </w:pPr>
      <w:r w:rsidRPr="004D08F3">
        <w:rPr>
          <w:rFonts w:ascii="Times New Roman" w:hAnsi="Times New Roman"/>
          <w:sz w:val="28"/>
          <w:szCs w:val="24"/>
        </w:rPr>
        <w:t xml:space="preserve">Evaluate and determine </w:t>
      </w:r>
      <w:proofErr w:type="spellStart"/>
      <w:r w:rsidRPr="004D08F3">
        <w:rPr>
          <w:rFonts w:ascii="Times New Roman" w:hAnsi="Times New Roman"/>
          <w:sz w:val="28"/>
          <w:szCs w:val="24"/>
        </w:rPr>
        <w:t>Synchrophasor</w:t>
      </w:r>
      <w:proofErr w:type="spellEnd"/>
      <w:r w:rsidRPr="004D08F3">
        <w:rPr>
          <w:rFonts w:ascii="Times New Roman" w:hAnsi="Times New Roman"/>
          <w:sz w:val="28"/>
          <w:szCs w:val="24"/>
        </w:rPr>
        <w:t xml:space="preserve"> requirements and address any needed changes in Protocols and Guides.</w:t>
      </w:r>
    </w:p>
    <w:p w:rsidR="00C65388" w:rsidRPr="004D08F3" w:rsidRDefault="00C65388" w:rsidP="00C65388">
      <w:pPr>
        <w:numPr>
          <w:ilvl w:val="1"/>
          <w:numId w:val="2"/>
        </w:numPr>
        <w:tabs>
          <w:tab w:val="clear" w:pos="1440"/>
          <w:tab w:val="num" w:pos="360"/>
        </w:tabs>
        <w:ind w:left="360"/>
        <w:rPr>
          <w:rFonts w:ascii="Times New Roman" w:hAnsi="Times New Roman"/>
          <w:sz w:val="28"/>
          <w:szCs w:val="24"/>
        </w:rPr>
      </w:pPr>
      <w:r w:rsidRPr="004D08F3">
        <w:rPr>
          <w:rFonts w:ascii="Times New Roman" w:hAnsi="Times New Roman"/>
          <w:sz w:val="28"/>
          <w:szCs w:val="24"/>
        </w:rPr>
        <w:t>Evaluate and determine Geomagnetic Disturbance (GMD) requirements and address any needed changes in Protocols and Guides.</w:t>
      </w:r>
    </w:p>
    <w:p w:rsidR="00C65388" w:rsidRPr="004D08F3" w:rsidRDefault="00C65388" w:rsidP="00C65388">
      <w:pPr>
        <w:numPr>
          <w:ilvl w:val="1"/>
          <w:numId w:val="2"/>
        </w:numPr>
        <w:tabs>
          <w:tab w:val="clear" w:pos="1440"/>
          <w:tab w:val="num" w:pos="360"/>
        </w:tabs>
        <w:ind w:left="360"/>
        <w:rPr>
          <w:rFonts w:ascii="Times New Roman" w:hAnsi="Times New Roman"/>
          <w:sz w:val="28"/>
          <w:szCs w:val="24"/>
        </w:rPr>
      </w:pPr>
      <w:r w:rsidRPr="004D08F3">
        <w:rPr>
          <w:rFonts w:ascii="Times New Roman" w:hAnsi="Times New Roman"/>
          <w:sz w:val="28"/>
          <w:szCs w:val="24"/>
        </w:rPr>
        <w:t>Assist other stakeholder forums in the implementation of the approved Operating Reserve Demand Curve (ORDC), in particular any Ancillary Service product changes necessary as a result of the ORDC.</w:t>
      </w:r>
    </w:p>
    <w:p w:rsidR="00C65388" w:rsidRPr="004D08F3" w:rsidRDefault="00C65388" w:rsidP="00C65388">
      <w:pPr>
        <w:numPr>
          <w:ilvl w:val="1"/>
          <w:numId w:val="2"/>
        </w:numPr>
        <w:tabs>
          <w:tab w:val="clear" w:pos="1440"/>
          <w:tab w:val="num" w:pos="360"/>
        </w:tabs>
        <w:ind w:left="360"/>
        <w:rPr>
          <w:rFonts w:ascii="Times New Roman" w:hAnsi="Times New Roman"/>
          <w:sz w:val="28"/>
          <w:szCs w:val="24"/>
        </w:rPr>
      </w:pPr>
      <w:r w:rsidRPr="004D08F3">
        <w:rPr>
          <w:rFonts w:ascii="Times New Roman" w:hAnsi="Times New Roman"/>
          <w:sz w:val="28"/>
          <w:szCs w:val="24"/>
        </w:rPr>
        <w:t>Complete the evaluation of SCR-773 and its effect on system steady state frequency control and make appropriate recommendations on its performance.</w:t>
      </w:r>
    </w:p>
    <w:p w:rsidR="00C65388" w:rsidRPr="00663613" w:rsidRDefault="00C65388" w:rsidP="00663613">
      <w:pPr>
        <w:numPr>
          <w:ilvl w:val="1"/>
          <w:numId w:val="2"/>
        </w:numPr>
        <w:tabs>
          <w:tab w:val="clear" w:pos="1440"/>
          <w:tab w:val="num" w:pos="360"/>
        </w:tabs>
        <w:ind w:left="360"/>
        <w:rPr>
          <w:rFonts w:ascii="Times New Roman" w:hAnsi="Times New Roman"/>
          <w:sz w:val="28"/>
          <w:szCs w:val="24"/>
        </w:rPr>
      </w:pPr>
      <w:r w:rsidRPr="004D08F3">
        <w:rPr>
          <w:rFonts w:ascii="Times New Roman" w:hAnsi="Times New Roman"/>
          <w:sz w:val="28"/>
          <w:szCs w:val="24"/>
        </w:rPr>
        <w:t>Develop recommendations that will remove unnecessary barriers to the use of power augmentation technologies while ensuring that primary frequency response in the network is not diminished.</w:t>
      </w:r>
    </w:p>
    <w:sectPr w:rsidR="00C65388" w:rsidRPr="00663613" w:rsidSect="003F159C">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F71D38"/>
    <w:multiLevelType w:val="hybridMultilevel"/>
    <w:tmpl w:val="4AD64612"/>
    <w:lvl w:ilvl="0" w:tplc="6922BBBE">
      <w:start w:val="1"/>
      <w:numFmt w:val="bullet"/>
      <w:lvlText w:val="•"/>
      <w:lvlJc w:val="left"/>
      <w:pPr>
        <w:tabs>
          <w:tab w:val="num" w:pos="720"/>
        </w:tabs>
        <w:ind w:left="720" w:hanging="360"/>
      </w:pPr>
      <w:rPr>
        <w:rFonts w:ascii="Arial" w:hAnsi="Arial" w:hint="default"/>
      </w:rPr>
    </w:lvl>
    <w:lvl w:ilvl="1" w:tplc="0409000F">
      <w:start w:val="1"/>
      <w:numFmt w:val="decimal"/>
      <w:lvlText w:val="%2."/>
      <w:lvlJc w:val="left"/>
      <w:pPr>
        <w:tabs>
          <w:tab w:val="num" w:pos="1440"/>
        </w:tabs>
        <w:ind w:left="1440" w:hanging="360"/>
      </w:pPr>
      <w:rPr>
        <w:rFonts w:hint="default"/>
      </w:rPr>
    </w:lvl>
    <w:lvl w:ilvl="2" w:tplc="253E44F0" w:tentative="1">
      <w:start w:val="1"/>
      <w:numFmt w:val="bullet"/>
      <w:lvlText w:val="•"/>
      <w:lvlJc w:val="left"/>
      <w:pPr>
        <w:tabs>
          <w:tab w:val="num" w:pos="2160"/>
        </w:tabs>
        <w:ind w:left="2160" w:hanging="360"/>
      </w:pPr>
      <w:rPr>
        <w:rFonts w:ascii="Arial" w:hAnsi="Arial" w:hint="default"/>
      </w:rPr>
    </w:lvl>
    <w:lvl w:ilvl="3" w:tplc="0780F85C" w:tentative="1">
      <w:start w:val="1"/>
      <w:numFmt w:val="bullet"/>
      <w:lvlText w:val="•"/>
      <w:lvlJc w:val="left"/>
      <w:pPr>
        <w:tabs>
          <w:tab w:val="num" w:pos="2880"/>
        </w:tabs>
        <w:ind w:left="2880" w:hanging="360"/>
      </w:pPr>
      <w:rPr>
        <w:rFonts w:ascii="Arial" w:hAnsi="Arial" w:hint="default"/>
      </w:rPr>
    </w:lvl>
    <w:lvl w:ilvl="4" w:tplc="69D0D6E6" w:tentative="1">
      <w:start w:val="1"/>
      <w:numFmt w:val="bullet"/>
      <w:lvlText w:val="•"/>
      <w:lvlJc w:val="left"/>
      <w:pPr>
        <w:tabs>
          <w:tab w:val="num" w:pos="3600"/>
        </w:tabs>
        <w:ind w:left="3600" w:hanging="360"/>
      </w:pPr>
      <w:rPr>
        <w:rFonts w:ascii="Arial" w:hAnsi="Arial" w:hint="default"/>
      </w:rPr>
    </w:lvl>
    <w:lvl w:ilvl="5" w:tplc="C3D68ACC" w:tentative="1">
      <w:start w:val="1"/>
      <w:numFmt w:val="bullet"/>
      <w:lvlText w:val="•"/>
      <w:lvlJc w:val="left"/>
      <w:pPr>
        <w:tabs>
          <w:tab w:val="num" w:pos="4320"/>
        </w:tabs>
        <w:ind w:left="4320" w:hanging="360"/>
      </w:pPr>
      <w:rPr>
        <w:rFonts w:ascii="Arial" w:hAnsi="Arial" w:hint="default"/>
      </w:rPr>
    </w:lvl>
    <w:lvl w:ilvl="6" w:tplc="4A1EEF60" w:tentative="1">
      <w:start w:val="1"/>
      <w:numFmt w:val="bullet"/>
      <w:lvlText w:val="•"/>
      <w:lvlJc w:val="left"/>
      <w:pPr>
        <w:tabs>
          <w:tab w:val="num" w:pos="5040"/>
        </w:tabs>
        <w:ind w:left="5040" w:hanging="360"/>
      </w:pPr>
      <w:rPr>
        <w:rFonts w:ascii="Arial" w:hAnsi="Arial" w:hint="default"/>
      </w:rPr>
    </w:lvl>
    <w:lvl w:ilvl="7" w:tplc="D9C6FEAA" w:tentative="1">
      <w:start w:val="1"/>
      <w:numFmt w:val="bullet"/>
      <w:lvlText w:val="•"/>
      <w:lvlJc w:val="left"/>
      <w:pPr>
        <w:tabs>
          <w:tab w:val="num" w:pos="5760"/>
        </w:tabs>
        <w:ind w:left="5760" w:hanging="360"/>
      </w:pPr>
      <w:rPr>
        <w:rFonts w:ascii="Arial" w:hAnsi="Arial" w:hint="default"/>
      </w:rPr>
    </w:lvl>
    <w:lvl w:ilvl="8" w:tplc="7B34F9D2" w:tentative="1">
      <w:start w:val="1"/>
      <w:numFmt w:val="bullet"/>
      <w:lvlText w:val="•"/>
      <w:lvlJc w:val="left"/>
      <w:pPr>
        <w:tabs>
          <w:tab w:val="num" w:pos="6480"/>
        </w:tabs>
        <w:ind w:left="6480" w:hanging="360"/>
      </w:pPr>
      <w:rPr>
        <w:rFonts w:ascii="Arial" w:hAnsi="Arial" w:hint="default"/>
      </w:rPr>
    </w:lvl>
  </w:abstractNum>
  <w:abstractNum w:abstractNumId="1">
    <w:nsid w:val="356812B9"/>
    <w:multiLevelType w:val="hybridMultilevel"/>
    <w:tmpl w:val="793688E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01">
      <w:start w:val="1"/>
      <w:numFmt w:val="bullet"/>
      <w:lvlText w:val=""/>
      <w:lvlJc w:val="left"/>
      <w:pPr>
        <w:ind w:left="2160" w:hanging="180"/>
      </w:pPr>
      <w:rPr>
        <w:rFonts w:ascii="Symbol" w:hAnsi="Symbol" w:hint="default"/>
      </w:r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drawingGridHorizontalSpacing w:val="110"/>
  <w:displayHorizont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159C"/>
    <w:rsid w:val="00003C4B"/>
    <w:rsid w:val="000302F6"/>
    <w:rsid w:val="00042D05"/>
    <w:rsid w:val="0007174E"/>
    <w:rsid w:val="00074149"/>
    <w:rsid w:val="000B45C0"/>
    <w:rsid w:val="001D45CA"/>
    <w:rsid w:val="00234E96"/>
    <w:rsid w:val="00273FAC"/>
    <w:rsid w:val="00290F4B"/>
    <w:rsid w:val="002A77C1"/>
    <w:rsid w:val="002B3DEA"/>
    <w:rsid w:val="00302AC0"/>
    <w:rsid w:val="00343582"/>
    <w:rsid w:val="003725BE"/>
    <w:rsid w:val="00381E72"/>
    <w:rsid w:val="003C3EDD"/>
    <w:rsid w:val="003F159C"/>
    <w:rsid w:val="00462398"/>
    <w:rsid w:val="00462CF7"/>
    <w:rsid w:val="004C7C78"/>
    <w:rsid w:val="004D08F3"/>
    <w:rsid w:val="00522BFE"/>
    <w:rsid w:val="005A1874"/>
    <w:rsid w:val="005C1774"/>
    <w:rsid w:val="00615F19"/>
    <w:rsid w:val="00663613"/>
    <w:rsid w:val="006E46AF"/>
    <w:rsid w:val="006E712F"/>
    <w:rsid w:val="007139AE"/>
    <w:rsid w:val="00750A19"/>
    <w:rsid w:val="0078168D"/>
    <w:rsid w:val="00795E20"/>
    <w:rsid w:val="007C1702"/>
    <w:rsid w:val="007D6751"/>
    <w:rsid w:val="00816389"/>
    <w:rsid w:val="0082426E"/>
    <w:rsid w:val="008B220A"/>
    <w:rsid w:val="008C09FC"/>
    <w:rsid w:val="00910B26"/>
    <w:rsid w:val="0098035B"/>
    <w:rsid w:val="009B531C"/>
    <w:rsid w:val="009D1700"/>
    <w:rsid w:val="00A26DA1"/>
    <w:rsid w:val="00B2002F"/>
    <w:rsid w:val="00C31166"/>
    <w:rsid w:val="00C41081"/>
    <w:rsid w:val="00C57FF3"/>
    <w:rsid w:val="00C65388"/>
    <w:rsid w:val="00C73AB5"/>
    <w:rsid w:val="00C842F5"/>
    <w:rsid w:val="00CA37EA"/>
    <w:rsid w:val="00CC1D9F"/>
    <w:rsid w:val="00CC42A0"/>
    <w:rsid w:val="00D1655E"/>
    <w:rsid w:val="00D9341F"/>
    <w:rsid w:val="00DE0AFE"/>
    <w:rsid w:val="00E3376D"/>
    <w:rsid w:val="00F41F49"/>
    <w:rsid w:val="00F935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C170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7139A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C170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7139A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454</Words>
  <Characters>2588</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Lower Colorado River Authority</Company>
  <LinksUpToDate>false</LinksUpToDate>
  <CharactersWithSpaces>3036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bhatfiel</dc:creator>
  <cp:lastModifiedBy>Albracht, Brittney</cp:lastModifiedBy>
  <cp:revision>3</cp:revision>
  <dcterms:created xsi:type="dcterms:W3CDTF">2014-01-24T22:06:00Z</dcterms:created>
  <dcterms:modified xsi:type="dcterms:W3CDTF">2014-01-24T22:08:00Z</dcterms:modified>
</cp:coreProperties>
</file>