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76C" w:rsidRPr="00E16C6D" w:rsidRDefault="007A776C" w:rsidP="007A776C">
      <w:pPr>
        <w:pStyle w:val="Heading3"/>
        <w:numPr>
          <w:ilvl w:val="0"/>
          <w:numId w:val="0"/>
        </w:numPr>
        <w:spacing w:before="0"/>
        <w:ind w:left="1800" w:hanging="720"/>
      </w:pPr>
    </w:p>
    <w:p w:rsidR="007A776C" w:rsidRPr="00E16C6D" w:rsidRDefault="007A776C" w:rsidP="007A776C">
      <w:pPr>
        <w:pStyle w:val="Heading3"/>
        <w:numPr>
          <w:ilvl w:val="0"/>
          <w:numId w:val="0"/>
        </w:numPr>
        <w:tabs>
          <w:tab w:val="num" w:pos="1800"/>
        </w:tabs>
        <w:ind w:left="1800"/>
      </w:pPr>
      <w:r w:rsidRPr="00E16C6D">
        <w:t xml:space="preserve">Extension Scenario: Siebel Status is </w:t>
      </w:r>
      <w:r w:rsidR="007500AE">
        <w:t xml:space="preserve">in a state other than ‘In Review’, ‘Scheduled’ or ‘Complete’ </w:t>
      </w:r>
      <w:r w:rsidRPr="00E16C6D">
        <w:t xml:space="preserve"> for 14 Days in a State of “Submit Regaining Transaction Submitted” (</w:t>
      </w:r>
      <w:r w:rsidR="00E16C6D" w:rsidRPr="00E16C6D">
        <w:t>Gain</w:t>
      </w:r>
      <w:r w:rsidRPr="00E16C6D">
        <w:t>ing CR submit)</w:t>
      </w:r>
    </w:p>
    <w:p w:rsidR="007A776C" w:rsidRPr="00E16C6D" w:rsidRDefault="007A776C" w:rsidP="007A776C">
      <w:pPr>
        <w:pStyle w:val="Heading3"/>
        <w:numPr>
          <w:ilvl w:val="0"/>
          <w:numId w:val="0"/>
        </w:numPr>
        <w:ind w:left="1800" w:hanging="720"/>
        <w:rPr>
          <w:b w:val="0"/>
        </w:rPr>
      </w:pPr>
    </w:p>
    <w:p w:rsidR="007A776C" w:rsidRPr="006A662D" w:rsidRDefault="006A662D" w:rsidP="007A776C">
      <w:pPr>
        <w:numPr>
          <w:ilvl w:val="0"/>
          <w:numId w:val="2"/>
        </w:numPr>
        <w:spacing w:before="160"/>
        <w:rPr>
          <w:rFonts w:ascii="Arial" w:hAnsi="Arial" w:cs="Arial"/>
          <w:sz w:val="20"/>
          <w:szCs w:val="20"/>
        </w:rPr>
      </w:pPr>
      <w:r w:rsidRPr="006A662D">
        <w:rPr>
          <w:rFonts w:ascii="Arial" w:hAnsi="Arial" w:cs="Arial"/>
          <w:sz w:val="20"/>
          <w:szCs w:val="20"/>
        </w:rPr>
        <w:t>Gaining or Inadvertent CR selects the “IAG – Inadvertent Gaining” sub-type from the MarkeTrak Submit Tree within MarkeTrak via GUI.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 xml:space="preserve">User enters all required information </w:t>
      </w:r>
    </w:p>
    <w:p w:rsidR="007A776C" w:rsidRPr="00E16C6D" w:rsidRDefault="007A776C" w:rsidP="007A776C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No changes to required information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User selects “Ok” to create the issue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Premise Type is populated (see Premise Type Use Case)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MarkeTrak Issue is created and ERCOT provides applicable information</w:t>
      </w:r>
    </w:p>
    <w:p w:rsidR="007A776C" w:rsidRPr="00E16C6D" w:rsidRDefault="007A776C" w:rsidP="007A776C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Gaining CR</w:t>
      </w:r>
    </w:p>
    <w:p w:rsidR="007A776C" w:rsidRPr="00E16C6D" w:rsidRDefault="007A776C" w:rsidP="007A776C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Losing CR</w:t>
      </w:r>
    </w:p>
    <w:p w:rsidR="007A776C" w:rsidRPr="00E16C6D" w:rsidRDefault="007A776C" w:rsidP="007A776C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TDSP</w:t>
      </w:r>
    </w:p>
    <w:p w:rsidR="007A776C" w:rsidRPr="00E16C6D" w:rsidRDefault="007A776C" w:rsidP="007A776C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 xml:space="preserve">Original Inadvertent Transaction Date </w:t>
      </w:r>
    </w:p>
    <w:p w:rsidR="007A776C" w:rsidRPr="00E16C6D" w:rsidRDefault="007A776C" w:rsidP="007A776C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 xml:space="preserve">Indication of whether Gaining CR is still the REP of Record 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MarkeTrak issue is assigned to the state of “New (Losing CR)” with the Losing CR as the Responsible Party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Losing CR user selects “Begin Working”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MarkeTrak issues is assigned to the state of “In Progress (Losing CR)” with the Losing CR as the Responsible Party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Losing CR selects “Send to TDSP”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Losing CR populates required information</w:t>
      </w:r>
    </w:p>
    <w:p w:rsidR="007A776C" w:rsidRPr="00E16C6D" w:rsidRDefault="007A776C" w:rsidP="007A776C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 xml:space="preserve">Proposed Regain Date 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Losing CR selects “Ok”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MarkeTrak issue is assigned to the state of “New (TDSP)” with the TDSP as the responsible party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TDSP selects “Begin Working”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 xml:space="preserve">MarkeTrak issues is assigned to the state of “In Progress (TDSP)” 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 xml:space="preserve">TDSP selects “Ready to Receive” 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MarkeTrak Issue is assigned to the state of “New (Losing CR Submit)” with Losing CR as the responsible party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 xml:space="preserve">Losing CR selects “Begin Working” 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MarkeTrak issue is assigned to the state of “Submit Regaining Transaction”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Losing CR selects “Provide BGN”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 xml:space="preserve">Losing CR provides BGN 06 for the submitted transaction 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 xml:space="preserve">Losing CR selects “Ok” </w:t>
      </w:r>
    </w:p>
    <w:p w:rsidR="007A776C" w:rsidRPr="00E16C6D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MarkeTrak issue is assigned to the state of “Regaining Transaction Submitted</w:t>
      </w:r>
      <w:r w:rsidR="000E6B93">
        <w:rPr>
          <w:rFonts w:ascii="Arial" w:hAnsi="Arial" w:cs="Arial"/>
          <w:sz w:val="20"/>
          <w:szCs w:val="20"/>
        </w:rPr>
        <w:t xml:space="preserve"> (PC)</w:t>
      </w:r>
      <w:r w:rsidRPr="00E16C6D">
        <w:rPr>
          <w:rFonts w:ascii="Arial" w:hAnsi="Arial" w:cs="Arial"/>
          <w:sz w:val="20"/>
          <w:szCs w:val="20"/>
        </w:rPr>
        <w:t>”</w:t>
      </w:r>
    </w:p>
    <w:p w:rsidR="007A776C" w:rsidRDefault="007A776C" w:rsidP="007A776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will check “Siebel Status/Sub-Status” every 30 minutes</w:t>
      </w:r>
    </w:p>
    <w:p w:rsidR="00526595" w:rsidRPr="00526595" w:rsidRDefault="007A776C" w:rsidP="00526595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526595">
        <w:rPr>
          <w:rFonts w:ascii="Arial" w:hAnsi="Arial" w:cs="Arial"/>
          <w:color w:val="FF0000"/>
          <w:sz w:val="20"/>
          <w:szCs w:val="20"/>
        </w:rPr>
        <w:t>If the “Siebel Status/Sub-Status” remains “</w:t>
      </w:r>
      <w:r w:rsidR="000E6B93">
        <w:rPr>
          <w:rFonts w:ascii="Arial" w:hAnsi="Arial" w:cs="Arial"/>
          <w:color w:val="FF0000"/>
          <w:sz w:val="20"/>
          <w:szCs w:val="20"/>
        </w:rPr>
        <w:t xml:space="preserve">in a state other than ‘In Review’, ‘complete’ or ‘scheduled’ </w:t>
      </w:r>
      <w:r w:rsidRPr="00526595">
        <w:rPr>
          <w:rFonts w:ascii="Arial" w:hAnsi="Arial" w:cs="Arial"/>
          <w:color w:val="FF0000"/>
          <w:sz w:val="20"/>
          <w:szCs w:val="20"/>
        </w:rPr>
        <w:t>for 14 days, the MarkeTrak Issue is assigned to the state of “New (Losing CR Submit)” with Losing CR as the responsible party</w:t>
      </w:r>
    </w:p>
    <w:p w:rsidR="000E6B93" w:rsidRDefault="000E6B93" w:rsidP="000E6B9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 xml:space="preserve">Losing CR selects “Begin Working” </w:t>
      </w:r>
    </w:p>
    <w:p w:rsidR="000E6B93" w:rsidRDefault="000E6B93" w:rsidP="000E6B9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 xml:space="preserve">MarkeTrak issues is assigned to the state of “In Progress </w:t>
      </w:r>
      <w:r>
        <w:rPr>
          <w:rFonts w:ascii="Arial" w:hAnsi="Arial" w:cs="Arial"/>
          <w:sz w:val="20"/>
          <w:szCs w:val="20"/>
        </w:rPr>
        <w:t xml:space="preserve">Submit Regaining </w:t>
      </w:r>
      <w:r w:rsidRPr="00E16C6D">
        <w:rPr>
          <w:rFonts w:ascii="Arial" w:hAnsi="Arial" w:cs="Arial"/>
          <w:sz w:val="20"/>
          <w:szCs w:val="20"/>
        </w:rPr>
        <w:t>” with the Losing CR as the Responsible Party</w:t>
      </w:r>
    </w:p>
    <w:p w:rsidR="00526595" w:rsidRDefault="00526595" w:rsidP="00526595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526595">
        <w:rPr>
          <w:rFonts w:ascii="Arial" w:hAnsi="Arial" w:cs="Arial"/>
          <w:sz w:val="20"/>
          <w:szCs w:val="20"/>
        </w:rPr>
        <w:t>Losing CR selects “Provide BGN”</w:t>
      </w:r>
    </w:p>
    <w:p w:rsidR="00526595" w:rsidRDefault="00526595" w:rsidP="00526595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526595">
        <w:rPr>
          <w:rFonts w:ascii="Arial" w:hAnsi="Arial" w:cs="Arial"/>
          <w:sz w:val="20"/>
          <w:szCs w:val="20"/>
        </w:rPr>
        <w:t xml:space="preserve">Losing CR provides BGN 06 for the submitted transaction </w:t>
      </w:r>
    </w:p>
    <w:p w:rsidR="00526595" w:rsidRDefault="00526595" w:rsidP="00526595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526595">
        <w:rPr>
          <w:rFonts w:ascii="Arial" w:hAnsi="Arial" w:cs="Arial"/>
          <w:sz w:val="20"/>
          <w:szCs w:val="20"/>
        </w:rPr>
        <w:t xml:space="preserve">Losing CR selects “Ok” </w:t>
      </w:r>
    </w:p>
    <w:p w:rsidR="00526595" w:rsidRDefault="00526595" w:rsidP="00526595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526595">
        <w:rPr>
          <w:rFonts w:ascii="Arial" w:hAnsi="Arial" w:cs="Arial"/>
          <w:sz w:val="20"/>
          <w:szCs w:val="20"/>
        </w:rPr>
        <w:t>MarkeTrak issue is assigned to the state of “Regaining Transaction Submitted</w:t>
      </w:r>
      <w:r w:rsidR="000E6B93">
        <w:rPr>
          <w:rFonts w:ascii="Arial" w:hAnsi="Arial" w:cs="Arial"/>
          <w:sz w:val="20"/>
          <w:szCs w:val="20"/>
        </w:rPr>
        <w:t xml:space="preserve"> (PC)</w:t>
      </w:r>
      <w:r w:rsidRPr="00526595">
        <w:rPr>
          <w:rFonts w:ascii="Arial" w:hAnsi="Arial" w:cs="Arial"/>
          <w:sz w:val="20"/>
          <w:szCs w:val="20"/>
        </w:rPr>
        <w:t>”</w:t>
      </w:r>
    </w:p>
    <w:p w:rsidR="00526595" w:rsidRDefault="00526595" w:rsidP="00526595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526595">
        <w:rPr>
          <w:rFonts w:ascii="Arial" w:hAnsi="Arial" w:cs="Arial"/>
          <w:sz w:val="20"/>
          <w:szCs w:val="20"/>
        </w:rPr>
        <w:t>MarkeTrak will check “Siebel Status/Sub-Status” every 30 minutes</w:t>
      </w:r>
    </w:p>
    <w:p w:rsidR="00526595" w:rsidRDefault="00526595" w:rsidP="00526595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526595">
        <w:rPr>
          <w:rFonts w:ascii="Arial" w:hAnsi="Arial" w:cs="Arial"/>
          <w:sz w:val="20"/>
          <w:szCs w:val="20"/>
        </w:rPr>
        <w:lastRenderedPageBreak/>
        <w:t>Once the “Siebel Status/Sub-Status” is anything other than “null” the issue will be updated with the current “Siebel Status/Sub-Status”</w:t>
      </w:r>
    </w:p>
    <w:p w:rsidR="00526595" w:rsidRDefault="00526595" w:rsidP="00526595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526595">
        <w:rPr>
          <w:rFonts w:ascii="Arial" w:hAnsi="Arial" w:cs="Arial"/>
          <w:sz w:val="20"/>
          <w:szCs w:val="20"/>
        </w:rPr>
        <w:t xml:space="preserve">Once the Losing CR receives the appropriate 867_04 they select Transition </w:t>
      </w:r>
      <w:r w:rsidR="000E6B93">
        <w:rPr>
          <w:rFonts w:ascii="Arial" w:hAnsi="Arial" w:cs="Arial"/>
          <w:sz w:val="20"/>
          <w:szCs w:val="20"/>
        </w:rPr>
        <w:t>“</w:t>
      </w:r>
      <w:r w:rsidRPr="00526595">
        <w:rPr>
          <w:rFonts w:ascii="Arial" w:hAnsi="Arial" w:cs="Arial"/>
          <w:sz w:val="20"/>
          <w:szCs w:val="20"/>
        </w:rPr>
        <w:t>Complete”</w:t>
      </w:r>
    </w:p>
    <w:p w:rsidR="00526595" w:rsidRPr="00526595" w:rsidRDefault="00526595" w:rsidP="00526595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526595">
        <w:rPr>
          <w:rFonts w:ascii="Arial" w:hAnsi="Arial" w:cs="Arial"/>
          <w:sz w:val="20"/>
          <w:szCs w:val="20"/>
        </w:rPr>
        <w:t>MarkeTrak issue is assigned to the state of “Complete”</w:t>
      </w:r>
    </w:p>
    <w:p w:rsidR="00526595" w:rsidRDefault="00526595" w:rsidP="007A776C">
      <w:pPr>
        <w:rPr>
          <w:rFonts w:ascii="Arial" w:hAnsi="Arial" w:cs="Arial"/>
          <w:sz w:val="20"/>
          <w:szCs w:val="20"/>
        </w:rPr>
      </w:pPr>
    </w:p>
    <w:p w:rsidR="00526595" w:rsidRPr="00851B1F" w:rsidRDefault="00526595" w:rsidP="007A776C">
      <w:pPr>
        <w:rPr>
          <w:rFonts w:ascii="Arial" w:hAnsi="Arial" w:cs="Arial"/>
          <w:sz w:val="20"/>
          <w:szCs w:val="20"/>
        </w:rPr>
      </w:pPr>
    </w:p>
    <w:p w:rsidR="007A776C" w:rsidRDefault="007A776C" w:rsidP="007A776C">
      <w:pPr>
        <w:pStyle w:val="Heading3"/>
        <w:numPr>
          <w:ilvl w:val="0"/>
          <w:numId w:val="0"/>
        </w:numPr>
        <w:tabs>
          <w:tab w:val="num" w:pos="1800"/>
        </w:tabs>
        <w:ind w:left="1800"/>
      </w:pPr>
      <w:r>
        <w:t xml:space="preserve">Extension Scenario: Siebel Status is </w:t>
      </w:r>
      <w:r w:rsidR="007500AE">
        <w:t xml:space="preserve">in a state other than ‘In Review’, ‘Scheduled’ or ‘Complete’ </w:t>
      </w:r>
      <w:r>
        <w:t xml:space="preserve"> for 14 Days in a State of “Regaining Transaction Submitted</w:t>
      </w:r>
      <w:r w:rsidR="000E6B93">
        <w:t xml:space="preserve"> (PC)</w:t>
      </w:r>
      <w:r>
        <w:t>” (Losing CR submit)</w:t>
      </w:r>
    </w:p>
    <w:p w:rsidR="007A776C" w:rsidRPr="007A776C" w:rsidRDefault="007A776C" w:rsidP="007A776C"/>
    <w:p w:rsidR="006A662D" w:rsidRPr="006A662D" w:rsidRDefault="006A662D" w:rsidP="006A662D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A662D">
        <w:rPr>
          <w:rFonts w:ascii="Arial" w:hAnsi="Arial" w:cs="Arial"/>
          <w:sz w:val="20"/>
          <w:szCs w:val="20"/>
        </w:rPr>
        <w:t>Losing</w:t>
      </w:r>
      <w:r>
        <w:rPr>
          <w:rFonts w:ascii="Arial" w:hAnsi="Arial" w:cs="Arial"/>
          <w:sz w:val="20"/>
          <w:szCs w:val="20"/>
        </w:rPr>
        <w:t xml:space="preserve"> or </w:t>
      </w:r>
      <w:r w:rsidRPr="006A662D">
        <w:rPr>
          <w:rFonts w:ascii="Arial" w:hAnsi="Arial" w:cs="Arial"/>
          <w:sz w:val="20"/>
          <w:szCs w:val="20"/>
        </w:rPr>
        <w:t>Original CR selects the “IAG – Inadvertent Losing” sub-type from the MarkeTrak Submit Tree within MarkeTrak via GUI.</w:t>
      </w:r>
    </w:p>
    <w:p w:rsidR="007A776C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User enters all required information </w:t>
      </w:r>
    </w:p>
    <w:p w:rsidR="007A776C" w:rsidRDefault="007A776C" w:rsidP="007A776C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changes to required information</w:t>
      </w:r>
    </w:p>
    <w:p w:rsidR="007A776C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User selects “Ok” to create the issue</w:t>
      </w:r>
    </w:p>
    <w:p w:rsidR="007A776C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Premise Type is populated (see Premise Type Use Case)</w:t>
      </w:r>
    </w:p>
    <w:p w:rsidR="007A776C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Issue is created and ERCOT provides applicable information</w:t>
      </w:r>
    </w:p>
    <w:p w:rsidR="007A776C" w:rsidRDefault="007A776C" w:rsidP="007A776C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</w:t>
      </w:r>
    </w:p>
    <w:p w:rsidR="007A776C" w:rsidRDefault="007A776C" w:rsidP="007A776C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</w:t>
      </w:r>
    </w:p>
    <w:p w:rsidR="007A776C" w:rsidRDefault="007A776C" w:rsidP="007A776C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</w:t>
      </w:r>
    </w:p>
    <w:p w:rsidR="007A776C" w:rsidRDefault="007A776C" w:rsidP="007A776C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Original Inadvertent Transaction Date </w:t>
      </w:r>
    </w:p>
    <w:p w:rsidR="007A776C" w:rsidRPr="00E16C6D" w:rsidRDefault="007A776C" w:rsidP="007A776C">
      <w:pPr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 xml:space="preserve">Indication of whether Gaining CR is still the REP of Record </w:t>
      </w:r>
    </w:p>
    <w:p w:rsidR="007A776C" w:rsidRPr="00E16C6D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MarkeTrak issue is assigned to the state of “New Gaining CR” with the Gaining CR as the Responsible Party</w:t>
      </w:r>
    </w:p>
    <w:p w:rsidR="007A776C" w:rsidRPr="00E16C6D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Gaining CR selects “Begin Working”</w:t>
      </w:r>
    </w:p>
    <w:p w:rsidR="007A776C" w:rsidRPr="00E16C6D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MarkeTrak issue is assigned to the state of “In Progress (Gaining CR)”</w:t>
      </w:r>
    </w:p>
    <w:p w:rsidR="007A776C" w:rsidRPr="00E16C6D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Gaining CR selects “</w:t>
      </w:r>
      <w:r w:rsidR="000E6B93">
        <w:rPr>
          <w:rFonts w:ascii="Arial" w:hAnsi="Arial" w:cs="Arial"/>
          <w:sz w:val="20"/>
          <w:szCs w:val="20"/>
        </w:rPr>
        <w:t xml:space="preserve"> Agree</w:t>
      </w:r>
      <w:r w:rsidRPr="00E16C6D">
        <w:rPr>
          <w:rFonts w:ascii="Arial" w:hAnsi="Arial" w:cs="Arial"/>
          <w:sz w:val="20"/>
          <w:szCs w:val="20"/>
        </w:rPr>
        <w:t>”</w:t>
      </w:r>
    </w:p>
    <w:p w:rsidR="007A776C" w:rsidRPr="00E16C6D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:rsidR="007A776C" w:rsidRPr="00E16C6D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MarkeTrak issue is assigned to the state of “New (TDSP)” with the TDSP as the responsible party</w:t>
      </w:r>
    </w:p>
    <w:p w:rsidR="007A776C" w:rsidRPr="00E16C6D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TDSP selects “Begin Working”</w:t>
      </w:r>
    </w:p>
    <w:p w:rsidR="007A776C" w:rsidRPr="00E16C6D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MarkeTrak issues is assigned to the state of “In Progress (TDSP)” with the TDSP as the responsible party</w:t>
      </w:r>
    </w:p>
    <w:p w:rsidR="007A776C" w:rsidRPr="00E16C6D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 xml:space="preserve">TDSP selects “Ready to Receive” </w:t>
      </w:r>
    </w:p>
    <w:p w:rsidR="007A776C" w:rsidRPr="00E16C6D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MarkeTrak Issue is assigned to the state of “New (CR Submit)” with Losing CR as the responsible party</w:t>
      </w:r>
    </w:p>
    <w:p w:rsidR="007A776C" w:rsidRPr="00E16C6D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 xml:space="preserve">Losing CR selects “Begin Working” </w:t>
      </w:r>
    </w:p>
    <w:p w:rsidR="007A776C" w:rsidRPr="00E16C6D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MarkeTrak issue is assigned to the state of “Submit Regaining Transaction”</w:t>
      </w:r>
    </w:p>
    <w:p w:rsidR="007A776C" w:rsidRPr="00E16C6D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Losing CR selects “Provide BGN”</w:t>
      </w:r>
    </w:p>
    <w:p w:rsidR="007A776C" w:rsidRPr="00E16C6D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 xml:space="preserve">Losing CR provides BGN 06 for the submitted transaction </w:t>
      </w:r>
    </w:p>
    <w:p w:rsidR="007A776C" w:rsidRPr="00E16C6D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 xml:space="preserve">Losing CR selects “Ok” </w:t>
      </w:r>
    </w:p>
    <w:p w:rsidR="007A776C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16C6D">
        <w:rPr>
          <w:rFonts w:ascii="Arial" w:hAnsi="Arial" w:cs="Arial"/>
          <w:sz w:val="20"/>
          <w:szCs w:val="20"/>
        </w:rPr>
        <w:t>MarkeTrak issue is assigned to the state of “Regaining Transaction Submitted</w:t>
      </w:r>
      <w:r w:rsidR="000E6B93">
        <w:rPr>
          <w:rFonts w:ascii="Arial" w:hAnsi="Arial" w:cs="Arial"/>
          <w:sz w:val="20"/>
          <w:szCs w:val="20"/>
        </w:rPr>
        <w:t xml:space="preserve"> (PC)</w:t>
      </w:r>
      <w:r w:rsidRPr="00E16C6D">
        <w:rPr>
          <w:rFonts w:ascii="Arial" w:hAnsi="Arial" w:cs="Arial"/>
          <w:sz w:val="20"/>
          <w:szCs w:val="20"/>
        </w:rPr>
        <w:t>”</w:t>
      </w:r>
    </w:p>
    <w:p w:rsidR="007A776C" w:rsidRDefault="007A776C" w:rsidP="007A776C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will check “Siebel Status/Sub-Status” every 30 minutes</w:t>
      </w:r>
    </w:p>
    <w:p w:rsidR="007A776C" w:rsidRDefault="000E6B93" w:rsidP="007A776C">
      <w:pPr>
        <w:numPr>
          <w:ilvl w:val="0"/>
          <w:numId w:val="3"/>
        </w:numPr>
        <w:rPr>
          <w:rFonts w:ascii="Arial" w:hAnsi="Arial" w:cs="Arial"/>
          <w:color w:val="FF0000"/>
          <w:sz w:val="20"/>
          <w:szCs w:val="20"/>
        </w:rPr>
      </w:pPr>
      <w:r w:rsidRPr="00526595">
        <w:rPr>
          <w:rFonts w:ascii="Arial" w:hAnsi="Arial" w:cs="Arial"/>
          <w:color w:val="FF0000"/>
          <w:sz w:val="20"/>
          <w:szCs w:val="20"/>
        </w:rPr>
        <w:t>If the “Siebel Status/Sub-Status” remains “</w:t>
      </w:r>
      <w:r>
        <w:rPr>
          <w:rFonts w:ascii="Arial" w:hAnsi="Arial" w:cs="Arial"/>
          <w:color w:val="FF0000"/>
          <w:sz w:val="20"/>
          <w:szCs w:val="20"/>
        </w:rPr>
        <w:t xml:space="preserve">in a state other than ‘In Review’, ‘complete’ or ‘scheduled’ </w:t>
      </w:r>
      <w:r w:rsidRPr="00526595">
        <w:rPr>
          <w:rFonts w:ascii="Arial" w:hAnsi="Arial" w:cs="Arial"/>
          <w:color w:val="FF0000"/>
          <w:sz w:val="20"/>
          <w:szCs w:val="20"/>
        </w:rPr>
        <w:t>for 14 days, the MarkeTrak Issue is assigned to the state of “New (Losing CR Submit)” with Losing CR as the responsible party</w:t>
      </w:r>
    </w:p>
    <w:p w:rsidR="00526595" w:rsidRDefault="00526595" w:rsidP="00526595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26595">
        <w:rPr>
          <w:rFonts w:ascii="Arial" w:hAnsi="Arial" w:cs="Arial"/>
          <w:sz w:val="20"/>
          <w:szCs w:val="20"/>
        </w:rPr>
        <w:t>Losing CR selects “Provide BGN”</w:t>
      </w:r>
    </w:p>
    <w:p w:rsidR="00526595" w:rsidRDefault="00526595" w:rsidP="00526595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26595">
        <w:rPr>
          <w:rFonts w:ascii="Arial" w:hAnsi="Arial" w:cs="Arial"/>
          <w:sz w:val="20"/>
          <w:szCs w:val="20"/>
        </w:rPr>
        <w:t xml:space="preserve">Losing CR provides BGN 06 for the submitted transaction </w:t>
      </w:r>
    </w:p>
    <w:p w:rsidR="00526595" w:rsidRDefault="00526595" w:rsidP="00526595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26595">
        <w:rPr>
          <w:rFonts w:ascii="Arial" w:hAnsi="Arial" w:cs="Arial"/>
          <w:sz w:val="20"/>
          <w:szCs w:val="20"/>
        </w:rPr>
        <w:t xml:space="preserve">Losing CR selects “Ok” </w:t>
      </w:r>
    </w:p>
    <w:p w:rsidR="00526595" w:rsidRDefault="00526595" w:rsidP="00526595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26595">
        <w:rPr>
          <w:rFonts w:ascii="Arial" w:hAnsi="Arial" w:cs="Arial"/>
          <w:sz w:val="20"/>
          <w:szCs w:val="20"/>
        </w:rPr>
        <w:t>MarkeTrak issue is assigned to the state of “Regaining Transaction Submitted</w:t>
      </w:r>
      <w:r w:rsidR="000E6B93">
        <w:rPr>
          <w:rFonts w:ascii="Arial" w:hAnsi="Arial" w:cs="Arial"/>
          <w:sz w:val="20"/>
          <w:szCs w:val="20"/>
        </w:rPr>
        <w:t xml:space="preserve"> (PC)</w:t>
      </w:r>
      <w:r w:rsidRPr="00526595">
        <w:rPr>
          <w:rFonts w:ascii="Arial" w:hAnsi="Arial" w:cs="Arial"/>
          <w:sz w:val="20"/>
          <w:szCs w:val="20"/>
        </w:rPr>
        <w:t>”</w:t>
      </w:r>
    </w:p>
    <w:p w:rsidR="00526595" w:rsidRDefault="00526595" w:rsidP="00526595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26595">
        <w:rPr>
          <w:rFonts w:ascii="Arial" w:hAnsi="Arial" w:cs="Arial"/>
          <w:sz w:val="20"/>
          <w:szCs w:val="20"/>
        </w:rPr>
        <w:t>MarkeTrak will check “Siebel Status/Sub-Status” every 30 minutes</w:t>
      </w:r>
    </w:p>
    <w:p w:rsidR="00526595" w:rsidRDefault="00526595" w:rsidP="00526595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26595">
        <w:rPr>
          <w:rFonts w:ascii="Arial" w:hAnsi="Arial" w:cs="Arial"/>
          <w:sz w:val="20"/>
          <w:szCs w:val="20"/>
        </w:rPr>
        <w:lastRenderedPageBreak/>
        <w:t>Once the “Siebel Status/Sub-Status” is anything other than “null” the issue will be updated with the current “Siebel Status/Sub-Status”</w:t>
      </w:r>
    </w:p>
    <w:p w:rsidR="00526595" w:rsidRDefault="00526595" w:rsidP="00526595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26595">
        <w:rPr>
          <w:rFonts w:ascii="Arial" w:hAnsi="Arial" w:cs="Arial"/>
          <w:sz w:val="20"/>
          <w:szCs w:val="20"/>
        </w:rPr>
        <w:t xml:space="preserve">Once the Losing CR receives the appropriate 867_04 they select Transition </w:t>
      </w:r>
      <w:r w:rsidR="000E6B93">
        <w:rPr>
          <w:rFonts w:ascii="Arial" w:hAnsi="Arial" w:cs="Arial"/>
          <w:sz w:val="20"/>
          <w:szCs w:val="20"/>
        </w:rPr>
        <w:t>“</w:t>
      </w:r>
      <w:r w:rsidRPr="00526595">
        <w:rPr>
          <w:rFonts w:ascii="Arial" w:hAnsi="Arial" w:cs="Arial"/>
          <w:sz w:val="20"/>
          <w:szCs w:val="20"/>
        </w:rPr>
        <w:t>Complete”</w:t>
      </w:r>
    </w:p>
    <w:p w:rsidR="00526595" w:rsidRPr="00526595" w:rsidRDefault="00526595" w:rsidP="00526595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26595">
        <w:rPr>
          <w:rFonts w:ascii="Arial" w:hAnsi="Arial" w:cs="Arial"/>
          <w:sz w:val="20"/>
          <w:szCs w:val="20"/>
        </w:rPr>
        <w:t>MarkeTrak issue is assigned to the state of “Complete”</w:t>
      </w:r>
    </w:p>
    <w:p w:rsidR="00526595" w:rsidRPr="007A776C" w:rsidRDefault="00526595" w:rsidP="00526595">
      <w:pPr>
        <w:ind w:left="2520"/>
        <w:rPr>
          <w:rFonts w:ascii="Arial" w:hAnsi="Arial" w:cs="Arial"/>
          <w:color w:val="FF0000"/>
          <w:sz w:val="20"/>
          <w:szCs w:val="20"/>
        </w:rPr>
      </w:pPr>
    </w:p>
    <w:p w:rsidR="00656067" w:rsidRDefault="00656067"/>
    <w:sectPr w:rsidR="00656067" w:rsidSect="006560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5A86"/>
    <w:multiLevelType w:val="hybridMultilevel"/>
    <w:tmpl w:val="18A4CDB6"/>
    <w:lvl w:ilvl="0" w:tplc="04090019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>
    <w:nsid w:val="19F91FD2"/>
    <w:multiLevelType w:val="multilevel"/>
    <w:tmpl w:val="38A0A6E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4140"/>
        </w:tabs>
        <w:ind w:left="3910" w:hanging="4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49E6484D"/>
    <w:multiLevelType w:val="hybridMultilevel"/>
    <w:tmpl w:val="E4901F36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59A84439"/>
    <w:multiLevelType w:val="hybridMultilevel"/>
    <w:tmpl w:val="C9CA0084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76C"/>
    <w:rsid w:val="000E6B93"/>
    <w:rsid w:val="00374082"/>
    <w:rsid w:val="00442C27"/>
    <w:rsid w:val="00526595"/>
    <w:rsid w:val="005C2EE8"/>
    <w:rsid w:val="00656067"/>
    <w:rsid w:val="006A662D"/>
    <w:rsid w:val="007500AE"/>
    <w:rsid w:val="007A776C"/>
    <w:rsid w:val="00810381"/>
    <w:rsid w:val="0094513B"/>
    <w:rsid w:val="009E78C6"/>
    <w:rsid w:val="00BB302B"/>
    <w:rsid w:val="00C47E07"/>
    <w:rsid w:val="00E0159E"/>
    <w:rsid w:val="00E16C6D"/>
    <w:rsid w:val="00E71F58"/>
    <w:rsid w:val="00EB18FA"/>
    <w:rsid w:val="00F61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76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A776C"/>
    <w:pPr>
      <w:keepNext/>
      <w:numPr>
        <w:numId w:val="1"/>
      </w:numPr>
      <w:spacing w:before="32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776C"/>
    <w:pPr>
      <w:keepNext/>
      <w:numPr>
        <w:ilvl w:val="1"/>
        <w:numId w:val="1"/>
      </w:numPr>
      <w:tabs>
        <w:tab w:val="left" w:pos="1080"/>
      </w:tabs>
      <w:spacing w:before="160" w:after="160"/>
      <w:ind w:left="1080" w:hanging="7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7A776C"/>
    <w:pPr>
      <w:keepNext/>
      <w:numPr>
        <w:ilvl w:val="2"/>
        <w:numId w:val="1"/>
      </w:numPr>
      <w:tabs>
        <w:tab w:val="clear" w:pos="4140"/>
        <w:tab w:val="num" w:pos="1800"/>
      </w:tabs>
      <w:spacing w:before="160" w:after="160"/>
      <w:ind w:left="1800" w:hanging="720"/>
      <w:outlineLvl w:val="2"/>
    </w:pPr>
    <w:rPr>
      <w:rFonts w:ascii="Arial" w:hAnsi="Arial"/>
      <w:b/>
      <w:b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A776C"/>
    <w:rPr>
      <w:rFonts w:ascii="Arial" w:eastAsia="Times New Roman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7A776C"/>
    <w:rPr>
      <w:rFonts w:ascii="Arial" w:eastAsia="Times New Roman" w:hAnsi="Arial" w:cs="Arial"/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7A776C"/>
    <w:rPr>
      <w:rFonts w:ascii="Arial" w:eastAsia="Times New Roman" w:hAnsi="Arial" w:cs="Times New Roman"/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6B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B9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CenterPoint Energy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00208358</dc:creator>
  <cp:keywords/>
  <dc:description/>
  <cp:lastModifiedBy>cdillon</cp:lastModifiedBy>
  <cp:revision>3</cp:revision>
  <dcterms:created xsi:type="dcterms:W3CDTF">2011-05-05T20:20:00Z</dcterms:created>
  <dcterms:modified xsi:type="dcterms:W3CDTF">2011-05-06T15:31:00Z</dcterms:modified>
</cp:coreProperties>
</file>