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1B" w:rsidRDefault="0041148C" w:rsidP="0041148C">
      <w:pPr>
        <w:jc w:val="right"/>
      </w:pPr>
      <w:r>
        <w:rPr>
          <w:noProof/>
        </w:rPr>
        <w:drawing>
          <wp:inline distT="0" distB="0" distL="0" distR="0" wp14:anchorId="6BCDB532" wp14:editId="4DAD4210">
            <wp:extent cx="1282168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36" cy="4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8C" w:rsidRPr="0041148C" w:rsidRDefault="00DE33A4" w:rsidP="00644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for the </w:t>
      </w:r>
      <w:r w:rsidR="00554514">
        <w:rPr>
          <w:b/>
          <w:sz w:val="40"/>
          <w:szCs w:val="40"/>
        </w:rPr>
        <w:t>Thirtieth</w:t>
      </w:r>
      <w:r w:rsidR="0041148C" w:rsidRPr="0041148C">
        <w:rPr>
          <w:b/>
          <w:sz w:val="40"/>
          <w:szCs w:val="40"/>
        </w:rPr>
        <w:t xml:space="preserve"> Annual ERCOT Region</w:t>
      </w:r>
    </w:p>
    <w:p w:rsidR="0041148C" w:rsidRPr="0041148C" w:rsidRDefault="006441F0" w:rsidP="004114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2014 </w:t>
      </w:r>
      <w:r w:rsidR="0041148C" w:rsidRPr="0041148C">
        <w:rPr>
          <w:b/>
          <w:sz w:val="40"/>
          <w:szCs w:val="40"/>
        </w:rPr>
        <w:t>Operations Training Seminar</w:t>
      </w:r>
    </w:p>
    <w:p w:rsidR="00B1634B" w:rsidRDefault="00B1634B">
      <w:pPr>
        <w:rPr>
          <w:b/>
        </w:rPr>
      </w:pPr>
    </w:p>
    <w:p w:rsidR="00B1634B" w:rsidRDefault="00B1634B">
      <w:pPr>
        <w:rPr>
          <w:b/>
        </w:rPr>
      </w:pPr>
    </w:p>
    <w:p w:rsidR="0041148C" w:rsidRPr="0041148C" w:rsidRDefault="005A753E" w:rsidP="0089480B">
      <w:pPr>
        <w:spacing w:after="0"/>
        <w:rPr>
          <w:b/>
        </w:rPr>
      </w:pPr>
      <w:r>
        <w:rPr>
          <w:b/>
        </w:rPr>
        <w:t>Monday</w:t>
      </w:r>
      <w:r w:rsidR="0041148C" w:rsidRPr="0041148C">
        <w:rPr>
          <w:b/>
        </w:rPr>
        <w:t>, PM</w:t>
      </w:r>
      <w:r w:rsidR="00305623">
        <w:rPr>
          <w:b/>
        </w:rPr>
        <w:t>; General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807"/>
        <w:gridCol w:w="3670"/>
        <w:gridCol w:w="3978"/>
      </w:tblGrid>
      <w:tr w:rsidR="00AA3B36" w:rsidTr="00AA0CF2">
        <w:tc>
          <w:tcPr>
            <w:tcW w:w="1121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Beginning</w:t>
            </w:r>
          </w:p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Time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End</w:t>
            </w:r>
          </w:p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Time</w:t>
            </w:r>
          </w:p>
        </w:tc>
        <w:tc>
          <w:tcPr>
            <w:tcW w:w="3670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Description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Presenter</w:t>
            </w:r>
          </w:p>
        </w:tc>
      </w:tr>
      <w:tr w:rsidR="0041148C" w:rsidTr="002E0A45">
        <w:tc>
          <w:tcPr>
            <w:tcW w:w="1121" w:type="dxa"/>
          </w:tcPr>
          <w:p w:rsidR="0041148C" w:rsidRDefault="0041148C">
            <w:r>
              <w:t xml:space="preserve">13:00 </w:t>
            </w:r>
          </w:p>
        </w:tc>
        <w:tc>
          <w:tcPr>
            <w:tcW w:w="807" w:type="dxa"/>
          </w:tcPr>
          <w:p w:rsidR="0041148C" w:rsidRDefault="007A506C">
            <w:r>
              <w:t>13:10</w:t>
            </w:r>
          </w:p>
        </w:tc>
        <w:tc>
          <w:tcPr>
            <w:tcW w:w="3670" w:type="dxa"/>
          </w:tcPr>
          <w:p w:rsidR="0041148C" w:rsidRDefault="00FD37BA">
            <w:r>
              <w:t xml:space="preserve">Seminar </w:t>
            </w:r>
            <w:r w:rsidR="0041148C">
              <w:t>Introduction</w:t>
            </w:r>
          </w:p>
        </w:tc>
        <w:tc>
          <w:tcPr>
            <w:tcW w:w="3978" w:type="dxa"/>
          </w:tcPr>
          <w:p w:rsidR="0041148C" w:rsidRDefault="00B1634B">
            <w:r>
              <w:t>Alan Allgower</w:t>
            </w:r>
          </w:p>
        </w:tc>
      </w:tr>
      <w:tr w:rsidR="00FD37BA" w:rsidTr="003D6840">
        <w:tc>
          <w:tcPr>
            <w:tcW w:w="1121" w:type="dxa"/>
            <w:tcBorders>
              <w:bottom w:val="single" w:sz="4" w:space="0" w:color="auto"/>
            </w:tcBorders>
          </w:tcPr>
          <w:p w:rsidR="00FD37BA" w:rsidRDefault="00FD37BA" w:rsidP="007A506C">
            <w:r>
              <w:t>13:1</w:t>
            </w:r>
            <w:r w:rsidR="007A506C">
              <w:t>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D37BA" w:rsidRDefault="00BF2A42">
            <w:r>
              <w:t>13:50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FD37BA" w:rsidRDefault="00FD37BA" w:rsidP="00D43E17">
            <w:r>
              <w:t>CEO Perspective</w:t>
            </w:r>
            <w:r w:rsidR="00086833">
              <w:rPr>
                <w:highlight w:val="yellow"/>
              </w:rPr>
              <w:t xml:space="preserve">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FD37BA" w:rsidRDefault="000C62E6" w:rsidP="00840224">
            <w:r>
              <w:t>Trip</w:t>
            </w:r>
            <w:r w:rsidR="0033076C">
              <w:t xml:space="preserve"> Doggett and </w:t>
            </w:r>
            <w:r w:rsidR="00840224">
              <w:t>Ken McIntyre</w:t>
            </w:r>
          </w:p>
        </w:tc>
      </w:tr>
      <w:tr w:rsidR="00BF2A42" w:rsidTr="003D6840">
        <w:tc>
          <w:tcPr>
            <w:tcW w:w="1121" w:type="dxa"/>
            <w:shd w:val="clear" w:color="auto" w:fill="BFBFBF" w:themeFill="background1" w:themeFillShade="BF"/>
          </w:tcPr>
          <w:p w:rsidR="00BF2A42" w:rsidRDefault="00BF2A42">
            <w:r>
              <w:t xml:space="preserve">13:50 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BF2A42" w:rsidRDefault="00BF2A42">
            <w:r>
              <w:t>14:00</w:t>
            </w:r>
          </w:p>
        </w:tc>
        <w:tc>
          <w:tcPr>
            <w:tcW w:w="3670" w:type="dxa"/>
            <w:shd w:val="clear" w:color="auto" w:fill="BFBFBF" w:themeFill="background1" w:themeFillShade="BF"/>
          </w:tcPr>
          <w:p w:rsidR="00BF2A42" w:rsidRDefault="00BF2A42">
            <w:r>
              <w:t>Break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BF2A42" w:rsidRDefault="00BF2A42"/>
        </w:tc>
      </w:tr>
      <w:tr w:rsidR="00FD37BA" w:rsidTr="002E0A45">
        <w:tc>
          <w:tcPr>
            <w:tcW w:w="1121" w:type="dxa"/>
          </w:tcPr>
          <w:p w:rsidR="00FD37BA" w:rsidRDefault="00FD37BA">
            <w:r>
              <w:t>14:00</w:t>
            </w:r>
          </w:p>
        </w:tc>
        <w:tc>
          <w:tcPr>
            <w:tcW w:w="807" w:type="dxa"/>
          </w:tcPr>
          <w:p w:rsidR="00FD37BA" w:rsidRDefault="00FD37BA">
            <w:r>
              <w:t>14:50</w:t>
            </w:r>
          </w:p>
        </w:tc>
        <w:tc>
          <w:tcPr>
            <w:tcW w:w="3670" w:type="dxa"/>
          </w:tcPr>
          <w:p w:rsidR="00FD37BA" w:rsidRDefault="001D7681" w:rsidP="00D43E17">
            <w:r>
              <w:t xml:space="preserve">ERCOT </w:t>
            </w:r>
            <w:r w:rsidR="00BF2A42">
              <w:t xml:space="preserve">Demand Response </w:t>
            </w:r>
          </w:p>
        </w:tc>
        <w:tc>
          <w:tcPr>
            <w:tcW w:w="3978" w:type="dxa"/>
          </w:tcPr>
          <w:p w:rsidR="00FD37BA" w:rsidRDefault="00BF2A42" w:rsidP="005915DD">
            <w:r>
              <w:t>Mark Patterson</w:t>
            </w:r>
            <w:r w:rsidR="007E4A55">
              <w:t xml:space="preserve"> and </w:t>
            </w:r>
            <w:r w:rsidR="00002397">
              <w:t>Steve Krein</w:t>
            </w:r>
          </w:p>
        </w:tc>
      </w:tr>
      <w:tr w:rsidR="00FD37BA" w:rsidTr="003771C3"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37BA" w:rsidRDefault="00FD37BA">
            <w:r>
              <w:t>14:50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37BA" w:rsidRDefault="00FD37BA">
            <w:r>
              <w:t>15:00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37BA" w:rsidRDefault="00FD37BA">
            <w:r>
              <w:t>Break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37BA" w:rsidRDefault="00FD37BA"/>
        </w:tc>
      </w:tr>
      <w:tr w:rsidR="00FD37BA" w:rsidTr="003771C3">
        <w:tc>
          <w:tcPr>
            <w:tcW w:w="1121" w:type="dxa"/>
            <w:tcBorders>
              <w:bottom w:val="single" w:sz="4" w:space="0" w:color="auto"/>
            </w:tcBorders>
          </w:tcPr>
          <w:p w:rsidR="00FD37BA" w:rsidRDefault="00FD37BA">
            <w:r>
              <w:t>15:00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D37BA" w:rsidRDefault="00FF0CA4">
            <w:r>
              <w:t>15:50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FD37BA" w:rsidRDefault="00606789" w:rsidP="00D43E17">
            <w:r>
              <w:t>Overview of EOC, a</w:t>
            </w:r>
            <w:r w:rsidR="009F038E">
              <w:t>ctions taken for EEA, hurricane and cold weather</w:t>
            </w:r>
            <w:r w:rsidR="00086833">
              <w:rPr>
                <w:highlight w:val="yellow"/>
              </w:rPr>
              <w:t xml:space="preserve"> </w:t>
            </w:r>
            <w:r w:rsidR="009F038E" w:rsidRPr="009F038E">
              <w:t>event</w:t>
            </w:r>
            <w:r w:rsidR="009F038E" w:rsidRPr="000D277D">
              <w:t>s</w:t>
            </w:r>
            <w:r w:rsidR="002B77BA">
              <w:t xml:space="preserve"> – related to the electric sector</w:t>
            </w:r>
            <w:r w:rsidR="000D277D" w:rsidRPr="000D277D">
              <w:t xml:space="preserve">.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FD37BA" w:rsidRDefault="00744E6B" w:rsidP="00744E6B">
            <w:r>
              <w:t>Dede</w:t>
            </w:r>
            <w:r w:rsidR="00BC2B33">
              <w:t xml:space="preserve"> Powell – </w:t>
            </w:r>
            <w:r w:rsidR="00606789">
              <w:t>State of Texa</w:t>
            </w:r>
            <w:r>
              <w:t>s Emergency Operations Center</w:t>
            </w:r>
          </w:p>
        </w:tc>
      </w:tr>
      <w:tr w:rsidR="00840224" w:rsidTr="00840224"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0224" w:rsidRDefault="00840224" w:rsidP="00381129">
            <w:r>
              <w:t>15:50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0224" w:rsidRDefault="00840224" w:rsidP="00381129">
            <w:r>
              <w:t>16:00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0224" w:rsidRDefault="00840224" w:rsidP="00381129">
            <w:r>
              <w:t>Break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0224" w:rsidRDefault="00840224" w:rsidP="00381129"/>
        </w:tc>
      </w:tr>
      <w:tr w:rsidR="00840224" w:rsidTr="0084022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24" w:rsidRDefault="00840224" w:rsidP="00381129">
            <w:r>
              <w:t>16:00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24" w:rsidRDefault="00840224" w:rsidP="00381129">
            <w:r>
              <w:t>16:50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24" w:rsidRDefault="006E5DEA" w:rsidP="00D43E17">
            <w:r>
              <w:t>Natural gas industry presentation – high level overview, actions during a bl</w:t>
            </w:r>
            <w:r w:rsidR="0064020C">
              <w:t xml:space="preserve">ackout, hurricane preparations and </w:t>
            </w:r>
            <w:r>
              <w:t xml:space="preserve">cold weather curtailments </w:t>
            </w:r>
            <w:r w:rsidR="002B77BA">
              <w:t>– related to the electric sector</w:t>
            </w:r>
            <w:r w:rsidR="002B77BA" w:rsidRPr="000D277D"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A" w:rsidRDefault="006E5DEA" w:rsidP="006E5DEA">
            <w:r>
              <w:t>Raborn Reader - Enterprise Gas</w:t>
            </w:r>
          </w:p>
          <w:p w:rsidR="00840224" w:rsidRDefault="006E5DEA" w:rsidP="006E5DEA">
            <w:r>
              <w:t>James Mann – Texas Pipeline Association</w:t>
            </w:r>
          </w:p>
        </w:tc>
      </w:tr>
      <w:tr w:rsidR="00840224" w:rsidTr="00840224"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24" w:rsidRDefault="00840224" w:rsidP="00381129"/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24" w:rsidRDefault="00840224" w:rsidP="00381129"/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24" w:rsidRDefault="00840224" w:rsidP="00381129"/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24" w:rsidRDefault="00840224" w:rsidP="00381129"/>
        </w:tc>
      </w:tr>
    </w:tbl>
    <w:p w:rsidR="00B1634B" w:rsidRDefault="00B1634B">
      <w:pPr>
        <w:rPr>
          <w:b/>
        </w:rPr>
      </w:pPr>
    </w:p>
    <w:p w:rsidR="00B1634B" w:rsidRDefault="00B1634B">
      <w:pPr>
        <w:rPr>
          <w:b/>
        </w:rPr>
      </w:pPr>
    </w:p>
    <w:p w:rsidR="00AA3B36" w:rsidRDefault="005A753E" w:rsidP="0089480B">
      <w:pPr>
        <w:spacing w:after="0"/>
        <w:rPr>
          <w:b/>
        </w:rPr>
      </w:pPr>
      <w:r>
        <w:rPr>
          <w:b/>
        </w:rPr>
        <w:t>Tu</w:t>
      </w:r>
      <w:r w:rsidR="00884250">
        <w:rPr>
          <w:b/>
        </w:rPr>
        <w:t>esday</w:t>
      </w:r>
      <w:r w:rsidR="0079485B">
        <w:rPr>
          <w:b/>
        </w:rPr>
        <w:t xml:space="preserve">, </w:t>
      </w:r>
      <w:r w:rsidR="006E5DEA">
        <w:rPr>
          <w:b/>
        </w:rPr>
        <w:t>half day</w:t>
      </w:r>
      <w:r w:rsidR="00840224">
        <w:rPr>
          <w:b/>
        </w:rPr>
        <w:t>; QSE, GO and GOP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787"/>
        <w:gridCol w:w="3690"/>
        <w:gridCol w:w="3978"/>
      </w:tblGrid>
      <w:tr w:rsidR="00E43798" w:rsidTr="00AA0CF2">
        <w:tc>
          <w:tcPr>
            <w:tcW w:w="1121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Beginning</w:t>
            </w:r>
          </w:p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End</w:t>
            </w:r>
          </w:p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E43798" w:rsidTr="003D6840">
        <w:trPr>
          <w:trHeight w:val="305"/>
        </w:trPr>
        <w:tc>
          <w:tcPr>
            <w:tcW w:w="1121" w:type="dxa"/>
            <w:tcBorders>
              <w:bottom w:val="single" w:sz="4" w:space="0" w:color="auto"/>
            </w:tcBorders>
          </w:tcPr>
          <w:p w:rsidR="00E43798" w:rsidRPr="00AA3B36" w:rsidRDefault="00387BAE" w:rsidP="00486034">
            <w:r>
              <w:t>08:00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E43798" w:rsidRPr="00AA3B36" w:rsidRDefault="00387BAE" w:rsidP="00486034">
            <w:r>
              <w:t>08</w:t>
            </w:r>
            <w:r w:rsidR="00E43798">
              <w:t>:50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43798" w:rsidRPr="00AA3B36" w:rsidRDefault="007230F9" w:rsidP="00D43E17">
            <w:r>
              <w:t xml:space="preserve">Market Operations </w:t>
            </w:r>
            <w:r w:rsidR="00340EC0">
              <w:t>Updates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E43798" w:rsidRPr="00AA3B36" w:rsidRDefault="007230F9" w:rsidP="00F44C0C">
            <w:r>
              <w:t>Brad Jones</w:t>
            </w:r>
          </w:p>
        </w:tc>
      </w:tr>
      <w:tr w:rsidR="00E43798" w:rsidTr="003D6840">
        <w:trPr>
          <w:trHeight w:val="305"/>
        </w:trPr>
        <w:tc>
          <w:tcPr>
            <w:tcW w:w="1121" w:type="dxa"/>
            <w:shd w:val="clear" w:color="auto" w:fill="BFBFBF" w:themeFill="background1" w:themeFillShade="BF"/>
          </w:tcPr>
          <w:p w:rsidR="00E43798" w:rsidRPr="00AA3B36" w:rsidRDefault="00E43798" w:rsidP="00486034">
            <w:r>
              <w:t>08:50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E43798" w:rsidRDefault="00E43798" w:rsidP="00486034">
            <w:r>
              <w:t>09:00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E43798" w:rsidRDefault="00E43798" w:rsidP="00486034">
            <w:r>
              <w:t>Break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E43798" w:rsidRPr="00AA3B36" w:rsidRDefault="00E43798" w:rsidP="00486034"/>
        </w:tc>
      </w:tr>
      <w:tr w:rsidR="00387BAE" w:rsidTr="002E0A45">
        <w:tc>
          <w:tcPr>
            <w:tcW w:w="1121" w:type="dxa"/>
          </w:tcPr>
          <w:p w:rsidR="00387BAE" w:rsidRDefault="00387BAE" w:rsidP="00486034">
            <w:r>
              <w:t>09:00</w:t>
            </w:r>
          </w:p>
        </w:tc>
        <w:tc>
          <w:tcPr>
            <w:tcW w:w="787" w:type="dxa"/>
          </w:tcPr>
          <w:p w:rsidR="00387BAE" w:rsidRDefault="00387BAE" w:rsidP="00486034">
            <w:r>
              <w:t>09:50</w:t>
            </w:r>
          </w:p>
        </w:tc>
        <w:tc>
          <w:tcPr>
            <w:tcW w:w="3690" w:type="dxa"/>
          </w:tcPr>
          <w:p w:rsidR="00387BAE" w:rsidRPr="00AA3B36" w:rsidRDefault="00B75667" w:rsidP="00B75667">
            <w:r>
              <w:t>Lessons learned for QSE’s, GO’s and GOP’s</w:t>
            </w:r>
          </w:p>
        </w:tc>
        <w:tc>
          <w:tcPr>
            <w:tcW w:w="3978" w:type="dxa"/>
          </w:tcPr>
          <w:p w:rsidR="00387BAE" w:rsidRPr="00AA3B36" w:rsidRDefault="00387BAE" w:rsidP="00B74EB3">
            <w:r>
              <w:t>Texas RE</w:t>
            </w:r>
          </w:p>
        </w:tc>
      </w:tr>
      <w:tr w:rsidR="00387BAE" w:rsidRPr="00BF2A42" w:rsidTr="00B74EB3">
        <w:tc>
          <w:tcPr>
            <w:tcW w:w="1121" w:type="dxa"/>
            <w:shd w:val="clear" w:color="auto" w:fill="BFBFBF" w:themeFill="background1" w:themeFillShade="BF"/>
          </w:tcPr>
          <w:p w:rsidR="00387BAE" w:rsidRPr="00BF2A42" w:rsidRDefault="00387BAE" w:rsidP="00B74EB3">
            <w:r>
              <w:t>09:50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387BAE" w:rsidRPr="00BF2A42" w:rsidRDefault="00387BAE" w:rsidP="00B74EB3">
            <w:r>
              <w:t>10:00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387BAE" w:rsidRPr="00BF2A42" w:rsidRDefault="00387BAE" w:rsidP="00B74EB3">
            <w:r w:rsidRPr="00BF2A42">
              <w:t>Break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387BAE" w:rsidRPr="00BF2A42" w:rsidRDefault="00387BAE" w:rsidP="00B74EB3"/>
        </w:tc>
      </w:tr>
      <w:tr w:rsidR="00387BAE" w:rsidTr="002E0A45">
        <w:tc>
          <w:tcPr>
            <w:tcW w:w="1121" w:type="dxa"/>
          </w:tcPr>
          <w:p w:rsidR="00387BAE" w:rsidRDefault="00387BAE" w:rsidP="00486034">
            <w:r>
              <w:t>10:00</w:t>
            </w:r>
          </w:p>
        </w:tc>
        <w:tc>
          <w:tcPr>
            <w:tcW w:w="787" w:type="dxa"/>
          </w:tcPr>
          <w:p w:rsidR="00387BAE" w:rsidRDefault="00387BAE" w:rsidP="00486034">
            <w:r>
              <w:t>10:50</w:t>
            </w:r>
          </w:p>
        </w:tc>
        <w:tc>
          <w:tcPr>
            <w:tcW w:w="3690" w:type="dxa"/>
          </w:tcPr>
          <w:p w:rsidR="00387BAE" w:rsidRDefault="00387BAE" w:rsidP="00D43E17">
            <w:r>
              <w:t xml:space="preserve">Basic frequency control and bias definition with operator exercise for governor droop/bias calculations </w:t>
            </w:r>
          </w:p>
        </w:tc>
        <w:tc>
          <w:tcPr>
            <w:tcW w:w="3978" w:type="dxa"/>
          </w:tcPr>
          <w:p w:rsidR="00387BAE" w:rsidRDefault="00387BAE" w:rsidP="00486034">
            <w:r>
              <w:t>Sydney Niemeyer/ Sandip Sharma</w:t>
            </w:r>
          </w:p>
        </w:tc>
      </w:tr>
      <w:tr w:rsidR="00387BAE" w:rsidTr="006262B3">
        <w:tc>
          <w:tcPr>
            <w:tcW w:w="1121" w:type="dxa"/>
            <w:shd w:val="clear" w:color="auto" w:fill="BFBFBF" w:themeFill="background1" w:themeFillShade="BF"/>
          </w:tcPr>
          <w:p w:rsidR="00387BAE" w:rsidRPr="00AA3B36" w:rsidRDefault="00387BAE" w:rsidP="00387BAE">
            <w:r>
              <w:t>10:50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387BAE" w:rsidRPr="00AA3B36" w:rsidRDefault="00387BAE" w:rsidP="00486034">
            <w:r>
              <w:t>11:00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387BAE" w:rsidRPr="00AA3B36" w:rsidRDefault="00387BAE" w:rsidP="00D43E17">
            <w:r w:rsidRPr="00BF2A42">
              <w:t>Break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387BAE" w:rsidRPr="00AA3B36" w:rsidRDefault="00387BAE" w:rsidP="00486034"/>
        </w:tc>
      </w:tr>
      <w:tr w:rsidR="00387BAE" w:rsidTr="006262B3">
        <w:tc>
          <w:tcPr>
            <w:tcW w:w="1121" w:type="dxa"/>
            <w:tcBorders>
              <w:bottom w:val="single" w:sz="4" w:space="0" w:color="auto"/>
            </w:tcBorders>
          </w:tcPr>
          <w:p w:rsidR="00387BAE" w:rsidRPr="00BF2A42" w:rsidRDefault="00387BAE" w:rsidP="00486034">
            <w:r>
              <w:t>11:00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387BAE" w:rsidRPr="00BF2A42" w:rsidRDefault="00387BAE" w:rsidP="00486034">
            <w:r>
              <w:t>11:50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87BAE" w:rsidRPr="00BF2A42" w:rsidRDefault="00387BAE" w:rsidP="00486034">
            <w:r>
              <w:t xml:space="preserve">Frequency control during startup and shut down of units, protocol references, Fast freq. response program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387BAE" w:rsidRPr="00BF2A42" w:rsidRDefault="00387BAE" w:rsidP="00486034">
            <w:r>
              <w:t>Sandip Sharma/ Sydney Niemeyer</w:t>
            </w:r>
          </w:p>
        </w:tc>
      </w:tr>
      <w:tr w:rsidR="000A221F" w:rsidRPr="00AA3B36" w:rsidTr="000A221F"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A221F" w:rsidRPr="00AA3B36" w:rsidRDefault="000A221F" w:rsidP="00B74EB3">
            <w:r>
              <w:t>12:00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A221F" w:rsidRPr="00AA3B36" w:rsidRDefault="000A221F" w:rsidP="00B74EB3">
            <w:r>
              <w:t>12:55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A221F" w:rsidRPr="00AA3B36" w:rsidRDefault="000A221F" w:rsidP="00B74EB3">
            <w:r>
              <w:t>Lunch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A221F" w:rsidRPr="00AA3B36" w:rsidRDefault="000A221F" w:rsidP="00B74EB3"/>
        </w:tc>
      </w:tr>
    </w:tbl>
    <w:p w:rsidR="00571ABF" w:rsidRDefault="00571ABF">
      <w:pPr>
        <w:rPr>
          <w:noProof/>
        </w:rPr>
      </w:pPr>
    </w:p>
    <w:p w:rsidR="00B1634B" w:rsidRDefault="00B1634B">
      <w:pPr>
        <w:rPr>
          <w:noProof/>
        </w:rPr>
      </w:pPr>
    </w:p>
    <w:p w:rsidR="00571ABF" w:rsidRDefault="00571ABF" w:rsidP="00571ABF">
      <w:pPr>
        <w:jc w:val="right"/>
      </w:pPr>
      <w:r>
        <w:rPr>
          <w:noProof/>
        </w:rPr>
        <w:drawing>
          <wp:inline distT="0" distB="0" distL="0" distR="0" wp14:anchorId="10F48315" wp14:editId="0F558982">
            <wp:extent cx="1282168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36" cy="4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BF" w:rsidRPr="0041148C" w:rsidRDefault="00571ABF" w:rsidP="00571A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for the </w:t>
      </w:r>
      <w:r w:rsidR="00554514">
        <w:rPr>
          <w:b/>
          <w:sz w:val="40"/>
          <w:szCs w:val="40"/>
        </w:rPr>
        <w:t>T</w:t>
      </w:r>
      <w:r w:rsidR="009B054F">
        <w:rPr>
          <w:b/>
          <w:sz w:val="40"/>
          <w:szCs w:val="40"/>
        </w:rPr>
        <w:t>hirtieth</w:t>
      </w:r>
      <w:r w:rsidRPr="0041148C">
        <w:rPr>
          <w:b/>
          <w:sz w:val="40"/>
          <w:szCs w:val="40"/>
        </w:rPr>
        <w:t xml:space="preserve"> Annual ERCOT Region</w:t>
      </w:r>
    </w:p>
    <w:p w:rsidR="0089480B" w:rsidRPr="00535ADA" w:rsidRDefault="006441F0" w:rsidP="00535A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2014 </w:t>
      </w:r>
      <w:r w:rsidR="00571ABF" w:rsidRPr="0041148C">
        <w:rPr>
          <w:b/>
          <w:sz w:val="40"/>
          <w:szCs w:val="40"/>
        </w:rPr>
        <w:t>Operations Training Seminar</w:t>
      </w:r>
    </w:p>
    <w:p w:rsidR="00B1634B" w:rsidRDefault="00B1634B" w:rsidP="0089480B">
      <w:pPr>
        <w:spacing w:after="0"/>
        <w:rPr>
          <w:b/>
        </w:rPr>
      </w:pPr>
      <w:r>
        <w:rPr>
          <w:b/>
        </w:rPr>
        <w:t>Tuesday, half day; Transmission Operators Session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787"/>
        <w:gridCol w:w="3870"/>
        <w:gridCol w:w="3798"/>
      </w:tblGrid>
      <w:tr w:rsidR="00B1634B" w:rsidTr="00E14691">
        <w:tc>
          <w:tcPr>
            <w:tcW w:w="1121" w:type="dxa"/>
            <w:shd w:val="clear" w:color="auto" w:fill="BFBFBF" w:themeFill="background1" w:themeFillShade="BF"/>
          </w:tcPr>
          <w:p w:rsidR="00B1634B" w:rsidRPr="00BC7B15" w:rsidRDefault="00B1634B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BC7B15">
              <w:rPr>
                <w:b/>
              </w:rPr>
              <w:t>Beginning Time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1634B" w:rsidRPr="00BC7B15" w:rsidRDefault="00B1634B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BC7B15">
              <w:rPr>
                <w:b/>
              </w:rPr>
              <w:t>End Time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B1634B" w:rsidRPr="00BC7B15" w:rsidRDefault="00B1634B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BC7B15">
              <w:rPr>
                <w:b/>
              </w:rPr>
              <w:t>Description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B1634B" w:rsidRPr="00BC7B15" w:rsidRDefault="00B1634B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BC7B15">
              <w:rPr>
                <w:b/>
              </w:rPr>
              <w:t>Presenter</w:t>
            </w:r>
          </w:p>
        </w:tc>
      </w:tr>
      <w:tr w:rsidR="00B1634B" w:rsidTr="00E14691">
        <w:tc>
          <w:tcPr>
            <w:tcW w:w="1121" w:type="dxa"/>
          </w:tcPr>
          <w:p w:rsidR="00B1634B" w:rsidRPr="00AA3B36" w:rsidRDefault="00387BAE" w:rsidP="00E14691">
            <w:r>
              <w:t>08:00</w:t>
            </w:r>
          </w:p>
        </w:tc>
        <w:tc>
          <w:tcPr>
            <w:tcW w:w="787" w:type="dxa"/>
          </w:tcPr>
          <w:p w:rsidR="00B1634B" w:rsidRPr="00AA3B36" w:rsidRDefault="00387BAE" w:rsidP="00E14691">
            <w:r>
              <w:t>08</w:t>
            </w:r>
            <w:r w:rsidR="00B1634B">
              <w:t>:50</w:t>
            </w:r>
          </w:p>
        </w:tc>
        <w:tc>
          <w:tcPr>
            <w:tcW w:w="3870" w:type="dxa"/>
          </w:tcPr>
          <w:p w:rsidR="00B1634B" w:rsidRPr="00AA3B36" w:rsidRDefault="006306DD" w:rsidP="00C8035D">
            <w:r>
              <w:t>G</w:t>
            </w:r>
            <w:r w:rsidR="00C8035D">
              <w:t xml:space="preserve">eomagnetic storm </w:t>
            </w:r>
            <w:r>
              <w:t xml:space="preserve">effects on transmission elements </w:t>
            </w:r>
          </w:p>
        </w:tc>
        <w:tc>
          <w:tcPr>
            <w:tcW w:w="3798" w:type="dxa"/>
          </w:tcPr>
          <w:p w:rsidR="00B1634B" w:rsidRPr="00AA3B36" w:rsidRDefault="006306DD" w:rsidP="006306DD">
            <w:r>
              <w:t xml:space="preserve">Ken Donohoo </w:t>
            </w:r>
          </w:p>
        </w:tc>
      </w:tr>
      <w:tr w:rsidR="00B1634B" w:rsidTr="00E14691">
        <w:tc>
          <w:tcPr>
            <w:tcW w:w="1121" w:type="dxa"/>
            <w:shd w:val="clear" w:color="auto" w:fill="BFBFBF" w:themeFill="background1" w:themeFillShade="BF"/>
          </w:tcPr>
          <w:p w:rsidR="00B1634B" w:rsidRPr="00BF2A42" w:rsidRDefault="007441F9" w:rsidP="00E14691">
            <w:r>
              <w:t>08:50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1634B" w:rsidRPr="00BF2A42" w:rsidRDefault="00B1634B" w:rsidP="00387BAE">
            <w:r>
              <w:t>09:</w:t>
            </w:r>
            <w:r w:rsidR="007441F9">
              <w:t>0</w:t>
            </w:r>
            <w:r w:rsidR="00387BAE">
              <w:t>0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B1634B" w:rsidRPr="00BF2A42" w:rsidRDefault="00B1634B" w:rsidP="00E14691">
            <w:r w:rsidRPr="00BF2A42">
              <w:t>Break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B1634B" w:rsidRPr="00BF2A42" w:rsidRDefault="00B1634B" w:rsidP="00E14691"/>
        </w:tc>
      </w:tr>
      <w:tr w:rsidR="007441F9" w:rsidTr="00E14691">
        <w:tc>
          <w:tcPr>
            <w:tcW w:w="1121" w:type="dxa"/>
          </w:tcPr>
          <w:p w:rsidR="007441F9" w:rsidRDefault="007441F9" w:rsidP="00E14691">
            <w:r>
              <w:t>09:00</w:t>
            </w:r>
          </w:p>
        </w:tc>
        <w:tc>
          <w:tcPr>
            <w:tcW w:w="787" w:type="dxa"/>
          </w:tcPr>
          <w:p w:rsidR="007441F9" w:rsidRDefault="007441F9" w:rsidP="00E14691">
            <w:r>
              <w:t>09:50</w:t>
            </w:r>
          </w:p>
        </w:tc>
        <w:tc>
          <w:tcPr>
            <w:tcW w:w="3870" w:type="dxa"/>
          </w:tcPr>
          <w:p w:rsidR="007441F9" w:rsidRDefault="006306DD" w:rsidP="00B74EB3">
            <w:r>
              <w:t>ERCOT IROL/SOL Methodology</w:t>
            </w:r>
          </w:p>
        </w:tc>
        <w:tc>
          <w:tcPr>
            <w:tcW w:w="3798" w:type="dxa"/>
          </w:tcPr>
          <w:p w:rsidR="007441F9" w:rsidRPr="00AA3B36" w:rsidRDefault="006306DD" w:rsidP="00B74EB3">
            <w:r>
              <w:t>Stephen Solis</w:t>
            </w:r>
            <w:r w:rsidR="003878B3">
              <w:t xml:space="preserve"> and Matt Stout</w:t>
            </w:r>
            <w:bookmarkStart w:id="0" w:name="_GoBack"/>
            <w:bookmarkEnd w:id="0"/>
          </w:p>
        </w:tc>
      </w:tr>
      <w:tr w:rsidR="009617C6" w:rsidRPr="00AA3B36" w:rsidTr="00B74EB3">
        <w:tc>
          <w:tcPr>
            <w:tcW w:w="1121" w:type="dxa"/>
            <w:shd w:val="clear" w:color="auto" w:fill="BFBFBF" w:themeFill="background1" w:themeFillShade="BF"/>
          </w:tcPr>
          <w:p w:rsidR="009617C6" w:rsidRPr="00AA3B36" w:rsidRDefault="009617C6" w:rsidP="00B74EB3">
            <w:r>
              <w:t>09:50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9617C6" w:rsidRPr="00AA3B36" w:rsidRDefault="009617C6" w:rsidP="00B74EB3">
            <w:r>
              <w:t>10:00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9617C6" w:rsidRPr="00AA3B36" w:rsidRDefault="009617C6" w:rsidP="00B74EB3">
            <w:r>
              <w:t>Break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9617C6" w:rsidRPr="00AA3B36" w:rsidRDefault="009617C6" w:rsidP="00B74EB3"/>
        </w:tc>
      </w:tr>
      <w:tr w:rsidR="007441F9" w:rsidRPr="00AA3B36" w:rsidTr="00B74EB3">
        <w:tc>
          <w:tcPr>
            <w:tcW w:w="1121" w:type="dxa"/>
          </w:tcPr>
          <w:p w:rsidR="007441F9" w:rsidRDefault="007441F9" w:rsidP="00B74EB3">
            <w:r>
              <w:t>10:00</w:t>
            </w:r>
          </w:p>
        </w:tc>
        <w:tc>
          <w:tcPr>
            <w:tcW w:w="787" w:type="dxa"/>
          </w:tcPr>
          <w:p w:rsidR="007441F9" w:rsidRDefault="007441F9" w:rsidP="00B74EB3">
            <w:r>
              <w:t>10:50</w:t>
            </w:r>
          </w:p>
        </w:tc>
        <w:tc>
          <w:tcPr>
            <w:tcW w:w="3870" w:type="dxa"/>
          </w:tcPr>
          <w:p w:rsidR="007441F9" w:rsidRPr="00AA3B36" w:rsidRDefault="007441F9" w:rsidP="00B75667">
            <w:r>
              <w:t>Lessons learned</w:t>
            </w:r>
            <w:r w:rsidR="00B75667">
              <w:t xml:space="preserve"> for TO’s and TDSP’s</w:t>
            </w:r>
            <w:r w:rsidRPr="00A07EBA">
              <w:rPr>
                <w:highlight w:val="yellow"/>
              </w:rPr>
              <w:t xml:space="preserve"> </w:t>
            </w:r>
          </w:p>
        </w:tc>
        <w:tc>
          <w:tcPr>
            <w:tcW w:w="3798" w:type="dxa"/>
          </w:tcPr>
          <w:p w:rsidR="007441F9" w:rsidRPr="00AA3B36" w:rsidRDefault="007441F9" w:rsidP="00B74EB3">
            <w:r>
              <w:t>Texas RE</w:t>
            </w:r>
          </w:p>
        </w:tc>
      </w:tr>
      <w:tr w:rsidR="007441F9" w:rsidRPr="00AA3B36" w:rsidTr="00B74EB3">
        <w:tc>
          <w:tcPr>
            <w:tcW w:w="1121" w:type="dxa"/>
            <w:shd w:val="clear" w:color="auto" w:fill="BFBFBF" w:themeFill="background1" w:themeFillShade="BF"/>
          </w:tcPr>
          <w:p w:rsidR="007441F9" w:rsidRPr="00AA3B36" w:rsidRDefault="007441F9" w:rsidP="00B74EB3">
            <w:r>
              <w:t>10:50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7441F9" w:rsidRPr="00AA3B36" w:rsidRDefault="007441F9" w:rsidP="00B74EB3">
            <w:r>
              <w:t>11:00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7441F9" w:rsidRPr="00AA3B36" w:rsidRDefault="007441F9" w:rsidP="00B74EB3">
            <w:r>
              <w:t>Break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7441F9" w:rsidRPr="00AA3B36" w:rsidRDefault="007441F9" w:rsidP="00B74EB3"/>
        </w:tc>
      </w:tr>
      <w:tr w:rsidR="00B1634B" w:rsidTr="00E14691">
        <w:tc>
          <w:tcPr>
            <w:tcW w:w="1121" w:type="dxa"/>
          </w:tcPr>
          <w:p w:rsidR="00B1634B" w:rsidRPr="00AA3B36" w:rsidRDefault="007441F9" w:rsidP="007441F9">
            <w:r>
              <w:t>11:00</w:t>
            </w:r>
          </w:p>
        </w:tc>
        <w:tc>
          <w:tcPr>
            <w:tcW w:w="787" w:type="dxa"/>
          </w:tcPr>
          <w:p w:rsidR="00B1634B" w:rsidRPr="00AA3B36" w:rsidRDefault="007441F9" w:rsidP="00E14691">
            <w:r>
              <w:t>11:50</w:t>
            </w:r>
          </w:p>
        </w:tc>
        <w:tc>
          <w:tcPr>
            <w:tcW w:w="3870" w:type="dxa"/>
          </w:tcPr>
          <w:p w:rsidR="00B1634B" w:rsidRPr="00AA3B36" w:rsidRDefault="00DC3792" w:rsidP="00635671">
            <w:r>
              <w:t>Responding to post contingency overloads.  ERCOT RTCA unavailable.</w:t>
            </w:r>
            <w:r w:rsidR="00B1634B">
              <w:rPr>
                <w:highlight w:val="yellow"/>
              </w:rPr>
              <w:t xml:space="preserve"> </w:t>
            </w:r>
          </w:p>
        </w:tc>
        <w:tc>
          <w:tcPr>
            <w:tcW w:w="3798" w:type="dxa"/>
          </w:tcPr>
          <w:p w:rsidR="00B1634B" w:rsidRPr="00AA3B36" w:rsidRDefault="00B1634B" w:rsidP="00E14691">
            <w:r>
              <w:t xml:space="preserve">Art Gardiner and Steve Rainwater </w:t>
            </w:r>
          </w:p>
        </w:tc>
      </w:tr>
      <w:tr w:rsidR="00D43E17" w:rsidRPr="00AA3B36" w:rsidTr="00E14691"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3E17" w:rsidRPr="00AA3B36" w:rsidRDefault="00D43E17" w:rsidP="00E14691">
            <w:r>
              <w:t>12:00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3E17" w:rsidRPr="00AA3B36" w:rsidRDefault="00D43E17" w:rsidP="00E14691">
            <w:r>
              <w:t>12:55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3E17" w:rsidRPr="00AA3B36" w:rsidRDefault="00D43E17" w:rsidP="00E14691">
            <w:r>
              <w:t>Lunch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3E17" w:rsidRPr="00AA3B36" w:rsidRDefault="00D43E17" w:rsidP="00E14691"/>
        </w:tc>
      </w:tr>
    </w:tbl>
    <w:p w:rsidR="0089480B" w:rsidRDefault="007441F9" w:rsidP="0089480B">
      <w:pPr>
        <w:spacing w:after="0"/>
        <w:rPr>
          <w:b/>
        </w:rPr>
      </w:pPr>
      <w:r>
        <w:rPr>
          <w:b/>
        </w:rPr>
        <w:t>`</w:t>
      </w:r>
    </w:p>
    <w:p w:rsidR="00B1634B" w:rsidRPr="00D43E17" w:rsidRDefault="00D43E17" w:rsidP="0089480B">
      <w:pPr>
        <w:spacing w:after="0"/>
        <w:rPr>
          <w:b/>
        </w:rPr>
      </w:pPr>
      <w:r>
        <w:rPr>
          <w:b/>
        </w:rPr>
        <w:t>Tuesday</w:t>
      </w:r>
      <w:r w:rsidRPr="0041148C">
        <w:rPr>
          <w:b/>
        </w:rPr>
        <w:t>, PM</w:t>
      </w:r>
      <w:r>
        <w:rPr>
          <w:b/>
        </w:rPr>
        <w:t>; General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787"/>
        <w:gridCol w:w="3870"/>
        <w:gridCol w:w="3798"/>
      </w:tblGrid>
      <w:tr w:rsidR="00B1634B" w:rsidTr="00305623">
        <w:tc>
          <w:tcPr>
            <w:tcW w:w="1121" w:type="dxa"/>
            <w:shd w:val="clear" w:color="auto" w:fill="auto"/>
          </w:tcPr>
          <w:p w:rsidR="00B1634B" w:rsidRPr="00AA3B36" w:rsidRDefault="00B1634B" w:rsidP="00486034">
            <w:r>
              <w:t>13:00</w:t>
            </w:r>
          </w:p>
        </w:tc>
        <w:tc>
          <w:tcPr>
            <w:tcW w:w="787" w:type="dxa"/>
            <w:shd w:val="clear" w:color="auto" w:fill="auto"/>
          </w:tcPr>
          <w:p w:rsidR="00B1634B" w:rsidRPr="00AA3B36" w:rsidRDefault="00B1634B" w:rsidP="00486034">
            <w:r>
              <w:t>13:50</w:t>
            </w:r>
          </w:p>
        </w:tc>
        <w:tc>
          <w:tcPr>
            <w:tcW w:w="3870" w:type="dxa"/>
            <w:shd w:val="clear" w:color="auto" w:fill="auto"/>
          </w:tcPr>
          <w:p w:rsidR="00B1634B" w:rsidRPr="00AA3B36" w:rsidRDefault="00D43E17" w:rsidP="00646E73">
            <w:r>
              <w:t>Outage scheduling</w:t>
            </w:r>
          </w:p>
        </w:tc>
        <w:tc>
          <w:tcPr>
            <w:tcW w:w="3798" w:type="dxa"/>
            <w:shd w:val="clear" w:color="auto" w:fill="auto"/>
          </w:tcPr>
          <w:p w:rsidR="00B1634B" w:rsidRPr="00AA3B36" w:rsidRDefault="00E2720F" w:rsidP="00C35E7E">
            <w:r>
              <w:t>Robert Matlock and Shane Thomas</w:t>
            </w:r>
          </w:p>
        </w:tc>
      </w:tr>
      <w:tr w:rsidR="00B1634B" w:rsidTr="00305623"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AA3B36" w:rsidRDefault="00B1634B" w:rsidP="00486034">
            <w:r>
              <w:t>13:50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AA3B36" w:rsidRDefault="00B1634B" w:rsidP="00486034">
            <w:r>
              <w:t>14:00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AA3B36" w:rsidRDefault="00B1634B" w:rsidP="00486034">
            <w:r>
              <w:t>Break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AA3B36" w:rsidRDefault="00B1634B" w:rsidP="00486034"/>
        </w:tc>
      </w:tr>
      <w:tr w:rsidR="00B1634B" w:rsidTr="00305623">
        <w:tc>
          <w:tcPr>
            <w:tcW w:w="1121" w:type="dxa"/>
            <w:shd w:val="clear" w:color="auto" w:fill="auto"/>
          </w:tcPr>
          <w:p w:rsidR="00B1634B" w:rsidRPr="00AA3B36" w:rsidRDefault="007441F9" w:rsidP="00486034">
            <w:r>
              <w:t>14:00</w:t>
            </w:r>
          </w:p>
        </w:tc>
        <w:tc>
          <w:tcPr>
            <w:tcW w:w="787" w:type="dxa"/>
            <w:shd w:val="clear" w:color="auto" w:fill="auto"/>
          </w:tcPr>
          <w:p w:rsidR="00B1634B" w:rsidRPr="00AA3B36" w:rsidRDefault="00B1634B" w:rsidP="00486034">
            <w:r>
              <w:t>15:50</w:t>
            </w:r>
          </w:p>
        </w:tc>
        <w:tc>
          <w:tcPr>
            <w:tcW w:w="3870" w:type="dxa"/>
            <w:shd w:val="clear" w:color="auto" w:fill="auto"/>
          </w:tcPr>
          <w:p w:rsidR="00B1634B" w:rsidRPr="00AA3B36" w:rsidRDefault="00D43E17" w:rsidP="00D43E17">
            <w:r>
              <w:t xml:space="preserve">Voltage collapse and sympathy trips </w:t>
            </w:r>
          </w:p>
        </w:tc>
        <w:tc>
          <w:tcPr>
            <w:tcW w:w="3798" w:type="dxa"/>
            <w:shd w:val="clear" w:color="auto" w:fill="auto"/>
          </w:tcPr>
          <w:p w:rsidR="00B1634B" w:rsidRPr="00AA3B36" w:rsidRDefault="00D43E17" w:rsidP="00486034">
            <w:r>
              <w:t>Kelly Blackmer</w:t>
            </w:r>
          </w:p>
        </w:tc>
      </w:tr>
      <w:tr w:rsidR="00B1634B" w:rsidTr="00305623"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305623" w:rsidRDefault="00B1634B" w:rsidP="00486034">
            <w:r w:rsidRPr="00305623">
              <w:t>1</w:t>
            </w:r>
            <w:r>
              <w:t>5</w:t>
            </w:r>
            <w:r w:rsidRPr="00305623">
              <w:t>:50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305623" w:rsidRDefault="00B1634B" w:rsidP="00486034">
            <w:r w:rsidRPr="00305623">
              <w:t>1</w:t>
            </w:r>
            <w:r>
              <w:t>6</w:t>
            </w:r>
            <w:r w:rsidRPr="00305623">
              <w:t>:00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305623" w:rsidRDefault="00B1634B" w:rsidP="00486034">
            <w:r w:rsidRPr="00305623">
              <w:t>Break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634B" w:rsidRPr="00305623" w:rsidRDefault="00B1634B" w:rsidP="00486034">
            <w:pPr>
              <w:rPr>
                <w:highlight w:val="lightGray"/>
              </w:rPr>
            </w:pPr>
          </w:p>
        </w:tc>
      </w:tr>
      <w:tr w:rsidR="00B1634B" w:rsidTr="00305623">
        <w:tc>
          <w:tcPr>
            <w:tcW w:w="1121" w:type="dxa"/>
            <w:shd w:val="clear" w:color="auto" w:fill="auto"/>
          </w:tcPr>
          <w:p w:rsidR="00B1634B" w:rsidRPr="00AA3B36" w:rsidRDefault="00B1634B" w:rsidP="00486034">
            <w:r>
              <w:t>16:00</w:t>
            </w:r>
          </w:p>
        </w:tc>
        <w:tc>
          <w:tcPr>
            <w:tcW w:w="787" w:type="dxa"/>
            <w:shd w:val="clear" w:color="auto" w:fill="auto"/>
          </w:tcPr>
          <w:p w:rsidR="00B1634B" w:rsidRPr="00AA3B36" w:rsidRDefault="00B1634B" w:rsidP="00486034">
            <w:r>
              <w:t>16:50</w:t>
            </w:r>
          </w:p>
        </w:tc>
        <w:tc>
          <w:tcPr>
            <w:tcW w:w="3870" w:type="dxa"/>
            <w:shd w:val="clear" w:color="auto" w:fill="auto"/>
          </w:tcPr>
          <w:p w:rsidR="00B1634B" w:rsidRPr="00AA3B36" w:rsidRDefault="00B1634B" w:rsidP="00D43E17">
            <w:r>
              <w:t xml:space="preserve">Group exercise for sabotage/cyber-attacks </w:t>
            </w:r>
          </w:p>
        </w:tc>
        <w:tc>
          <w:tcPr>
            <w:tcW w:w="3798" w:type="dxa"/>
            <w:shd w:val="clear" w:color="auto" w:fill="auto"/>
          </w:tcPr>
          <w:p w:rsidR="00B1634B" w:rsidRDefault="00B1634B" w:rsidP="00486034">
            <w:r>
              <w:t>Mike Legatt</w:t>
            </w:r>
          </w:p>
          <w:p w:rsidR="00B1634B" w:rsidRPr="00AA3B36" w:rsidRDefault="00B1634B" w:rsidP="00486034"/>
        </w:tc>
      </w:tr>
    </w:tbl>
    <w:p w:rsidR="00D43E17" w:rsidRDefault="00D43E17" w:rsidP="00D43E17">
      <w:pPr>
        <w:spacing w:after="0"/>
        <w:rPr>
          <w:b/>
        </w:rPr>
      </w:pPr>
    </w:p>
    <w:p w:rsidR="00D43E17" w:rsidRDefault="00D43E17" w:rsidP="00D43E17">
      <w:pPr>
        <w:spacing w:after="0"/>
        <w:rPr>
          <w:b/>
        </w:rPr>
      </w:pPr>
      <w:r>
        <w:rPr>
          <w:b/>
        </w:rPr>
        <w:t>Wednesday, AM; General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787"/>
        <w:gridCol w:w="3870"/>
        <w:gridCol w:w="3798"/>
      </w:tblGrid>
      <w:tr w:rsidR="00D43E17" w:rsidTr="00E14691">
        <w:tc>
          <w:tcPr>
            <w:tcW w:w="1121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Beginning Time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End Time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Description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Presenter</w:t>
            </w:r>
          </w:p>
        </w:tc>
      </w:tr>
      <w:tr w:rsidR="00D43E17" w:rsidTr="00E14691">
        <w:tc>
          <w:tcPr>
            <w:tcW w:w="1121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08:00</w:t>
            </w:r>
          </w:p>
        </w:tc>
        <w:tc>
          <w:tcPr>
            <w:tcW w:w="787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08:50</w:t>
            </w:r>
          </w:p>
        </w:tc>
        <w:tc>
          <w:tcPr>
            <w:tcW w:w="3870" w:type="dxa"/>
          </w:tcPr>
          <w:p w:rsidR="00D43E17" w:rsidRPr="00CE550D" w:rsidRDefault="00D43E17" w:rsidP="00D43E17">
            <w:pPr>
              <w:tabs>
                <w:tab w:val="left" w:pos="2040"/>
              </w:tabs>
            </w:pPr>
            <w:r>
              <w:t xml:space="preserve">Comanche Peak Nuclear Operations </w:t>
            </w:r>
          </w:p>
        </w:tc>
        <w:tc>
          <w:tcPr>
            <w:tcW w:w="3798" w:type="dxa"/>
          </w:tcPr>
          <w:p w:rsidR="00D43E17" w:rsidRPr="00CE550D" w:rsidRDefault="00D43E17" w:rsidP="00E14691">
            <w:pPr>
              <w:tabs>
                <w:tab w:val="left" w:pos="2040"/>
              </w:tabs>
            </w:pPr>
            <w:r>
              <w:t xml:space="preserve">Luminant/CPSES personnel </w:t>
            </w:r>
          </w:p>
        </w:tc>
      </w:tr>
      <w:tr w:rsidR="00D43E17" w:rsidTr="00E14691">
        <w:tc>
          <w:tcPr>
            <w:tcW w:w="1121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08:50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09:00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Break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</w:p>
        </w:tc>
      </w:tr>
      <w:tr w:rsidR="00D43E17" w:rsidTr="00E14691">
        <w:tc>
          <w:tcPr>
            <w:tcW w:w="1121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09:00</w:t>
            </w:r>
          </w:p>
        </w:tc>
        <w:tc>
          <w:tcPr>
            <w:tcW w:w="787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09:50</w:t>
            </w:r>
          </w:p>
        </w:tc>
        <w:tc>
          <w:tcPr>
            <w:tcW w:w="3870" w:type="dxa"/>
          </w:tcPr>
          <w:p w:rsidR="00D43E17" w:rsidRPr="00C15714" w:rsidRDefault="00D43E17" w:rsidP="00D43E17">
            <w:r>
              <w:t xml:space="preserve">Managing voltage with CREZ.  SSR &amp; Synchrophasors, lessons learned </w:t>
            </w:r>
            <w:r w:rsidR="00B75667">
              <w:t>to date</w:t>
            </w:r>
          </w:p>
        </w:tc>
        <w:tc>
          <w:tcPr>
            <w:tcW w:w="3798" w:type="dxa"/>
          </w:tcPr>
          <w:p w:rsidR="00D43E17" w:rsidRPr="00C15714" w:rsidRDefault="00077D6E" w:rsidP="00E14691">
            <w:r>
              <w:t>ERCOT R</w:t>
            </w:r>
            <w:r w:rsidR="007B368B">
              <w:t>esource Integration</w:t>
            </w:r>
          </w:p>
          <w:p w:rsidR="00D43E17" w:rsidRPr="00C15714" w:rsidRDefault="00D43E17" w:rsidP="00E14691">
            <w:pPr>
              <w:tabs>
                <w:tab w:val="left" w:pos="2040"/>
              </w:tabs>
            </w:pPr>
          </w:p>
        </w:tc>
      </w:tr>
      <w:tr w:rsidR="00D43E17" w:rsidTr="00E14691">
        <w:tc>
          <w:tcPr>
            <w:tcW w:w="1121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09:50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10:00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Break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</w:p>
        </w:tc>
      </w:tr>
      <w:tr w:rsidR="00D43E17" w:rsidTr="00E14691">
        <w:tc>
          <w:tcPr>
            <w:tcW w:w="1121" w:type="dxa"/>
            <w:tcBorders>
              <w:bottom w:val="single" w:sz="4" w:space="0" w:color="auto"/>
            </w:tcBorders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10:00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10:50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43E17" w:rsidRPr="00C15714" w:rsidRDefault="00D43E17" w:rsidP="00D43E17">
            <w:pPr>
              <w:tabs>
                <w:tab w:val="left" w:pos="2040"/>
              </w:tabs>
            </w:pPr>
            <w:r>
              <w:t xml:space="preserve">ERCOT Meteorologist Summer 2014 Assessment 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Chris Coleman</w:t>
            </w:r>
          </w:p>
        </w:tc>
      </w:tr>
      <w:tr w:rsidR="00D43E17" w:rsidTr="00E14691">
        <w:tc>
          <w:tcPr>
            <w:tcW w:w="1121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11:00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11:50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Break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D43E17" w:rsidRPr="00C15714" w:rsidRDefault="00D43E17" w:rsidP="00E14691">
            <w:pPr>
              <w:tabs>
                <w:tab w:val="left" w:pos="2040"/>
              </w:tabs>
            </w:pPr>
          </w:p>
        </w:tc>
      </w:tr>
      <w:tr w:rsidR="00D43E17" w:rsidRPr="00C15714" w:rsidTr="00E14691">
        <w:tc>
          <w:tcPr>
            <w:tcW w:w="1121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11:00</w:t>
            </w:r>
          </w:p>
        </w:tc>
        <w:tc>
          <w:tcPr>
            <w:tcW w:w="787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11:50</w:t>
            </w:r>
          </w:p>
        </w:tc>
        <w:tc>
          <w:tcPr>
            <w:tcW w:w="3870" w:type="dxa"/>
          </w:tcPr>
          <w:p w:rsidR="00D43E17" w:rsidRPr="00C15714" w:rsidRDefault="00D43E17" w:rsidP="00D43E17">
            <w:pPr>
              <w:tabs>
                <w:tab w:val="left" w:pos="2040"/>
              </w:tabs>
            </w:pPr>
            <w:r>
              <w:t xml:space="preserve">Summer 2014 Assessments and Operations Update </w:t>
            </w:r>
          </w:p>
        </w:tc>
        <w:tc>
          <w:tcPr>
            <w:tcW w:w="3798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ERCOT Operations Planning</w:t>
            </w:r>
          </w:p>
        </w:tc>
      </w:tr>
      <w:tr w:rsidR="00D43E17" w:rsidRPr="00C15714" w:rsidTr="00E14691">
        <w:tc>
          <w:tcPr>
            <w:tcW w:w="1121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11:50</w:t>
            </w:r>
          </w:p>
        </w:tc>
        <w:tc>
          <w:tcPr>
            <w:tcW w:w="787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12:30</w:t>
            </w:r>
          </w:p>
        </w:tc>
        <w:tc>
          <w:tcPr>
            <w:tcW w:w="3870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Critiques and mementos</w:t>
            </w:r>
          </w:p>
        </w:tc>
        <w:tc>
          <w:tcPr>
            <w:tcW w:w="3798" w:type="dxa"/>
          </w:tcPr>
          <w:p w:rsidR="00D43E17" w:rsidRPr="00C15714" w:rsidRDefault="00D43E17" w:rsidP="00E14691">
            <w:pPr>
              <w:tabs>
                <w:tab w:val="left" w:pos="2040"/>
              </w:tabs>
            </w:pPr>
            <w:r>
              <w:t>Alan Allgower</w:t>
            </w:r>
          </w:p>
        </w:tc>
      </w:tr>
    </w:tbl>
    <w:p w:rsidR="006E5DEA" w:rsidRPr="005558D8" w:rsidRDefault="006E5DEA" w:rsidP="005558D8">
      <w:pPr>
        <w:tabs>
          <w:tab w:val="left" w:pos="2040"/>
        </w:tabs>
        <w:rPr>
          <w:b/>
        </w:rPr>
      </w:pPr>
    </w:p>
    <w:sectPr w:rsidR="006E5DEA" w:rsidRPr="005558D8" w:rsidSect="00554514">
      <w:footerReference w:type="default" r:id="rId9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71" w:rsidRDefault="00B61771" w:rsidP="00F13910">
      <w:pPr>
        <w:spacing w:after="0" w:line="240" w:lineRule="auto"/>
      </w:pPr>
      <w:r>
        <w:separator/>
      </w:r>
    </w:p>
  </w:endnote>
  <w:endnote w:type="continuationSeparator" w:id="0">
    <w:p w:rsidR="00B61771" w:rsidRDefault="00B61771" w:rsidP="00F1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766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C17" w:rsidRDefault="009C7C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771" w:rsidRDefault="00B61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71" w:rsidRDefault="00B61771" w:rsidP="00F13910">
      <w:pPr>
        <w:spacing w:after="0" w:line="240" w:lineRule="auto"/>
      </w:pPr>
      <w:r>
        <w:separator/>
      </w:r>
    </w:p>
  </w:footnote>
  <w:footnote w:type="continuationSeparator" w:id="0">
    <w:p w:rsidR="00B61771" w:rsidRDefault="00B61771" w:rsidP="00F13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8C"/>
    <w:rsid w:val="000010AF"/>
    <w:rsid w:val="00002397"/>
    <w:rsid w:val="00045037"/>
    <w:rsid w:val="00047A8B"/>
    <w:rsid w:val="00077717"/>
    <w:rsid w:val="00077D6E"/>
    <w:rsid w:val="00086833"/>
    <w:rsid w:val="0009303A"/>
    <w:rsid w:val="000A221F"/>
    <w:rsid w:val="000B5106"/>
    <w:rsid w:val="000C15DF"/>
    <w:rsid w:val="000C2C53"/>
    <w:rsid w:val="000C62E6"/>
    <w:rsid w:val="000C7583"/>
    <w:rsid w:val="000D0D3F"/>
    <w:rsid w:val="000D277D"/>
    <w:rsid w:val="000D55E1"/>
    <w:rsid w:val="000D6C19"/>
    <w:rsid w:val="000D7866"/>
    <w:rsid w:val="000F483C"/>
    <w:rsid w:val="00105612"/>
    <w:rsid w:val="00140183"/>
    <w:rsid w:val="00147808"/>
    <w:rsid w:val="00186F2E"/>
    <w:rsid w:val="001A7680"/>
    <w:rsid w:val="001D355B"/>
    <w:rsid w:val="001D6CC5"/>
    <w:rsid w:val="001D7681"/>
    <w:rsid w:val="001E1F6E"/>
    <w:rsid w:val="001F1A5B"/>
    <w:rsid w:val="001F2C2C"/>
    <w:rsid w:val="001F694B"/>
    <w:rsid w:val="0020783E"/>
    <w:rsid w:val="002154DC"/>
    <w:rsid w:val="00217D91"/>
    <w:rsid w:val="002208DA"/>
    <w:rsid w:val="00221674"/>
    <w:rsid w:val="00237C69"/>
    <w:rsid w:val="002446C9"/>
    <w:rsid w:val="0025640B"/>
    <w:rsid w:val="00272398"/>
    <w:rsid w:val="00273BB1"/>
    <w:rsid w:val="00284681"/>
    <w:rsid w:val="002858E7"/>
    <w:rsid w:val="00297F2A"/>
    <w:rsid w:val="002B1A3F"/>
    <w:rsid w:val="002B77BA"/>
    <w:rsid w:val="002C2AF2"/>
    <w:rsid w:val="002C7C3A"/>
    <w:rsid w:val="002E0A45"/>
    <w:rsid w:val="00305623"/>
    <w:rsid w:val="0033076C"/>
    <w:rsid w:val="00332E84"/>
    <w:rsid w:val="00340EC0"/>
    <w:rsid w:val="0035605F"/>
    <w:rsid w:val="003771C3"/>
    <w:rsid w:val="00383F20"/>
    <w:rsid w:val="003878B3"/>
    <w:rsid w:val="00387BAE"/>
    <w:rsid w:val="003948FC"/>
    <w:rsid w:val="003A08CC"/>
    <w:rsid w:val="003C5DEE"/>
    <w:rsid w:val="003D23B9"/>
    <w:rsid w:val="003D6840"/>
    <w:rsid w:val="003E2F51"/>
    <w:rsid w:val="003E65C1"/>
    <w:rsid w:val="0041148C"/>
    <w:rsid w:val="0044254F"/>
    <w:rsid w:val="0046606A"/>
    <w:rsid w:val="00476366"/>
    <w:rsid w:val="00491646"/>
    <w:rsid w:val="004A2F0C"/>
    <w:rsid w:val="004C741B"/>
    <w:rsid w:val="004D01C9"/>
    <w:rsid w:val="004D5E90"/>
    <w:rsid w:val="00504D76"/>
    <w:rsid w:val="0051562E"/>
    <w:rsid w:val="00521CD7"/>
    <w:rsid w:val="00535ADA"/>
    <w:rsid w:val="00535E62"/>
    <w:rsid w:val="005403EF"/>
    <w:rsid w:val="00542457"/>
    <w:rsid w:val="00552288"/>
    <w:rsid w:val="00554514"/>
    <w:rsid w:val="00554B5D"/>
    <w:rsid w:val="005558D8"/>
    <w:rsid w:val="005629FB"/>
    <w:rsid w:val="00571ABF"/>
    <w:rsid w:val="00577337"/>
    <w:rsid w:val="00590D9F"/>
    <w:rsid w:val="005915DD"/>
    <w:rsid w:val="005A4459"/>
    <w:rsid w:val="005A753E"/>
    <w:rsid w:val="005A77D3"/>
    <w:rsid w:val="005A7D66"/>
    <w:rsid w:val="005B1793"/>
    <w:rsid w:val="005F03C4"/>
    <w:rsid w:val="005F506C"/>
    <w:rsid w:val="00606789"/>
    <w:rsid w:val="00610B19"/>
    <w:rsid w:val="00616E12"/>
    <w:rsid w:val="006306DD"/>
    <w:rsid w:val="00635671"/>
    <w:rsid w:val="0064020C"/>
    <w:rsid w:val="006441F0"/>
    <w:rsid w:val="00646E73"/>
    <w:rsid w:val="00646F23"/>
    <w:rsid w:val="00670976"/>
    <w:rsid w:val="00694DB2"/>
    <w:rsid w:val="00695D68"/>
    <w:rsid w:val="006B1554"/>
    <w:rsid w:val="006B4461"/>
    <w:rsid w:val="006B5C81"/>
    <w:rsid w:val="006B6778"/>
    <w:rsid w:val="006C1201"/>
    <w:rsid w:val="006D0378"/>
    <w:rsid w:val="006E4C53"/>
    <w:rsid w:val="006E5DEA"/>
    <w:rsid w:val="006F4EA2"/>
    <w:rsid w:val="007071A1"/>
    <w:rsid w:val="0072065E"/>
    <w:rsid w:val="007230F9"/>
    <w:rsid w:val="00726E85"/>
    <w:rsid w:val="007314A5"/>
    <w:rsid w:val="00735EE3"/>
    <w:rsid w:val="007441F9"/>
    <w:rsid w:val="00744E6B"/>
    <w:rsid w:val="007669AB"/>
    <w:rsid w:val="00775016"/>
    <w:rsid w:val="00794406"/>
    <w:rsid w:val="0079485B"/>
    <w:rsid w:val="007A506C"/>
    <w:rsid w:val="007A6F09"/>
    <w:rsid w:val="007B158F"/>
    <w:rsid w:val="007B368B"/>
    <w:rsid w:val="007B729E"/>
    <w:rsid w:val="007D11F9"/>
    <w:rsid w:val="007D757C"/>
    <w:rsid w:val="007E4A55"/>
    <w:rsid w:val="007E581D"/>
    <w:rsid w:val="007E5963"/>
    <w:rsid w:val="007F6B7A"/>
    <w:rsid w:val="00812421"/>
    <w:rsid w:val="0081384F"/>
    <w:rsid w:val="008147E2"/>
    <w:rsid w:val="00817211"/>
    <w:rsid w:val="00820F3F"/>
    <w:rsid w:val="00840224"/>
    <w:rsid w:val="00874C14"/>
    <w:rsid w:val="00884250"/>
    <w:rsid w:val="0089480B"/>
    <w:rsid w:val="008A49F9"/>
    <w:rsid w:val="008B2F87"/>
    <w:rsid w:val="008C0802"/>
    <w:rsid w:val="008C6C13"/>
    <w:rsid w:val="008E5E93"/>
    <w:rsid w:val="009044AB"/>
    <w:rsid w:val="00911222"/>
    <w:rsid w:val="00941049"/>
    <w:rsid w:val="00942CDF"/>
    <w:rsid w:val="00945E2D"/>
    <w:rsid w:val="00946E66"/>
    <w:rsid w:val="009617C6"/>
    <w:rsid w:val="009666DA"/>
    <w:rsid w:val="00996574"/>
    <w:rsid w:val="009B054F"/>
    <w:rsid w:val="009B118B"/>
    <w:rsid w:val="009B4176"/>
    <w:rsid w:val="009C7C17"/>
    <w:rsid w:val="009D368F"/>
    <w:rsid w:val="009F038E"/>
    <w:rsid w:val="00A07EBA"/>
    <w:rsid w:val="00A12215"/>
    <w:rsid w:val="00A15D4D"/>
    <w:rsid w:val="00A3735B"/>
    <w:rsid w:val="00A54CB6"/>
    <w:rsid w:val="00A675BF"/>
    <w:rsid w:val="00AA0CF2"/>
    <w:rsid w:val="00AA3B36"/>
    <w:rsid w:val="00AD17B1"/>
    <w:rsid w:val="00AD2F40"/>
    <w:rsid w:val="00AD5B0E"/>
    <w:rsid w:val="00AF3FEF"/>
    <w:rsid w:val="00B1634B"/>
    <w:rsid w:val="00B16BF8"/>
    <w:rsid w:val="00B35225"/>
    <w:rsid w:val="00B406C9"/>
    <w:rsid w:val="00B43796"/>
    <w:rsid w:val="00B61771"/>
    <w:rsid w:val="00B667AA"/>
    <w:rsid w:val="00B70064"/>
    <w:rsid w:val="00B72DF0"/>
    <w:rsid w:val="00B75667"/>
    <w:rsid w:val="00B84F57"/>
    <w:rsid w:val="00BB0C99"/>
    <w:rsid w:val="00BC2B33"/>
    <w:rsid w:val="00BC7B15"/>
    <w:rsid w:val="00BD3442"/>
    <w:rsid w:val="00BD7476"/>
    <w:rsid w:val="00BE3BAE"/>
    <w:rsid w:val="00BF2474"/>
    <w:rsid w:val="00BF2A42"/>
    <w:rsid w:val="00C04F72"/>
    <w:rsid w:val="00C15714"/>
    <w:rsid w:val="00C35E7E"/>
    <w:rsid w:val="00C43310"/>
    <w:rsid w:val="00C50F44"/>
    <w:rsid w:val="00C76486"/>
    <w:rsid w:val="00C771AB"/>
    <w:rsid w:val="00C8035D"/>
    <w:rsid w:val="00C971C8"/>
    <w:rsid w:val="00CA3316"/>
    <w:rsid w:val="00CC0B79"/>
    <w:rsid w:val="00CD53A5"/>
    <w:rsid w:val="00CE550D"/>
    <w:rsid w:val="00CF126E"/>
    <w:rsid w:val="00D212F6"/>
    <w:rsid w:val="00D241B2"/>
    <w:rsid w:val="00D242AB"/>
    <w:rsid w:val="00D32D33"/>
    <w:rsid w:val="00D37FAA"/>
    <w:rsid w:val="00D40395"/>
    <w:rsid w:val="00D42D9A"/>
    <w:rsid w:val="00D43E17"/>
    <w:rsid w:val="00D4744E"/>
    <w:rsid w:val="00D50AF1"/>
    <w:rsid w:val="00D515DB"/>
    <w:rsid w:val="00D53DB8"/>
    <w:rsid w:val="00D80481"/>
    <w:rsid w:val="00DC1A86"/>
    <w:rsid w:val="00DC3792"/>
    <w:rsid w:val="00DD43E8"/>
    <w:rsid w:val="00DE33A4"/>
    <w:rsid w:val="00DE5FC7"/>
    <w:rsid w:val="00E10EAD"/>
    <w:rsid w:val="00E2720F"/>
    <w:rsid w:val="00E27970"/>
    <w:rsid w:val="00E42D9F"/>
    <w:rsid w:val="00E4312E"/>
    <w:rsid w:val="00E43798"/>
    <w:rsid w:val="00E55BB2"/>
    <w:rsid w:val="00E81942"/>
    <w:rsid w:val="00E825C7"/>
    <w:rsid w:val="00E95744"/>
    <w:rsid w:val="00EA141B"/>
    <w:rsid w:val="00EA6BBF"/>
    <w:rsid w:val="00EC1459"/>
    <w:rsid w:val="00EC4439"/>
    <w:rsid w:val="00ED0E0C"/>
    <w:rsid w:val="00ED7AFD"/>
    <w:rsid w:val="00F13910"/>
    <w:rsid w:val="00F14696"/>
    <w:rsid w:val="00F423BF"/>
    <w:rsid w:val="00F44C0C"/>
    <w:rsid w:val="00F5338A"/>
    <w:rsid w:val="00F614B2"/>
    <w:rsid w:val="00F6718C"/>
    <w:rsid w:val="00F761ED"/>
    <w:rsid w:val="00F803E5"/>
    <w:rsid w:val="00F87774"/>
    <w:rsid w:val="00F910C3"/>
    <w:rsid w:val="00FB5C57"/>
    <w:rsid w:val="00FC533E"/>
    <w:rsid w:val="00FD37BA"/>
    <w:rsid w:val="00FF02AE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10"/>
  </w:style>
  <w:style w:type="paragraph" w:styleId="Footer">
    <w:name w:val="footer"/>
    <w:basedOn w:val="Normal"/>
    <w:link w:val="Foot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10"/>
  </w:style>
  <w:style w:type="paragraph" w:styleId="Footer">
    <w:name w:val="footer"/>
    <w:basedOn w:val="Normal"/>
    <w:link w:val="Foot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16DF-92FC-41D9-B373-D02077F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Allgower, Alan</dc:creator>
  <cp:lastModifiedBy>Allgower, Alan</cp:lastModifiedBy>
  <cp:revision>100</cp:revision>
  <cp:lastPrinted>2013-10-01T20:14:00Z</cp:lastPrinted>
  <dcterms:created xsi:type="dcterms:W3CDTF">2013-05-28T19:55:00Z</dcterms:created>
  <dcterms:modified xsi:type="dcterms:W3CDTF">2013-11-12T20:18:00Z</dcterms:modified>
</cp:coreProperties>
</file>