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64" w:rsidRDefault="00B52948" w:rsidP="008B3EA8">
      <w:pPr>
        <w:spacing w:line="240" w:lineRule="auto"/>
      </w:pPr>
      <w:r>
        <w:t xml:space="preserve">These are the current </w:t>
      </w:r>
      <w:r w:rsidR="008B3EA8">
        <w:t>relevant</w:t>
      </w:r>
      <w:r>
        <w:t xml:space="preserve"> X and Y values</w:t>
      </w:r>
      <w:r w:rsidR="008B3EA8">
        <w:t xml:space="preserve"> currently</w:t>
      </w:r>
      <w:r>
        <w:t xml:space="preserve"> in place for Generat</w:t>
      </w:r>
      <w:r w:rsidR="00146DE5">
        <w:t>ion Resources</w:t>
      </w:r>
      <w:r>
        <w:t xml:space="preserve">.  </w:t>
      </w:r>
    </w:p>
    <w:tbl>
      <w:tblPr>
        <w:tblStyle w:val="TableGrid"/>
        <w:tblW w:w="11718" w:type="dxa"/>
        <w:tblLook w:val="04A0" w:firstRow="1" w:lastRow="0" w:firstColumn="1" w:lastColumn="0" w:noHBand="0" w:noVBand="1"/>
      </w:tblPr>
      <w:tblGrid>
        <w:gridCol w:w="375"/>
        <w:gridCol w:w="4953"/>
        <w:gridCol w:w="1218"/>
        <w:gridCol w:w="628"/>
        <w:gridCol w:w="533"/>
        <w:gridCol w:w="969"/>
        <w:gridCol w:w="3042"/>
      </w:tblGrid>
      <w:tr w:rsidR="00BD3BCC" w:rsidTr="0080544C">
        <w:tc>
          <w:tcPr>
            <w:tcW w:w="375" w:type="dxa"/>
            <w:shd w:val="pct20" w:color="auto" w:fill="auto"/>
          </w:tcPr>
          <w:p w:rsidR="00BD3BCC" w:rsidRDefault="00BD3BCC" w:rsidP="008B3EA8"/>
        </w:tc>
        <w:tc>
          <w:tcPr>
            <w:tcW w:w="4953" w:type="dxa"/>
            <w:shd w:val="pct20" w:color="auto" w:fill="auto"/>
          </w:tcPr>
          <w:p w:rsidR="00BD3BCC" w:rsidRDefault="00BD3BCC" w:rsidP="00BF1722">
            <w:r>
              <w:t>Resource/Metric</w:t>
            </w:r>
          </w:p>
        </w:tc>
        <w:tc>
          <w:tcPr>
            <w:tcW w:w="1218" w:type="dxa"/>
            <w:shd w:val="pct20" w:color="auto" w:fill="auto"/>
          </w:tcPr>
          <w:p w:rsidR="00BD3BCC" w:rsidRDefault="00BD3BCC" w:rsidP="008B3EA8">
            <w:r>
              <w:t>Protocol §</w:t>
            </w:r>
          </w:p>
        </w:tc>
        <w:tc>
          <w:tcPr>
            <w:tcW w:w="628" w:type="dxa"/>
            <w:shd w:val="pct20" w:color="auto" w:fill="auto"/>
          </w:tcPr>
          <w:p w:rsidR="00BD3BCC" w:rsidRDefault="00BD3BCC" w:rsidP="008B3EA8">
            <w:r>
              <w:t>X</w:t>
            </w:r>
          </w:p>
        </w:tc>
        <w:tc>
          <w:tcPr>
            <w:tcW w:w="533" w:type="dxa"/>
            <w:shd w:val="pct20" w:color="auto" w:fill="auto"/>
          </w:tcPr>
          <w:p w:rsidR="00BD3BCC" w:rsidRDefault="00BD3BCC" w:rsidP="008B3EA8"/>
        </w:tc>
        <w:tc>
          <w:tcPr>
            <w:tcW w:w="969" w:type="dxa"/>
            <w:shd w:val="pct20" w:color="auto" w:fill="auto"/>
          </w:tcPr>
          <w:p w:rsidR="00BD3BCC" w:rsidRDefault="00BD3BCC" w:rsidP="008B3EA8">
            <w:r>
              <w:t>Y</w:t>
            </w:r>
          </w:p>
        </w:tc>
        <w:tc>
          <w:tcPr>
            <w:tcW w:w="3042" w:type="dxa"/>
            <w:shd w:val="pct20" w:color="auto" w:fill="auto"/>
          </w:tcPr>
          <w:p w:rsidR="00BD3BCC" w:rsidRDefault="00BD3BCC" w:rsidP="008B3EA8"/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1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BF1722">
            <w:r>
              <w:t>Base Point Deviation, Over-Generation</w:t>
            </w:r>
          </w:p>
        </w:tc>
        <w:tc>
          <w:tcPr>
            <w:tcW w:w="1218" w:type="dxa"/>
          </w:tcPr>
          <w:p w:rsidR="00BD3BCC" w:rsidRDefault="00BD3BCC" w:rsidP="008B3EA8">
            <w:r>
              <w:t>6.6.5.1.1</w:t>
            </w:r>
          </w:p>
        </w:tc>
        <w:tc>
          <w:tcPr>
            <w:tcW w:w="628" w:type="dxa"/>
          </w:tcPr>
          <w:p w:rsidR="00BD3BCC" w:rsidRDefault="00BD3BCC" w:rsidP="008B3EA8">
            <w:r>
              <w:t>5%</w:t>
            </w:r>
          </w:p>
        </w:tc>
        <w:tc>
          <w:tcPr>
            <w:tcW w:w="533" w:type="dxa"/>
          </w:tcPr>
          <w:p w:rsidR="00BD3BCC" w:rsidRDefault="00BD3BCC" w:rsidP="008B3EA8">
            <w:r>
              <w:t>or</w:t>
            </w:r>
          </w:p>
        </w:tc>
        <w:tc>
          <w:tcPr>
            <w:tcW w:w="969" w:type="dxa"/>
          </w:tcPr>
          <w:p w:rsidR="00BD3BCC" w:rsidRDefault="00BD3BCC" w:rsidP="008B3EA8">
            <w:r>
              <w:t>5 MW</w:t>
            </w:r>
          </w:p>
        </w:tc>
        <w:tc>
          <w:tcPr>
            <w:tcW w:w="3042" w:type="dxa"/>
          </w:tcPr>
          <w:p w:rsidR="00BD3BCC" w:rsidRDefault="00BD3BCC" w:rsidP="008B3EA8">
            <w:r>
              <w:t>Whichever is greater</w:t>
            </w:r>
          </w:p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2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BF1722">
            <w:r>
              <w:t>Base Point Deviation, Under-Generation</w:t>
            </w:r>
          </w:p>
        </w:tc>
        <w:tc>
          <w:tcPr>
            <w:tcW w:w="1218" w:type="dxa"/>
          </w:tcPr>
          <w:p w:rsidR="00BD3BCC" w:rsidRDefault="00BD3BCC" w:rsidP="008B3EA8">
            <w:r>
              <w:t>6.6.5.1.2</w:t>
            </w:r>
          </w:p>
        </w:tc>
        <w:tc>
          <w:tcPr>
            <w:tcW w:w="628" w:type="dxa"/>
          </w:tcPr>
          <w:p w:rsidR="00BD3BCC" w:rsidRDefault="00BD3BCC" w:rsidP="008B3EA8">
            <w:r>
              <w:t>5%</w:t>
            </w:r>
          </w:p>
        </w:tc>
        <w:tc>
          <w:tcPr>
            <w:tcW w:w="533" w:type="dxa"/>
          </w:tcPr>
          <w:p w:rsidR="00BD3BCC" w:rsidRDefault="00BD3BCC" w:rsidP="008B3EA8">
            <w:r>
              <w:t>or</w:t>
            </w:r>
          </w:p>
        </w:tc>
        <w:tc>
          <w:tcPr>
            <w:tcW w:w="969" w:type="dxa"/>
          </w:tcPr>
          <w:p w:rsidR="00BD3BCC" w:rsidRDefault="00BD3BCC" w:rsidP="008B3EA8">
            <w:r>
              <w:t>5 MW</w:t>
            </w:r>
          </w:p>
        </w:tc>
        <w:tc>
          <w:tcPr>
            <w:tcW w:w="3042" w:type="dxa"/>
          </w:tcPr>
          <w:p w:rsidR="00BD3BCC" w:rsidRDefault="00BD3BCC" w:rsidP="008B3EA8">
            <w:r>
              <w:t>Whichever is greater</w:t>
            </w:r>
          </w:p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3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146DE5">
            <w:r>
              <w:t xml:space="preserve">Base Point Deviation, Over-Generation, </w:t>
            </w:r>
            <w:r w:rsidR="00146DE5">
              <w:t>IRR</w:t>
            </w:r>
          </w:p>
        </w:tc>
        <w:tc>
          <w:tcPr>
            <w:tcW w:w="1218" w:type="dxa"/>
          </w:tcPr>
          <w:p w:rsidR="00BD3BCC" w:rsidRDefault="00BD3BCC" w:rsidP="008B3EA8">
            <w:r>
              <w:t>6.6.5.2</w:t>
            </w:r>
          </w:p>
        </w:tc>
        <w:tc>
          <w:tcPr>
            <w:tcW w:w="628" w:type="dxa"/>
          </w:tcPr>
          <w:p w:rsidR="00BD3BCC" w:rsidRDefault="00BD3BCC" w:rsidP="008B3EA8">
            <w:r>
              <w:t>10%</w:t>
            </w:r>
          </w:p>
        </w:tc>
        <w:tc>
          <w:tcPr>
            <w:tcW w:w="533" w:type="dxa"/>
          </w:tcPr>
          <w:p w:rsidR="00BD3BCC" w:rsidRDefault="00BD3BCC" w:rsidP="008B3EA8"/>
        </w:tc>
        <w:tc>
          <w:tcPr>
            <w:tcW w:w="969" w:type="dxa"/>
          </w:tcPr>
          <w:p w:rsidR="00BD3BCC" w:rsidRDefault="00BD3BCC" w:rsidP="008B3EA8">
            <w:r>
              <w:t>n/a</w:t>
            </w:r>
          </w:p>
        </w:tc>
        <w:tc>
          <w:tcPr>
            <w:tcW w:w="3042" w:type="dxa"/>
          </w:tcPr>
          <w:p w:rsidR="00BD3BCC" w:rsidRDefault="00BD3BCC" w:rsidP="008B3EA8">
            <w:r>
              <w:t>Only if curtailed by ERCOT</w:t>
            </w:r>
          </w:p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4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146DE5">
            <w:r>
              <w:t xml:space="preserve">Base Point Deviation, Under-Generation, </w:t>
            </w:r>
            <w:r w:rsidR="00146DE5">
              <w:t>IRR</w:t>
            </w:r>
          </w:p>
        </w:tc>
        <w:tc>
          <w:tcPr>
            <w:tcW w:w="1218" w:type="dxa"/>
          </w:tcPr>
          <w:p w:rsidR="00BD3BCC" w:rsidRDefault="00BD3BCC" w:rsidP="008B3EA8">
            <w:r>
              <w:t>n/a</w:t>
            </w:r>
          </w:p>
        </w:tc>
        <w:tc>
          <w:tcPr>
            <w:tcW w:w="628" w:type="dxa"/>
          </w:tcPr>
          <w:p w:rsidR="00BD3BCC" w:rsidRDefault="00BD3BCC" w:rsidP="008B3EA8">
            <w:r>
              <w:t>n/a</w:t>
            </w:r>
          </w:p>
        </w:tc>
        <w:tc>
          <w:tcPr>
            <w:tcW w:w="533" w:type="dxa"/>
          </w:tcPr>
          <w:p w:rsidR="00BD3BCC" w:rsidRDefault="00BD3BCC" w:rsidP="008B3EA8"/>
        </w:tc>
        <w:tc>
          <w:tcPr>
            <w:tcW w:w="969" w:type="dxa"/>
          </w:tcPr>
          <w:p w:rsidR="00BD3BCC" w:rsidRDefault="00BD3BCC" w:rsidP="008B3EA8">
            <w:r>
              <w:t>n/a</w:t>
            </w:r>
          </w:p>
        </w:tc>
        <w:tc>
          <w:tcPr>
            <w:tcW w:w="3042" w:type="dxa"/>
          </w:tcPr>
          <w:p w:rsidR="00BD3BCC" w:rsidRDefault="00BD3BCC" w:rsidP="008B3EA8"/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5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BF1722">
            <w:r>
              <w:t>GREDP</w:t>
            </w:r>
          </w:p>
        </w:tc>
        <w:tc>
          <w:tcPr>
            <w:tcW w:w="1218" w:type="dxa"/>
          </w:tcPr>
          <w:p w:rsidR="00BD3BCC" w:rsidRDefault="00BD3BCC" w:rsidP="008B3EA8">
            <w:r>
              <w:t>8.1.1.4.1</w:t>
            </w:r>
          </w:p>
        </w:tc>
        <w:tc>
          <w:tcPr>
            <w:tcW w:w="628" w:type="dxa"/>
          </w:tcPr>
          <w:p w:rsidR="00BD3BCC" w:rsidRDefault="00BD3BCC" w:rsidP="008B3EA8">
            <w:r>
              <w:t>8%</w:t>
            </w:r>
          </w:p>
        </w:tc>
        <w:tc>
          <w:tcPr>
            <w:tcW w:w="533" w:type="dxa"/>
          </w:tcPr>
          <w:p w:rsidR="00BD3BCC" w:rsidRDefault="00BD3BCC" w:rsidP="008B3EA8">
            <w:r>
              <w:t>or</w:t>
            </w:r>
          </w:p>
        </w:tc>
        <w:tc>
          <w:tcPr>
            <w:tcW w:w="969" w:type="dxa"/>
          </w:tcPr>
          <w:p w:rsidR="00BD3BCC" w:rsidRDefault="00BD3BCC" w:rsidP="008B3EA8">
            <w:r>
              <w:t>8 MW</w:t>
            </w:r>
          </w:p>
        </w:tc>
        <w:tc>
          <w:tcPr>
            <w:tcW w:w="3042" w:type="dxa"/>
          </w:tcPr>
          <w:p w:rsidR="00BD3BCC" w:rsidRDefault="00BD3BCC" w:rsidP="008B3EA8">
            <w:r>
              <w:t>Whichever is greater</w:t>
            </w:r>
          </w:p>
        </w:tc>
      </w:tr>
      <w:tr w:rsidR="00BD3BCC" w:rsidTr="0080544C">
        <w:tc>
          <w:tcPr>
            <w:tcW w:w="375" w:type="dxa"/>
          </w:tcPr>
          <w:p w:rsidR="00BD3BCC" w:rsidRDefault="00BD3BCC" w:rsidP="008B3EA8">
            <w:r>
              <w:t>6</w:t>
            </w:r>
          </w:p>
        </w:tc>
        <w:tc>
          <w:tcPr>
            <w:tcW w:w="4953" w:type="dxa"/>
            <w:shd w:val="clear" w:color="auto" w:fill="auto"/>
          </w:tcPr>
          <w:p w:rsidR="00BD3BCC" w:rsidRDefault="00BD3BCC" w:rsidP="00146DE5">
            <w:r>
              <w:t xml:space="preserve">GREDP, </w:t>
            </w:r>
            <w:r w:rsidR="00146DE5">
              <w:t>IRR</w:t>
            </w:r>
          </w:p>
        </w:tc>
        <w:tc>
          <w:tcPr>
            <w:tcW w:w="1218" w:type="dxa"/>
          </w:tcPr>
          <w:p w:rsidR="00BD3BCC" w:rsidRDefault="00BD3BCC" w:rsidP="008B3EA8">
            <w:r>
              <w:t>8.1.1.4.1</w:t>
            </w:r>
          </w:p>
        </w:tc>
        <w:tc>
          <w:tcPr>
            <w:tcW w:w="628" w:type="dxa"/>
          </w:tcPr>
          <w:p w:rsidR="00BD3BCC" w:rsidRDefault="00BD3BCC" w:rsidP="008B3EA8">
            <w:r>
              <w:t>10%</w:t>
            </w:r>
          </w:p>
        </w:tc>
        <w:tc>
          <w:tcPr>
            <w:tcW w:w="533" w:type="dxa"/>
          </w:tcPr>
          <w:p w:rsidR="00BD3BCC" w:rsidRDefault="00BD3BCC" w:rsidP="008B3EA8"/>
        </w:tc>
        <w:tc>
          <w:tcPr>
            <w:tcW w:w="969" w:type="dxa"/>
          </w:tcPr>
          <w:p w:rsidR="00BD3BCC" w:rsidRDefault="00BD3BCC" w:rsidP="008B3EA8">
            <w:r>
              <w:t>n/a</w:t>
            </w:r>
          </w:p>
        </w:tc>
        <w:tc>
          <w:tcPr>
            <w:tcW w:w="3042" w:type="dxa"/>
          </w:tcPr>
          <w:p w:rsidR="00BD3BCC" w:rsidRDefault="00BD3BCC" w:rsidP="008B3EA8">
            <w:r>
              <w:t>Only if curtailed by ERCOT</w:t>
            </w:r>
          </w:p>
        </w:tc>
      </w:tr>
    </w:tbl>
    <w:p w:rsidR="008B3EA8" w:rsidRDefault="008B3EA8" w:rsidP="0080544C">
      <w:pPr>
        <w:pStyle w:val="ListParagraph"/>
        <w:numPr>
          <w:ilvl w:val="0"/>
          <w:numId w:val="1"/>
        </w:numPr>
        <w:spacing w:before="120" w:line="240" w:lineRule="auto"/>
      </w:pPr>
      <w:r w:rsidRPr="007A2600">
        <w:t>Base Point Deviation Charge for Over Generation</w:t>
      </w:r>
      <w:r w:rsidR="00BD3BCC">
        <w:t>:</w:t>
      </w:r>
      <w:r>
        <w:t xml:space="preserve"> </w:t>
      </w:r>
      <w:r w:rsidRPr="007A2600">
        <w:t xml:space="preserve">charge </w:t>
      </w:r>
      <w:r>
        <w:t xml:space="preserve">to </w:t>
      </w:r>
      <w:r w:rsidRPr="007A2600">
        <w:t xml:space="preserve">a QSE for a Generation Resource for over-generation </w:t>
      </w:r>
      <w:r>
        <w:t>if the telemetered generation</w:t>
      </w:r>
      <w:r w:rsidRPr="007A2600">
        <w:t xml:space="preserve"> exceeds the tolerance</w:t>
      </w:r>
      <w:r>
        <w:t>s noted above.</w:t>
      </w:r>
    </w:p>
    <w:p w:rsidR="008B3EA8" w:rsidRDefault="008B3EA8" w:rsidP="008B3EA8">
      <w:pPr>
        <w:pStyle w:val="ListParagraph"/>
        <w:numPr>
          <w:ilvl w:val="0"/>
          <w:numId w:val="1"/>
        </w:numPr>
        <w:spacing w:line="240" w:lineRule="auto"/>
      </w:pPr>
      <w:r w:rsidRPr="007A2600">
        <w:t>Base Point Deviation Charge for Under Generation</w:t>
      </w:r>
      <w:r w:rsidR="00BD3BCC">
        <w:t>:</w:t>
      </w:r>
      <w:r w:rsidRPr="007A2600">
        <w:t xml:space="preserve"> charge </w:t>
      </w:r>
      <w:r>
        <w:t xml:space="preserve">to </w:t>
      </w:r>
      <w:r w:rsidRPr="007A2600">
        <w:t>a QSE for a Generation Resource for under</w:t>
      </w:r>
      <w:r w:rsidR="00BD3BCC">
        <w:t>-</w:t>
      </w:r>
      <w:r w:rsidRPr="007A2600">
        <w:t xml:space="preserve">generation if the </w:t>
      </w:r>
      <w:r>
        <w:t>tele</w:t>
      </w:r>
      <w:r w:rsidRPr="007A2600">
        <w:t xml:space="preserve">metered generation is below the </w:t>
      </w:r>
      <w:r>
        <w:t>tolerances noted above.</w:t>
      </w:r>
    </w:p>
    <w:p w:rsidR="008B3EA8" w:rsidRDefault="008B3EA8" w:rsidP="008B3EA8">
      <w:pPr>
        <w:pStyle w:val="ListParagraph"/>
        <w:numPr>
          <w:ilvl w:val="0"/>
          <w:numId w:val="1"/>
        </w:numPr>
        <w:spacing w:line="240" w:lineRule="auto"/>
      </w:pPr>
      <w:r w:rsidRPr="007A2600">
        <w:t>IRR Generation Resource Base Point Deviation Charge</w:t>
      </w:r>
      <w:r w:rsidR="00BD3BCC">
        <w:t>: charge</w:t>
      </w:r>
      <w:r w:rsidRPr="007A2600">
        <w:t xml:space="preserve"> </w:t>
      </w:r>
      <w:r>
        <w:t>to</w:t>
      </w:r>
      <w:r w:rsidRPr="007A2600">
        <w:t xml:space="preserve"> a QSE for an IRR if the IRR </w:t>
      </w:r>
      <w:r>
        <w:t>tele</w:t>
      </w:r>
      <w:r w:rsidRPr="007A2600">
        <w:t>metered generation is more than 10% above its Adjusted Aggregated Base Point and the flag signifying that the IRR has received a Base Point below the High Dispatch Limit (HDL) used by SCED has been received.</w:t>
      </w:r>
    </w:p>
    <w:p w:rsidR="008B3EA8" w:rsidRDefault="008B3EA8" w:rsidP="008B3EA8">
      <w:pPr>
        <w:pStyle w:val="ListParagraph"/>
        <w:numPr>
          <w:ilvl w:val="0"/>
          <w:numId w:val="1"/>
        </w:numPr>
        <w:spacing w:line="240" w:lineRule="auto"/>
      </w:pPr>
      <w:r>
        <w:t>No penalty is assessed to a QSE for an IRR for under generation.</w:t>
      </w:r>
    </w:p>
    <w:p w:rsidR="008B3EA8" w:rsidRDefault="008B3EA8" w:rsidP="008B3EA8">
      <w:pPr>
        <w:pStyle w:val="ListParagraph"/>
        <w:numPr>
          <w:ilvl w:val="0"/>
          <w:numId w:val="1"/>
        </w:numPr>
        <w:spacing w:line="240" w:lineRule="auto"/>
      </w:pPr>
      <w:r w:rsidRPr="007A2600">
        <w:t>Generation Resource Energy Deployment Performance</w:t>
      </w:r>
      <w:r w:rsidR="00BD3BCC">
        <w:t xml:space="preserve">: </w:t>
      </w:r>
      <w:r>
        <w:t xml:space="preserve"> </w:t>
      </w:r>
      <w:r w:rsidR="00BD3BCC">
        <w:t>score</w:t>
      </w:r>
      <w:r w:rsidRPr="007A2600">
        <w:t xml:space="preserve"> for each Generation Resource that is On-Line and released to SCED Base Point Dispatch Instructions.  The GREDP is calculated for each five-minute clock interval as a percentage </w:t>
      </w:r>
      <w:r>
        <w:t xml:space="preserve">(noted above) </w:t>
      </w:r>
      <w:r w:rsidRPr="007A2600">
        <w:t xml:space="preserve">and in MWs for </w:t>
      </w:r>
      <w:r>
        <w:t xml:space="preserve">all </w:t>
      </w:r>
      <w:r w:rsidRPr="007A2600">
        <w:t xml:space="preserve">Resources </w:t>
      </w:r>
      <w:r>
        <w:t>based on</w:t>
      </w:r>
      <w:r w:rsidRPr="007A2600">
        <w:t xml:space="preserve"> Resource Status</w:t>
      </w:r>
      <w:r>
        <w:t>.</w:t>
      </w:r>
    </w:p>
    <w:p w:rsidR="008B3EA8" w:rsidRDefault="008B3EA8" w:rsidP="008B3EA8">
      <w:pPr>
        <w:pStyle w:val="ListParagraph"/>
        <w:numPr>
          <w:ilvl w:val="0"/>
          <w:numId w:val="1"/>
        </w:numPr>
        <w:spacing w:line="240" w:lineRule="auto"/>
      </w:pPr>
      <w:r w:rsidRPr="007A2600">
        <w:t>Generation Resource Energy Deployment Performance</w:t>
      </w:r>
      <w:r w:rsidR="00BD3BCC">
        <w:t>:</w:t>
      </w:r>
      <w:r>
        <w:t xml:space="preserve"> </w:t>
      </w:r>
      <w:r w:rsidR="00BD3BCC">
        <w:t>score for each IRR that is On-Line</w:t>
      </w:r>
      <w:r w:rsidR="00BD3BCC" w:rsidRPr="00BD3BCC">
        <w:t xml:space="preserve"> </w:t>
      </w:r>
      <w:r w:rsidR="00BD3BCC" w:rsidRPr="007A2600">
        <w:t>and released to SCED Base Point Dispatch Instructions</w:t>
      </w:r>
      <w:r w:rsidR="00BD3BCC">
        <w:t>.  § 8.1.1.4.1</w:t>
      </w:r>
      <w:r>
        <w:t>(8) states that a</w:t>
      </w:r>
      <w:r w:rsidRPr="00EE2657">
        <w:t xml:space="preserve">n IRR must have a GREDP less than Z% or the </w:t>
      </w:r>
      <w:r w:rsidR="00BD3BCC">
        <w:t>Average Telemetered Generation (</w:t>
      </w:r>
      <w:r w:rsidRPr="00EE2657">
        <w:t>ATG</w:t>
      </w:r>
      <w:r w:rsidR="00BD3BCC">
        <w:t>)</w:t>
      </w:r>
      <w:r w:rsidRPr="00EE2657">
        <w:t xml:space="preserve"> must be less than the expected MW output for 95% of the five-minute clock intervals in the month when the </w:t>
      </w:r>
      <w:r w:rsidR="00BD3BCC">
        <w:t>IRR</w:t>
      </w:r>
      <w:r w:rsidRPr="00EE2657">
        <w:t xml:space="preserve"> received a Base Point Dispatch Instruction in which the Base Point was two MW or more below the IRR’s HSL used by SCED</w:t>
      </w:r>
      <w:r>
        <w:t>.</w:t>
      </w:r>
    </w:p>
    <w:p w:rsidR="008B3EA8" w:rsidRDefault="008B3EA8" w:rsidP="0080544C">
      <w:pPr>
        <w:spacing w:after="0" w:line="240" w:lineRule="auto"/>
        <w:ind w:left="360"/>
      </w:pPr>
      <w:r>
        <w:t xml:space="preserve">NOTES:  </w:t>
      </w:r>
    </w:p>
    <w:p w:rsidR="008B3EA8" w:rsidRDefault="008B3EA8" w:rsidP="008B3EA8">
      <w:pPr>
        <w:pStyle w:val="ListParagraph"/>
        <w:numPr>
          <w:ilvl w:val="0"/>
          <w:numId w:val="2"/>
        </w:numPr>
        <w:spacing w:line="240" w:lineRule="auto"/>
      </w:pPr>
      <w:r>
        <w:t>Existing metrics for CLREDP in Section 8.1.1.4.1 are applicable to CLRs qualified for Regulation Service or RRS (</w:t>
      </w:r>
      <w:proofErr w:type="spellStart"/>
      <w:r>
        <w:t>ie</w:t>
      </w:r>
      <w:proofErr w:type="spellEnd"/>
      <w:r>
        <w:t xml:space="preserve">, capable of primary frequency response).  </w:t>
      </w:r>
    </w:p>
    <w:p w:rsidR="0063280E" w:rsidRDefault="008B3EA8" w:rsidP="008B3EA8">
      <w:pPr>
        <w:pStyle w:val="ListParagraph"/>
        <w:numPr>
          <w:ilvl w:val="0"/>
          <w:numId w:val="2"/>
        </w:numPr>
      </w:pPr>
      <w:r w:rsidRPr="008B3EA8">
        <w:t>X and Y values for Base Point Deviation</w:t>
      </w:r>
      <w:r w:rsidR="00146DE5">
        <w:t xml:space="preserve"> Charge</w:t>
      </w:r>
      <w:r w:rsidRPr="008B3EA8">
        <w:t xml:space="preserve">s are included in the </w:t>
      </w:r>
      <w:r w:rsidR="0063280E">
        <w:t>Protocols</w:t>
      </w:r>
    </w:p>
    <w:p w:rsidR="008B3EA8" w:rsidRPr="008B3EA8" w:rsidRDefault="008B3EA8" w:rsidP="008B3EA8">
      <w:pPr>
        <w:pStyle w:val="ListParagraph"/>
        <w:numPr>
          <w:ilvl w:val="0"/>
          <w:numId w:val="2"/>
        </w:numPr>
      </w:pPr>
      <w:r w:rsidRPr="008B3EA8">
        <w:t xml:space="preserve">X and Y values for GREDP and CLREDP </w:t>
      </w:r>
      <w:r w:rsidR="00146DE5">
        <w:t xml:space="preserve">(and Z value for IRR GREDP) </w:t>
      </w:r>
      <w:r w:rsidRPr="008B3EA8">
        <w:t>are posted in a separate document</w:t>
      </w:r>
      <w:r>
        <w:t xml:space="preserve"> on </w:t>
      </w:r>
      <w:r w:rsidRPr="008B3EA8">
        <w:t>MIS</w:t>
      </w:r>
      <w:r>
        <w:t xml:space="preserve"> Public:</w:t>
      </w:r>
      <w:r w:rsidRPr="008B3EA8">
        <w:t xml:space="preserve"> “Approved GREDP and CLREDP Performance Criteria Variables” (</w:t>
      </w:r>
      <w:hyperlink r:id="rId9" w:history="1">
        <w:r w:rsidRPr="0080544C">
          <w:rPr>
            <w:rStyle w:val="Hyperlink"/>
            <w:color w:val="0070C0"/>
          </w:rPr>
          <w:t>https://mis.ercot.com/misdownload/servlets/mirDownload?mimicKey=&amp;doclookupId=100651349</w:t>
        </w:r>
      </w:hyperlink>
      <w:r w:rsidRPr="008B3EA8">
        <w:t>)</w:t>
      </w:r>
    </w:p>
    <w:p w:rsidR="008B3EA8" w:rsidRDefault="0063280E" w:rsidP="00A451E1">
      <w:pPr>
        <w:spacing w:line="240" w:lineRule="auto"/>
      </w:pPr>
      <w:r>
        <w:lastRenderedPageBreak/>
        <w:t>Please provide recommendations for the appropriate values of X and Y for the following, applicable to Controllable Load Resource participation in SCED and Non-spin:</w:t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441"/>
        <w:gridCol w:w="5697"/>
        <w:gridCol w:w="1378"/>
        <w:gridCol w:w="630"/>
        <w:gridCol w:w="539"/>
        <w:gridCol w:w="808"/>
        <w:gridCol w:w="3755"/>
      </w:tblGrid>
      <w:tr w:rsidR="00667B0A" w:rsidTr="0080544C">
        <w:tc>
          <w:tcPr>
            <w:tcW w:w="441" w:type="dxa"/>
            <w:shd w:val="pct20" w:color="auto" w:fill="auto"/>
          </w:tcPr>
          <w:p w:rsidR="00667B0A" w:rsidRDefault="00667B0A" w:rsidP="00A451E1"/>
        </w:tc>
        <w:tc>
          <w:tcPr>
            <w:tcW w:w="5697" w:type="dxa"/>
            <w:shd w:val="pct20" w:color="auto" w:fill="auto"/>
          </w:tcPr>
          <w:p w:rsidR="00667B0A" w:rsidRDefault="00667B0A" w:rsidP="00A451E1">
            <w:r>
              <w:t>Resource/Metric</w:t>
            </w:r>
          </w:p>
        </w:tc>
        <w:tc>
          <w:tcPr>
            <w:tcW w:w="1378" w:type="dxa"/>
            <w:shd w:val="pct20" w:color="auto" w:fill="auto"/>
          </w:tcPr>
          <w:p w:rsidR="00667B0A" w:rsidRDefault="00667B0A" w:rsidP="00A451E1">
            <w:r>
              <w:t>Reference</w:t>
            </w:r>
          </w:p>
        </w:tc>
        <w:tc>
          <w:tcPr>
            <w:tcW w:w="630" w:type="dxa"/>
            <w:shd w:val="pct20" w:color="auto" w:fill="auto"/>
          </w:tcPr>
          <w:p w:rsidR="00667B0A" w:rsidRDefault="00667B0A" w:rsidP="00A451E1">
            <w:r>
              <w:t>X</w:t>
            </w:r>
          </w:p>
        </w:tc>
        <w:tc>
          <w:tcPr>
            <w:tcW w:w="539" w:type="dxa"/>
            <w:shd w:val="pct20" w:color="auto" w:fill="auto"/>
          </w:tcPr>
          <w:p w:rsidR="00667B0A" w:rsidRDefault="00667B0A" w:rsidP="00A451E1"/>
        </w:tc>
        <w:tc>
          <w:tcPr>
            <w:tcW w:w="808" w:type="dxa"/>
            <w:shd w:val="pct20" w:color="auto" w:fill="auto"/>
          </w:tcPr>
          <w:p w:rsidR="00667B0A" w:rsidRDefault="00667B0A" w:rsidP="00A451E1">
            <w:r>
              <w:t>Y</w:t>
            </w:r>
          </w:p>
        </w:tc>
        <w:tc>
          <w:tcPr>
            <w:tcW w:w="3755" w:type="dxa"/>
            <w:shd w:val="pct20" w:color="auto" w:fill="auto"/>
          </w:tcPr>
          <w:p w:rsidR="00667B0A" w:rsidRDefault="00667B0A" w:rsidP="00A451E1"/>
        </w:tc>
      </w:tr>
      <w:tr w:rsidR="00624333" w:rsidTr="0080544C">
        <w:tc>
          <w:tcPr>
            <w:tcW w:w="441" w:type="dxa"/>
            <w:vAlign w:val="center"/>
          </w:tcPr>
          <w:p w:rsidR="00624333" w:rsidRDefault="00624333" w:rsidP="0080544C">
            <w:r>
              <w:t>7</w:t>
            </w:r>
          </w:p>
        </w:tc>
        <w:tc>
          <w:tcPr>
            <w:tcW w:w="5697" w:type="dxa"/>
            <w:vAlign w:val="center"/>
          </w:tcPr>
          <w:p w:rsidR="00624333" w:rsidRDefault="00624333" w:rsidP="0080544C">
            <w:r>
              <w:t>Base Point Deviation, Over-Consumption, CLR</w:t>
            </w:r>
          </w:p>
        </w:tc>
        <w:tc>
          <w:tcPr>
            <w:tcW w:w="1378" w:type="dxa"/>
            <w:vAlign w:val="center"/>
          </w:tcPr>
          <w:p w:rsidR="00624333" w:rsidRPr="00A862E9" w:rsidRDefault="00624333" w:rsidP="0080544C">
            <w:pPr>
              <w:rPr>
                <w:highlight w:val="yellow"/>
              </w:rPr>
            </w:pPr>
            <w:r>
              <w:t>NPRR555 § 6.6.5.1.1.3</w:t>
            </w:r>
          </w:p>
        </w:tc>
        <w:tc>
          <w:tcPr>
            <w:tcW w:w="630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24333" w:rsidRDefault="00624333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24333" w:rsidRDefault="00624333" w:rsidP="0080544C">
            <w:r>
              <w:t>Whichever is greater</w:t>
            </w:r>
          </w:p>
        </w:tc>
      </w:tr>
      <w:tr w:rsidR="00624333" w:rsidTr="0080544C">
        <w:tc>
          <w:tcPr>
            <w:tcW w:w="441" w:type="dxa"/>
            <w:vAlign w:val="center"/>
          </w:tcPr>
          <w:p w:rsidR="00624333" w:rsidRDefault="00624333" w:rsidP="0080544C">
            <w:r>
              <w:t>8</w:t>
            </w:r>
          </w:p>
        </w:tc>
        <w:tc>
          <w:tcPr>
            <w:tcW w:w="5697" w:type="dxa"/>
            <w:vAlign w:val="center"/>
          </w:tcPr>
          <w:p w:rsidR="00624333" w:rsidRDefault="00624333" w:rsidP="0080544C">
            <w:r>
              <w:t>Base Point Deviation, Under-Consumption, CLR</w:t>
            </w:r>
          </w:p>
        </w:tc>
        <w:tc>
          <w:tcPr>
            <w:tcW w:w="1378" w:type="dxa"/>
            <w:vAlign w:val="center"/>
          </w:tcPr>
          <w:p w:rsidR="00624333" w:rsidRPr="00667B0A" w:rsidRDefault="00624333" w:rsidP="0080544C">
            <w:r w:rsidRPr="00667B0A">
              <w:t>NPRR555 § 6.6.5.1.1.4</w:t>
            </w:r>
          </w:p>
        </w:tc>
        <w:tc>
          <w:tcPr>
            <w:tcW w:w="630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24333" w:rsidRDefault="00624333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24333" w:rsidRDefault="00624333" w:rsidP="0080544C">
            <w:r>
              <w:t>Whichever is greater</w:t>
            </w:r>
          </w:p>
        </w:tc>
      </w:tr>
      <w:tr w:rsidR="00624333" w:rsidTr="0080544C">
        <w:tc>
          <w:tcPr>
            <w:tcW w:w="441" w:type="dxa"/>
            <w:vAlign w:val="center"/>
          </w:tcPr>
          <w:p w:rsidR="00624333" w:rsidRDefault="00624333" w:rsidP="0080544C">
            <w:r>
              <w:t>9</w:t>
            </w:r>
          </w:p>
        </w:tc>
        <w:tc>
          <w:tcPr>
            <w:tcW w:w="5697" w:type="dxa"/>
            <w:vAlign w:val="center"/>
          </w:tcPr>
          <w:p w:rsidR="00624333" w:rsidRDefault="00624333" w:rsidP="0080544C">
            <w:r>
              <w:t>Base Point Deviation, Over-Consumption, CLR with AS Responsibility</w:t>
            </w:r>
          </w:p>
        </w:tc>
        <w:tc>
          <w:tcPr>
            <w:tcW w:w="1378" w:type="dxa"/>
            <w:vAlign w:val="center"/>
          </w:tcPr>
          <w:p w:rsidR="00624333" w:rsidRPr="00667B0A" w:rsidRDefault="00624333" w:rsidP="0080544C">
            <w:r w:rsidRPr="00667B0A">
              <w:t>NPRR555 § 6.6.5.1.1.3</w:t>
            </w:r>
          </w:p>
        </w:tc>
        <w:tc>
          <w:tcPr>
            <w:tcW w:w="630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24333" w:rsidRDefault="00624333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24333" w:rsidRDefault="00624333" w:rsidP="0080544C">
            <w:r>
              <w:t>Whichever is greater</w:t>
            </w:r>
          </w:p>
        </w:tc>
      </w:tr>
      <w:tr w:rsidR="00624333" w:rsidTr="0080544C">
        <w:tc>
          <w:tcPr>
            <w:tcW w:w="441" w:type="dxa"/>
            <w:vAlign w:val="center"/>
          </w:tcPr>
          <w:p w:rsidR="00624333" w:rsidRDefault="00624333" w:rsidP="0080544C">
            <w:r>
              <w:t>10</w:t>
            </w:r>
          </w:p>
        </w:tc>
        <w:tc>
          <w:tcPr>
            <w:tcW w:w="5697" w:type="dxa"/>
            <w:vAlign w:val="center"/>
          </w:tcPr>
          <w:p w:rsidR="00624333" w:rsidRDefault="00624333" w:rsidP="0080544C">
            <w:r>
              <w:t>Base Point Deviation, Under-Consumption, CLR with AS Responsibility</w:t>
            </w:r>
          </w:p>
        </w:tc>
        <w:tc>
          <w:tcPr>
            <w:tcW w:w="1378" w:type="dxa"/>
            <w:vAlign w:val="center"/>
          </w:tcPr>
          <w:p w:rsidR="00624333" w:rsidRPr="00667B0A" w:rsidRDefault="00624333" w:rsidP="0080544C">
            <w:r w:rsidRPr="00667B0A">
              <w:t>NPRR555 § 6.6.5.1.1.4</w:t>
            </w:r>
          </w:p>
        </w:tc>
        <w:tc>
          <w:tcPr>
            <w:tcW w:w="630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24333" w:rsidRDefault="00624333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24333" w:rsidRDefault="00624333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24333" w:rsidRDefault="00624333" w:rsidP="0080544C">
            <w:r>
              <w:t>Whichever is greater</w:t>
            </w:r>
          </w:p>
        </w:tc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11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CLREDP</w:t>
            </w:r>
          </w:p>
        </w:tc>
        <w:tc>
          <w:tcPr>
            <w:tcW w:w="1378" w:type="dxa"/>
            <w:vAlign w:val="center"/>
          </w:tcPr>
          <w:p w:rsidR="00667B0A" w:rsidRPr="00667B0A" w:rsidRDefault="00667B0A" w:rsidP="0080544C">
            <w:r w:rsidRPr="00667B0A">
              <w:t>NPRR555 § 8.1.1.4.1(9)</w:t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67B0A" w:rsidRDefault="00667B0A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67B0A" w:rsidRDefault="00667B0A" w:rsidP="0080544C">
            <w:r>
              <w:t>Whichever is greater</w:t>
            </w:r>
          </w:p>
        </w:tc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12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CLREDP with AS Responsibility</w:t>
            </w:r>
          </w:p>
        </w:tc>
        <w:tc>
          <w:tcPr>
            <w:tcW w:w="1378" w:type="dxa"/>
            <w:vAlign w:val="center"/>
          </w:tcPr>
          <w:p w:rsidR="00667B0A" w:rsidRPr="00667B0A" w:rsidRDefault="00667B0A" w:rsidP="0080544C">
            <w:r w:rsidRPr="00667B0A">
              <w:t>NPRR555 § 8.1.1.4.1(9)</w:t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67B0A" w:rsidRDefault="00667B0A" w:rsidP="0080544C">
            <w:r>
              <w:t>or</w:t>
            </w:r>
          </w:p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 xml:space="preserve"> MW</w:t>
            </w:r>
          </w:p>
        </w:tc>
        <w:tc>
          <w:tcPr>
            <w:tcW w:w="3755" w:type="dxa"/>
            <w:vAlign w:val="center"/>
          </w:tcPr>
          <w:p w:rsidR="00667B0A" w:rsidRDefault="00667B0A" w:rsidP="0080544C">
            <w:r>
              <w:t>Whichever is greater</w:t>
            </w:r>
          </w:p>
        </w:tc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13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ALR Telemetry Validation, Monthly Net Power Flow vs. Meter Data</w:t>
            </w:r>
          </w:p>
        </w:tc>
        <w:tc>
          <w:tcPr>
            <w:tcW w:w="1378" w:type="dxa"/>
            <w:vAlign w:val="center"/>
          </w:tcPr>
          <w:p w:rsidR="00667B0A" w:rsidRPr="00667B0A" w:rsidRDefault="00667B0A" w:rsidP="0080544C">
            <w:r>
              <w:t>Draft OBD</w:t>
            </w:r>
            <w:r w:rsidR="00B10689">
              <w:rPr>
                <w:rStyle w:val="FootnoteReference"/>
              </w:rPr>
              <w:footnoteReference w:id="1"/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67B0A" w:rsidRDefault="00667B0A" w:rsidP="0080544C"/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3755" w:type="dxa"/>
            <w:vAlign w:val="center"/>
          </w:tcPr>
          <w:p w:rsidR="00667B0A" w:rsidRDefault="00E66673" w:rsidP="0080544C">
            <w:r>
              <w:t>X</w:t>
            </w:r>
            <w:r w:rsidR="00667B0A">
              <w:t xml:space="preserve">% of telemetry values within </w:t>
            </w:r>
            <w:r>
              <w:t>Y</w:t>
            </w:r>
            <w:r w:rsidR="00667B0A">
              <w:t>% of meter data</w:t>
            </w:r>
          </w:p>
        </w:tc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14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ALR Telemetry Validation, SPC+2 Qualification (for AS)</w:t>
            </w:r>
          </w:p>
        </w:tc>
        <w:tc>
          <w:tcPr>
            <w:tcW w:w="1378" w:type="dxa"/>
            <w:vAlign w:val="center"/>
          </w:tcPr>
          <w:p w:rsidR="00667B0A" w:rsidRPr="00667B0A" w:rsidRDefault="00B10689" w:rsidP="0080544C">
            <w:r>
              <w:t>Draft OBD</w:t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67B0A" w:rsidRDefault="00667B0A" w:rsidP="0080544C"/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3755" w:type="dxa"/>
            <w:vAlign w:val="center"/>
          </w:tcPr>
          <w:p w:rsidR="00667B0A" w:rsidRDefault="00E66673" w:rsidP="00E66673">
            <w:r>
              <w:t>X</w:t>
            </w:r>
            <w:r w:rsidR="00667B0A">
              <w:t xml:space="preserve">% of SPC+2 values within </w:t>
            </w:r>
            <w:r>
              <w:t>Y</w:t>
            </w:r>
            <w:r w:rsidR="00667B0A">
              <w:t xml:space="preserve">% of </w:t>
            </w:r>
            <w:r>
              <w:t>NPF values</w:t>
            </w:r>
          </w:p>
        </w:tc>
        <w:bookmarkStart w:id="0" w:name="_GoBack"/>
        <w:bookmarkEnd w:id="0"/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15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ALR Telemetry Validation, Monthly SPC+2 vs. SPC (for AS)</w:t>
            </w:r>
          </w:p>
        </w:tc>
        <w:tc>
          <w:tcPr>
            <w:tcW w:w="1378" w:type="dxa"/>
            <w:vAlign w:val="center"/>
          </w:tcPr>
          <w:p w:rsidR="00667B0A" w:rsidRPr="00667B0A" w:rsidRDefault="00B10689" w:rsidP="0080544C">
            <w:r>
              <w:t>Draft OBD</w:t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539" w:type="dxa"/>
            <w:vAlign w:val="center"/>
          </w:tcPr>
          <w:p w:rsidR="00667B0A" w:rsidRDefault="00667B0A" w:rsidP="0080544C"/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3755" w:type="dxa"/>
            <w:vAlign w:val="center"/>
          </w:tcPr>
          <w:p w:rsidR="00667B0A" w:rsidRDefault="00E66673" w:rsidP="0080544C">
            <w:r>
              <w:t>X</w:t>
            </w:r>
            <w:r w:rsidR="00667B0A">
              <w:t xml:space="preserve">% of SPC+2 values within </w:t>
            </w:r>
            <w:r>
              <w:t>Y</w:t>
            </w:r>
            <w:r w:rsidR="00667B0A">
              <w:t>% of SPC values</w:t>
            </w:r>
          </w:p>
        </w:tc>
      </w:tr>
      <w:tr w:rsidR="00667B0A" w:rsidTr="0080544C">
        <w:tc>
          <w:tcPr>
            <w:tcW w:w="441" w:type="dxa"/>
            <w:vAlign w:val="center"/>
          </w:tcPr>
          <w:p w:rsidR="00667B0A" w:rsidRDefault="00667B0A" w:rsidP="0080544C">
            <w:r>
              <w:t>16</w:t>
            </w:r>
          </w:p>
        </w:tc>
        <w:tc>
          <w:tcPr>
            <w:tcW w:w="5697" w:type="dxa"/>
            <w:vAlign w:val="center"/>
          </w:tcPr>
          <w:p w:rsidR="00667B0A" w:rsidRDefault="00667B0A" w:rsidP="0080544C">
            <w:r>
              <w:t>ALR Telemetry Validation during SCED Deployments</w:t>
            </w:r>
          </w:p>
        </w:tc>
        <w:tc>
          <w:tcPr>
            <w:tcW w:w="1378" w:type="dxa"/>
            <w:vAlign w:val="center"/>
          </w:tcPr>
          <w:p w:rsidR="00667B0A" w:rsidRPr="00667B0A" w:rsidRDefault="00B10689" w:rsidP="0080544C">
            <w:r>
              <w:t>Draft OBD</w:t>
            </w:r>
          </w:p>
        </w:tc>
        <w:tc>
          <w:tcPr>
            <w:tcW w:w="630" w:type="dxa"/>
            <w:vAlign w:val="center"/>
          </w:tcPr>
          <w:p w:rsidR="00667B0A" w:rsidRDefault="00667B0A" w:rsidP="0080544C">
            <w:r>
              <w:t>n/a</w:t>
            </w:r>
          </w:p>
        </w:tc>
        <w:tc>
          <w:tcPr>
            <w:tcW w:w="539" w:type="dxa"/>
            <w:vAlign w:val="center"/>
          </w:tcPr>
          <w:p w:rsidR="00667B0A" w:rsidRDefault="00667B0A" w:rsidP="0080544C"/>
        </w:tc>
        <w:tc>
          <w:tcPr>
            <w:tcW w:w="808" w:type="dxa"/>
            <w:vAlign w:val="center"/>
          </w:tcPr>
          <w:p w:rsidR="00667B0A" w:rsidRDefault="00667B0A" w:rsidP="0080544C">
            <w:r w:rsidRPr="00A862E9">
              <w:rPr>
                <w:highlight w:val="yellow"/>
              </w:rPr>
              <w:t>_</w:t>
            </w:r>
            <w:r>
              <w:t>%</w:t>
            </w:r>
          </w:p>
        </w:tc>
        <w:tc>
          <w:tcPr>
            <w:tcW w:w="3755" w:type="dxa"/>
            <w:vAlign w:val="center"/>
          </w:tcPr>
          <w:p w:rsidR="00667B0A" w:rsidRDefault="00E66673" w:rsidP="00E66673">
            <w:r>
              <w:t>Y% d</w:t>
            </w:r>
            <w:r w:rsidR="00667B0A">
              <w:t>ifference between ERCOT baseline and SPC/SPC+2 values</w:t>
            </w:r>
          </w:p>
        </w:tc>
      </w:tr>
    </w:tbl>
    <w:p w:rsidR="00B10689" w:rsidRDefault="00B10689" w:rsidP="0080544C">
      <w:pPr>
        <w:spacing w:before="120" w:after="120" w:line="240" w:lineRule="auto"/>
        <w:ind w:left="360"/>
      </w:pPr>
      <w:r>
        <w:t xml:space="preserve">NOTES:  </w:t>
      </w:r>
    </w:p>
    <w:p w:rsidR="00A451E1" w:rsidRDefault="00A451E1" w:rsidP="0080544C">
      <w:pPr>
        <w:pStyle w:val="ListParagraph"/>
        <w:numPr>
          <w:ilvl w:val="0"/>
          <w:numId w:val="2"/>
        </w:numPr>
      </w:pPr>
      <w:r>
        <w:t>Current NPRR language proposes universal metrics for all CLRs regardless of whether there is an AS responsibility</w:t>
      </w:r>
      <w:r w:rsidR="00B10689">
        <w:t xml:space="preserve"> (see NPRR555 §§ 6.6.5.1.1.3 &amp; 6.6.5.1.1.4)</w:t>
      </w:r>
      <w:r>
        <w:t xml:space="preserve">.  </w:t>
      </w:r>
    </w:p>
    <w:p w:rsidR="00A451E1" w:rsidRDefault="00AF353C" w:rsidP="0080544C">
      <w:pPr>
        <w:pStyle w:val="ListParagraph"/>
        <w:numPr>
          <w:ilvl w:val="0"/>
          <w:numId w:val="2"/>
        </w:numPr>
      </w:pPr>
      <w:r w:rsidRPr="008B3EA8">
        <w:t xml:space="preserve">X and Y values </w:t>
      </w:r>
      <w:r>
        <w:t xml:space="preserve">applicable to SCED and Non-spin will be </w:t>
      </w:r>
      <w:r w:rsidRPr="008B3EA8">
        <w:t xml:space="preserve">posted </w:t>
      </w:r>
      <w:r>
        <w:t xml:space="preserve">on </w:t>
      </w:r>
      <w:r w:rsidRPr="008B3EA8">
        <w:t>MIS</w:t>
      </w:r>
      <w:r>
        <w:t xml:space="preserve"> Public</w:t>
      </w:r>
      <w:r w:rsidRPr="008B3EA8">
        <w:t xml:space="preserve"> separate</w:t>
      </w:r>
      <w:r>
        <w:t>ly</w:t>
      </w:r>
      <w:r w:rsidRPr="008B3EA8">
        <w:t xml:space="preserve"> </w:t>
      </w:r>
      <w:r>
        <w:t>from existing GREDP/CLREDP document.</w:t>
      </w:r>
    </w:p>
    <w:sectPr w:rsidR="00A451E1" w:rsidSect="006328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B1" w:rsidRDefault="00E83CB1" w:rsidP="00B10689">
      <w:pPr>
        <w:spacing w:after="0" w:line="240" w:lineRule="auto"/>
      </w:pPr>
      <w:r>
        <w:separator/>
      </w:r>
    </w:p>
  </w:endnote>
  <w:endnote w:type="continuationSeparator" w:id="0">
    <w:p w:rsidR="00E83CB1" w:rsidRDefault="00E83CB1" w:rsidP="00B1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B1" w:rsidRDefault="00E83CB1" w:rsidP="00B10689">
      <w:pPr>
        <w:spacing w:after="0" w:line="240" w:lineRule="auto"/>
      </w:pPr>
      <w:r>
        <w:separator/>
      </w:r>
    </w:p>
  </w:footnote>
  <w:footnote w:type="continuationSeparator" w:id="0">
    <w:p w:rsidR="00E83CB1" w:rsidRDefault="00E83CB1" w:rsidP="00B10689">
      <w:pPr>
        <w:spacing w:after="0" w:line="240" w:lineRule="auto"/>
      </w:pPr>
      <w:r>
        <w:continuationSeparator/>
      </w:r>
    </w:p>
  </w:footnote>
  <w:footnote w:id="1">
    <w:p w:rsidR="00B10689" w:rsidRDefault="00B10689">
      <w:pPr>
        <w:pStyle w:val="FootnoteText"/>
      </w:pPr>
      <w:r>
        <w:rPr>
          <w:rStyle w:val="FootnoteReference"/>
        </w:rPr>
        <w:footnoteRef/>
      </w:r>
      <w:r>
        <w:t xml:space="preserve"> Draft Other Binding Document “Requirements for Aggregate Load Resource Participation in the ERCOT Markets,” Section 3.  See: </w:t>
      </w:r>
      <w:hyperlink r:id="rId1" w:history="1">
        <w:r w:rsidRPr="003C4FCF">
          <w:rPr>
            <w:rStyle w:val="Hyperlink"/>
            <w:rFonts w:asciiTheme="minorHAnsi" w:hAnsiTheme="minorHAnsi" w:cstheme="minorBidi"/>
          </w:rPr>
          <w:t>http://www.ercot.com/calendar/2013/08/20130808-DSWG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22DE5"/>
    <w:multiLevelType w:val="hybridMultilevel"/>
    <w:tmpl w:val="AE12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D31F6"/>
    <w:multiLevelType w:val="hybridMultilevel"/>
    <w:tmpl w:val="4BB495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C64"/>
    <w:rsid w:val="00052542"/>
    <w:rsid w:val="000B459C"/>
    <w:rsid w:val="00146DE5"/>
    <w:rsid w:val="003301BB"/>
    <w:rsid w:val="00352C64"/>
    <w:rsid w:val="003D1918"/>
    <w:rsid w:val="004A78BA"/>
    <w:rsid w:val="00536FD1"/>
    <w:rsid w:val="005A05F2"/>
    <w:rsid w:val="00624333"/>
    <w:rsid w:val="0063280E"/>
    <w:rsid w:val="00667B0A"/>
    <w:rsid w:val="006F1D60"/>
    <w:rsid w:val="007A2600"/>
    <w:rsid w:val="0080544C"/>
    <w:rsid w:val="00836130"/>
    <w:rsid w:val="008B3EA8"/>
    <w:rsid w:val="00991DEB"/>
    <w:rsid w:val="00A451E1"/>
    <w:rsid w:val="00A50B1A"/>
    <w:rsid w:val="00A862E9"/>
    <w:rsid w:val="00AF353C"/>
    <w:rsid w:val="00B049F5"/>
    <w:rsid w:val="00B10689"/>
    <w:rsid w:val="00B52948"/>
    <w:rsid w:val="00BD3BCC"/>
    <w:rsid w:val="00DD1DC3"/>
    <w:rsid w:val="00E2604A"/>
    <w:rsid w:val="00E66673"/>
    <w:rsid w:val="00E83CB1"/>
    <w:rsid w:val="00EE2657"/>
    <w:rsid w:val="00F2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C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26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EA8"/>
    <w:rPr>
      <w:rFonts w:ascii="Times New Roman" w:hAnsi="Times New Roman" w:cs="Times New Roman" w:hint="default"/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B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6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6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6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C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26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EA8"/>
    <w:rPr>
      <w:rFonts w:ascii="Times New Roman" w:hAnsi="Times New Roman" w:cs="Times New Roman" w:hint="default"/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B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6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6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is.ercot.com/misdownload/servlets/mirDownload?mimicKey=&amp;doclookupId=100651349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3/08/20130808-DSW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DABB8-FB85-440E-BFA3-1DA5794C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Wattles2</dc:creator>
  <cp:lastModifiedBy>P Wattles2</cp:lastModifiedBy>
  <cp:revision>3</cp:revision>
  <dcterms:created xsi:type="dcterms:W3CDTF">2013-08-09T16:31:00Z</dcterms:created>
  <dcterms:modified xsi:type="dcterms:W3CDTF">2013-08-09T16:43:00Z</dcterms:modified>
</cp:coreProperties>
</file>