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BB" w:rsidRPr="00261332" w:rsidRDefault="009B4BBB" w:rsidP="00AB1B23">
      <w:pPr>
        <w:spacing w:after="12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261332">
        <w:rPr>
          <w:rFonts w:ascii="Times New Roman" w:hAnsi="Times New Roman" w:cs="Times New Roman"/>
          <w:b/>
          <w:bCs/>
          <w:sz w:val="32"/>
          <w:szCs w:val="32"/>
          <w:u w:val="single"/>
        </w:rPr>
        <w:t>LOADS IN SCED 1.0</w:t>
      </w:r>
    </w:p>
    <w:p w:rsidR="001E2142" w:rsidRDefault="001E2142" w:rsidP="00AB1B23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5A6F33" w:rsidRDefault="005A6F33" w:rsidP="005A6F33">
      <w:pPr>
        <w:pStyle w:val="Title"/>
      </w:pPr>
      <w:r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5A6F33" w:rsidRPr="00871F7B" w:rsidTr="00E82CDE">
        <w:tc>
          <w:tcPr>
            <w:tcW w:w="2304" w:type="dxa"/>
          </w:tcPr>
          <w:p w:rsidR="005A6F33" w:rsidRPr="00871F7B" w:rsidRDefault="005A6F33" w:rsidP="00E82CDE">
            <w:pPr>
              <w:pStyle w:val="Tabletext"/>
            </w:pPr>
            <w:r w:rsidRPr="00871F7B">
              <w:t>Date</w:t>
            </w:r>
          </w:p>
        </w:tc>
        <w:tc>
          <w:tcPr>
            <w:tcW w:w="1152" w:type="dxa"/>
          </w:tcPr>
          <w:p w:rsidR="005A6F33" w:rsidRPr="00871F7B" w:rsidRDefault="005A6F33" w:rsidP="00E82CDE">
            <w:pPr>
              <w:pStyle w:val="Tabletext"/>
            </w:pPr>
            <w:r w:rsidRPr="00871F7B">
              <w:t>Version</w:t>
            </w:r>
          </w:p>
        </w:tc>
        <w:tc>
          <w:tcPr>
            <w:tcW w:w="3744" w:type="dxa"/>
          </w:tcPr>
          <w:p w:rsidR="005A6F33" w:rsidRPr="00871F7B" w:rsidRDefault="005A6F33" w:rsidP="00E82CDE">
            <w:pPr>
              <w:pStyle w:val="Tabletext"/>
            </w:pPr>
            <w:r w:rsidRPr="00871F7B">
              <w:t>Description</w:t>
            </w:r>
          </w:p>
        </w:tc>
        <w:tc>
          <w:tcPr>
            <w:tcW w:w="2304" w:type="dxa"/>
          </w:tcPr>
          <w:p w:rsidR="005A6F33" w:rsidRPr="00871F7B" w:rsidRDefault="005A6F33" w:rsidP="00E82CDE">
            <w:pPr>
              <w:pStyle w:val="Tabletext"/>
            </w:pPr>
            <w:r w:rsidRPr="00871F7B">
              <w:t>Author</w:t>
            </w:r>
          </w:p>
        </w:tc>
      </w:tr>
      <w:tr w:rsidR="005A6F33" w:rsidRPr="00871F7B" w:rsidTr="005A6F33">
        <w:tc>
          <w:tcPr>
            <w:tcW w:w="2304" w:type="dxa"/>
            <w:vAlign w:val="center"/>
          </w:tcPr>
          <w:p w:rsidR="005A6F33" w:rsidRPr="00871F7B" w:rsidRDefault="005A6F33" w:rsidP="007462F7">
            <w:pPr>
              <w:pStyle w:val="Tabletext"/>
              <w:jc w:val="left"/>
            </w:pPr>
            <w:r>
              <w:t>05/2</w:t>
            </w:r>
            <w:r w:rsidR="007462F7">
              <w:t>8</w:t>
            </w:r>
            <w:r>
              <w:t>/2013</w:t>
            </w:r>
          </w:p>
        </w:tc>
        <w:tc>
          <w:tcPr>
            <w:tcW w:w="1152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  <w:r>
              <w:t>1.0</w:t>
            </w:r>
          </w:p>
        </w:tc>
        <w:tc>
          <w:tcPr>
            <w:tcW w:w="3744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  <w:r>
              <w:t xml:space="preserve">First draft of the high-level concept document.  Distributed to TAC, WMS, </w:t>
            </w:r>
            <w:proofErr w:type="gramStart"/>
            <w:r>
              <w:t>DSWG</w:t>
            </w:r>
            <w:proofErr w:type="gramEnd"/>
            <w:r>
              <w:t>.</w:t>
            </w:r>
          </w:p>
        </w:tc>
        <w:tc>
          <w:tcPr>
            <w:tcW w:w="2304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  <w:r>
              <w:t>ERCOT Staff</w:t>
            </w:r>
          </w:p>
        </w:tc>
      </w:tr>
      <w:tr w:rsidR="005A6F33" w:rsidRPr="00871F7B" w:rsidTr="005A6F33">
        <w:tc>
          <w:tcPr>
            <w:tcW w:w="2304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</w:p>
        </w:tc>
        <w:tc>
          <w:tcPr>
            <w:tcW w:w="1152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</w:p>
        </w:tc>
        <w:tc>
          <w:tcPr>
            <w:tcW w:w="3744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</w:p>
        </w:tc>
        <w:tc>
          <w:tcPr>
            <w:tcW w:w="2304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</w:p>
        </w:tc>
      </w:tr>
      <w:tr w:rsidR="005A6F33" w:rsidRPr="00871F7B" w:rsidTr="005A6F33">
        <w:tc>
          <w:tcPr>
            <w:tcW w:w="2304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</w:p>
        </w:tc>
        <w:tc>
          <w:tcPr>
            <w:tcW w:w="1152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</w:p>
        </w:tc>
        <w:tc>
          <w:tcPr>
            <w:tcW w:w="3744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</w:p>
        </w:tc>
        <w:tc>
          <w:tcPr>
            <w:tcW w:w="2304" w:type="dxa"/>
            <w:vAlign w:val="center"/>
          </w:tcPr>
          <w:p w:rsidR="005A6F33" w:rsidRPr="00871F7B" w:rsidRDefault="005A6F33" w:rsidP="005A6F33">
            <w:pPr>
              <w:pStyle w:val="Tabletext"/>
              <w:jc w:val="left"/>
            </w:pPr>
          </w:p>
        </w:tc>
      </w:tr>
    </w:tbl>
    <w:p w:rsidR="005A6F33" w:rsidRDefault="005A6F33" w:rsidP="00AB1B23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1C68ED" w:rsidRPr="00D05A62" w:rsidRDefault="00261332" w:rsidP="00AB1B23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bCs/>
          <w:sz w:val="24"/>
          <w:szCs w:val="24"/>
        </w:rPr>
        <w:t>First phase of enablement of DR participation in the Real-Time Energy Market (Security Constrained Economic Dispatch)</w:t>
      </w:r>
    </w:p>
    <w:p w:rsidR="00D05A62" w:rsidRPr="009B4BBB" w:rsidRDefault="00D05A62" w:rsidP="00D05A62">
      <w:pPr>
        <w:numPr>
          <w:ilvl w:val="1"/>
          <w:numId w:val="1"/>
        </w:numPr>
        <w:tabs>
          <w:tab w:val="clear" w:pos="1440"/>
        </w:tabs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 b</w:t>
      </w:r>
      <w:r w:rsidRPr="00D05A62">
        <w:rPr>
          <w:rFonts w:ascii="Times New Roman" w:hAnsi="Times New Roman" w:cs="Times New Roman"/>
          <w:sz w:val="24"/>
          <w:szCs w:val="24"/>
        </w:rPr>
        <w:t>y summer</w:t>
      </w:r>
      <w:r>
        <w:rPr>
          <w:rFonts w:ascii="Times New Roman" w:hAnsi="Times New Roman" w:cs="Times New Roman"/>
          <w:bCs/>
          <w:sz w:val="24"/>
          <w:szCs w:val="24"/>
        </w:rPr>
        <w:t xml:space="preserve"> 2014</w:t>
      </w:r>
    </w:p>
    <w:p w:rsidR="005500BC" w:rsidRPr="005500BC" w:rsidRDefault="005500BC" w:rsidP="00AB1B23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Eligibility to participate: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13715">
        <w:rPr>
          <w:rFonts w:ascii="Times New Roman" w:hAnsi="Times New Roman" w:cs="Times New Roman"/>
          <w:sz w:val="24"/>
          <w:szCs w:val="24"/>
        </w:rPr>
        <w:t xml:space="preserve">LSE QSEs representing </w:t>
      </w:r>
      <w:r w:rsidR="00261332" w:rsidRPr="005500BC">
        <w:rPr>
          <w:rFonts w:ascii="Times New Roman" w:hAnsi="Times New Roman" w:cs="Times New Roman"/>
          <w:bCs/>
          <w:sz w:val="24"/>
          <w:szCs w:val="24"/>
        </w:rPr>
        <w:t>Load Resources capable of following 5-minute SCED base point instructions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5500BC" w:rsidRPr="005500BC" w:rsidRDefault="005500BC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 w:rsidRPr="005500BC">
        <w:rPr>
          <w:rFonts w:ascii="Times New Roman" w:hAnsi="Times New Roman" w:cs="Times New Roman"/>
          <w:sz w:val="24"/>
          <w:szCs w:val="24"/>
        </w:rPr>
        <w:t>Existing or new single-site LRs</w:t>
      </w:r>
    </w:p>
    <w:p w:rsidR="005500BC" w:rsidRDefault="00261332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 w:rsidRPr="005500BC">
        <w:rPr>
          <w:rFonts w:ascii="Times New Roman" w:hAnsi="Times New Roman" w:cs="Times New Roman"/>
          <w:sz w:val="24"/>
          <w:szCs w:val="24"/>
        </w:rPr>
        <w:t xml:space="preserve">Aggregated Load Resources (ALRs) composed of multiple </w:t>
      </w:r>
      <w:r w:rsidR="00E812AA">
        <w:rPr>
          <w:rFonts w:ascii="Times New Roman" w:hAnsi="Times New Roman" w:cs="Times New Roman"/>
          <w:sz w:val="24"/>
          <w:szCs w:val="24"/>
        </w:rPr>
        <w:t>sites</w:t>
      </w:r>
      <w:r w:rsidRPr="005500BC">
        <w:rPr>
          <w:rFonts w:ascii="Times New Roman" w:hAnsi="Times New Roman" w:cs="Times New Roman"/>
          <w:sz w:val="24"/>
          <w:szCs w:val="24"/>
        </w:rPr>
        <w:t xml:space="preserve"> within an ERCOT Load Zone</w:t>
      </w:r>
    </w:p>
    <w:p w:rsidR="00144B84" w:rsidRPr="00144B84" w:rsidRDefault="00144B84" w:rsidP="00AB1B23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not support direct participation by third-party DR QSEs</w:t>
      </w:r>
    </w:p>
    <w:p w:rsidR="001C68ED" w:rsidRPr="009B4BBB" w:rsidRDefault="00261332" w:rsidP="00AB1B23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bCs/>
          <w:sz w:val="24"/>
          <w:szCs w:val="24"/>
        </w:rPr>
        <w:t>Will not support DR with temporal constraints or block energy offers</w:t>
      </w:r>
    </w:p>
    <w:p w:rsidR="003114A7" w:rsidRDefault="003114A7" w:rsidP="001E2142">
      <w:pPr>
        <w:numPr>
          <w:ilvl w:val="0"/>
          <w:numId w:val="1"/>
        </w:numPr>
        <w:tabs>
          <w:tab w:val="clear" w:pos="720"/>
        </w:tabs>
        <w:spacing w:after="12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Registration/qualification similar to current CLR, except without requirement to provide primary frequency response</w:t>
      </w:r>
    </w:p>
    <w:p w:rsidR="00E812AA" w:rsidRPr="005500BC" w:rsidRDefault="00E812AA" w:rsidP="00E812AA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QSE-ERCOT interface will need to be developed to maintain ALR populations</w:t>
      </w:r>
    </w:p>
    <w:p w:rsidR="00AB1B23" w:rsidRPr="004C178A" w:rsidRDefault="00AB1B23" w:rsidP="004C178A">
      <w:pPr>
        <w:numPr>
          <w:ilvl w:val="0"/>
          <w:numId w:val="1"/>
        </w:numPr>
        <w:tabs>
          <w:tab w:val="clear" w:pos="720"/>
        </w:tabs>
        <w:spacing w:after="12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4C178A">
        <w:rPr>
          <w:rFonts w:ascii="Times New Roman" w:hAnsi="Times New Roman" w:cs="Times New Roman"/>
          <w:sz w:val="24"/>
          <w:szCs w:val="24"/>
        </w:rPr>
        <w:t xml:space="preserve">LRs </w:t>
      </w:r>
      <w:r w:rsidR="004C178A" w:rsidRPr="004C178A">
        <w:rPr>
          <w:rFonts w:ascii="Times New Roman" w:hAnsi="Times New Roman" w:cs="Times New Roman"/>
          <w:sz w:val="24"/>
          <w:szCs w:val="24"/>
        </w:rPr>
        <w:t xml:space="preserve">in </w:t>
      </w:r>
      <w:r w:rsidR="004C178A" w:rsidRPr="004C178A">
        <w:rPr>
          <w:rFonts w:ascii="Times New Roman" w:hAnsi="Times New Roman" w:cs="Times New Roman"/>
          <w:bCs/>
          <w:sz w:val="24"/>
          <w:szCs w:val="24"/>
        </w:rPr>
        <w:t xml:space="preserve">SCED </w:t>
      </w:r>
      <w:r w:rsidRPr="004C178A">
        <w:rPr>
          <w:rFonts w:ascii="Times New Roman" w:hAnsi="Times New Roman" w:cs="Times New Roman"/>
          <w:bCs/>
          <w:sz w:val="24"/>
          <w:szCs w:val="24"/>
        </w:rPr>
        <w:t>will submit Bids</w:t>
      </w:r>
      <w:r w:rsidRPr="004C178A">
        <w:rPr>
          <w:rFonts w:ascii="Times New Roman" w:hAnsi="Times New Roman" w:cs="Times New Roman"/>
          <w:sz w:val="24"/>
          <w:szCs w:val="24"/>
        </w:rPr>
        <w:t xml:space="preserve"> to </w:t>
      </w:r>
      <w:r w:rsidR="002131E1">
        <w:rPr>
          <w:rFonts w:ascii="Times New Roman" w:hAnsi="Times New Roman" w:cs="Times New Roman"/>
          <w:sz w:val="24"/>
          <w:szCs w:val="24"/>
        </w:rPr>
        <w:t>buy (</w:t>
      </w:r>
      <w:r w:rsidR="004C178A">
        <w:rPr>
          <w:rFonts w:ascii="Times New Roman" w:hAnsi="Times New Roman" w:cs="Times New Roman"/>
          <w:sz w:val="24"/>
          <w:szCs w:val="24"/>
        </w:rPr>
        <w:t>n</w:t>
      </w:r>
      <w:r w:rsidRPr="004C178A">
        <w:rPr>
          <w:rFonts w:ascii="Times New Roman" w:hAnsi="Times New Roman" w:cs="Times New Roman"/>
          <w:bCs/>
          <w:sz w:val="24"/>
          <w:szCs w:val="24"/>
        </w:rPr>
        <w:t>ot Offers to sell</w:t>
      </w:r>
      <w:r w:rsidR="002131E1">
        <w:rPr>
          <w:rFonts w:ascii="Times New Roman" w:hAnsi="Times New Roman" w:cs="Times New Roman"/>
          <w:bCs/>
          <w:sz w:val="24"/>
          <w:szCs w:val="24"/>
        </w:rPr>
        <w:t>)</w:t>
      </w:r>
    </w:p>
    <w:p w:rsidR="00AB1B23" w:rsidRDefault="00AB1B23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AB1B23">
        <w:rPr>
          <w:rFonts w:ascii="Times New Roman" w:hAnsi="Times New Roman" w:cs="Times New Roman"/>
          <w:bCs/>
          <w:sz w:val="24"/>
          <w:szCs w:val="24"/>
        </w:rPr>
        <w:t xml:space="preserve">Bids will reflect LR’s willingness to consume “up to” </w:t>
      </w:r>
      <w:r w:rsidR="003114A7">
        <w:rPr>
          <w:rFonts w:ascii="Times New Roman" w:hAnsi="Times New Roman" w:cs="Times New Roman"/>
          <w:bCs/>
          <w:sz w:val="24"/>
          <w:szCs w:val="24"/>
        </w:rPr>
        <w:t>a</w:t>
      </w:r>
      <w:r w:rsidRPr="00AB1B23">
        <w:rPr>
          <w:rFonts w:ascii="Times New Roman" w:hAnsi="Times New Roman" w:cs="Times New Roman"/>
          <w:bCs/>
          <w:sz w:val="24"/>
          <w:szCs w:val="24"/>
        </w:rPr>
        <w:t xml:space="preserve"> specified </w:t>
      </w:r>
      <w:r w:rsidR="00261332" w:rsidRPr="00AB1B23">
        <w:rPr>
          <w:rFonts w:ascii="Times New Roman" w:hAnsi="Times New Roman" w:cs="Times New Roman"/>
          <w:bCs/>
          <w:sz w:val="24"/>
          <w:szCs w:val="24"/>
        </w:rPr>
        <w:t>Lo</w:t>
      </w:r>
      <w:r>
        <w:rPr>
          <w:rFonts w:ascii="Times New Roman" w:hAnsi="Times New Roman" w:cs="Times New Roman"/>
          <w:bCs/>
          <w:sz w:val="24"/>
          <w:szCs w:val="24"/>
        </w:rPr>
        <w:t>ad Zone Settlement Point Price</w:t>
      </w:r>
    </w:p>
    <w:p w:rsidR="002131E1" w:rsidRPr="00AB1B23" w:rsidRDefault="002131E1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May be a curve or a MW bid at single strike price</w:t>
      </w:r>
    </w:p>
    <w:p w:rsidR="002131E1" w:rsidRDefault="002131E1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Bid will modify the SCED demand curve </w:t>
      </w:r>
      <w:r w:rsidR="004A0455">
        <w:rPr>
          <w:rFonts w:ascii="Times New Roman" w:hAnsi="Times New Roman" w:cs="Times New Roman"/>
          <w:sz w:val="24"/>
          <w:szCs w:val="24"/>
        </w:rPr>
        <w:t xml:space="preserve">and have ability to </w:t>
      </w:r>
      <w:r>
        <w:rPr>
          <w:rFonts w:ascii="Times New Roman" w:hAnsi="Times New Roman" w:cs="Times New Roman"/>
          <w:sz w:val="24"/>
          <w:szCs w:val="24"/>
        </w:rPr>
        <w:t>set price</w:t>
      </w:r>
    </w:p>
    <w:p w:rsidR="0043429C" w:rsidRPr="002131E1" w:rsidRDefault="0043429C" w:rsidP="0043429C">
      <w:pPr>
        <w:numPr>
          <w:ilvl w:val="2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correctly model demand, SCED Generation to be Dispatched (GTBD) will be adjusted to account for LR participation.  This will ensure proper price formation and prevent oscillating dispatch instructions.</w:t>
      </w:r>
    </w:p>
    <w:p w:rsidR="00AB1B23" w:rsidRDefault="00AB1B23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 w:rsidRPr="00AB1B2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Bid to buy </w:t>
      </w:r>
      <w:r w:rsidR="002131E1">
        <w:rPr>
          <w:rFonts w:ascii="Times New Roman" w:hAnsi="Times New Roman" w:cs="Times New Roman"/>
          <w:bCs/>
          <w:sz w:val="24"/>
          <w:szCs w:val="24"/>
        </w:rPr>
        <w:t xml:space="preserve">creates </w:t>
      </w:r>
      <w:r>
        <w:rPr>
          <w:rFonts w:ascii="Times New Roman" w:hAnsi="Times New Roman" w:cs="Times New Roman"/>
          <w:bCs/>
          <w:sz w:val="24"/>
          <w:szCs w:val="24"/>
        </w:rPr>
        <w:t xml:space="preserve">settlement outcomes </w:t>
      </w:r>
      <w:r w:rsidRPr="00AB1B23">
        <w:rPr>
          <w:rFonts w:ascii="Times New Roman" w:hAnsi="Times New Roman" w:cs="Times New Roman"/>
          <w:bCs/>
          <w:sz w:val="24"/>
          <w:szCs w:val="24"/>
        </w:rPr>
        <w:t xml:space="preserve">equivalent </w:t>
      </w:r>
      <w:r>
        <w:rPr>
          <w:rFonts w:ascii="Times New Roman" w:hAnsi="Times New Roman" w:cs="Times New Roman"/>
          <w:bCs/>
          <w:sz w:val="24"/>
          <w:szCs w:val="24"/>
        </w:rPr>
        <w:t>to</w:t>
      </w:r>
      <w:r w:rsidRPr="00AB1B23">
        <w:rPr>
          <w:rFonts w:ascii="Times New Roman" w:hAnsi="Times New Roman" w:cs="Times New Roman"/>
          <w:bCs/>
          <w:sz w:val="24"/>
          <w:szCs w:val="24"/>
        </w:rPr>
        <w:t xml:space="preserve"> the “volumetric flow” LMP minus G methodology </w:t>
      </w:r>
      <w:r w:rsidRPr="00AB1B23">
        <w:rPr>
          <w:rFonts w:ascii="Times New Roman" w:hAnsi="Times New Roman" w:cs="Times New Roman"/>
          <w:sz w:val="24"/>
          <w:szCs w:val="24"/>
        </w:rPr>
        <w:t>endorsed by TAC</w:t>
      </w:r>
      <w:r w:rsidR="002131E1">
        <w:rPr>
          <w:rFonts w:ascii="Times New Roman" w:hAnsi="Times New Roman" w:cs="Times New Roman"/>
          <w:sz w:val="24"/>
          <w:szCs w:val="24"/>
        </w:rPr>
        <w:t xml:space="preserve">, but </w:t>
      </w:r>
      <w:r w:rsidR="002131E1">
        <w:rPr>
          <w:rFonts w:ascii="Times New Roman" w:hAnsi="Times New Roman" w:cs="Times New Roman"/>
          <w:bCs/>
          <w:sz w:val="24"/>
          <w:szCs w:val="24"/>
        </w:rPr>
        <w:t>avoids the need for ERCOT to “send back” the DR value to the LSE</w:t>
      </w:r>
    </w:p>
    <w:p w:rsidR="00AB1B23" w:rsidRDefault="002131E1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SCED will honor LR ramp rates as defined in Registration</w:t>
      </w:r>
    </w:p>
    <w:p w:rsidR="00504D1E" w:rsidRDefault="00504D1E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</w:t>
      </w:r>
      <w:r w:rsidR="00BF0671">
        <w:rPr>
          <w:rFonts w:ascii="Times New Roman" w:hAnsi="Times New Roman" w:cs="Times New Roman"/>
          <w:sz w:val="24"/>
          <w:szCs w:val="24"/>
        </w:rPr>
        <w:t xml:space="preserve">LR’s </w:t>
      </w:r>
      <w:r>
        <w:rPr>
          <w:rFonts w:ascii="Times New Roman" w:hAnsi="Times New Roman" w:cs="Times New Roman"/>
          <w:sz w:val="24"/>
          <w:szCs w:val="24"/>
        </w:rPr>
        <w:t xml:space="preserve">bid to buy is </w:t>
      </w:r>
      <w:r w:rsidR="00AD66AB">
        <w:rPr>
          <w:rFonts w:ascii="Times New Roman" w:hAnsi="Times New Roman" w:cs="Times New Roman"/>
          <w:sz w:val="24"/>
          <w:szCs w:val="24"/>
        </w:rPr>
        <w:t>greater</w:t>
      </w:r>
      <w:r w:rsidR="00BF0671">
        <w:rPr>
          <w:rFonts w:ascii="Times New Roman" w:hAnsi="Times New Roman" w:cs="Times New Roman"/>
          <w:sz w:val="24"/>
          <w:szCs w:val="24"/>
        </w:rPr>
        <w:t xml:space="preserve"> than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AD66AB">
        <w:rPr>
          <w:rFonts w:ascii="Times New Roman" w:hAnsi="Times New Roman" w:cs="Times New Roman"/>
          <w:sz w:val="24"/>
          <w:szCs w:val="24"/>
        </w:rPr>
        <w:t xml:space="preserve">five-minute Load Zone </w:t>
      </w:r>
      <w:r w:rsidR="00BF0671">
        <w:rPr>
          <w:rFonts w:ascii="Times New Roman" w:hAnsi="Times New Roman" w:cs="Times New Roman"/>
          <w:sz w:val="24"/>
          <w:szCs w:val="24"/>
        </w:rPr>
        <w:t xml:space="preserve">LMP, the LR will be </w:t>
      </w:r>
      <w:r w:rsidR="009F4903">
        <w:rPr>
          <w:rFonts w:ascii="Times New Roman" w:hAnsi="Times New Roman" w:cs="Times New Roman"/>
          <w:sz w:val="24"/>
          <w:szCs w:val="24"/>
        </w:rPr>
        <w:t>dispatched by SCED</w:t>
      </w:r>
      <w:r w:rsidR="00BF0671">
        <w:rPr>
          <w:rFonts w:ascii="Times New Roman" w:hAnsi="Times New Roman" w:cs="Times New Roman"/>
          <w:sz w:val="24"/>
          <w:szCs w:val="24"/>
        </w:rPr>
        <w:t xml:space="preserve"> to </w:t>
      </w:r>
      <w:r w:rsidR="009F4903">
        <w:rPr>
          <w:rFonts w:ascii="Times New Roman" w:hAnsi="Times New Roman" w:cs="Times New Roman"/>
          <w:sz w:val="24"/>
          <w:szCs w:val="24"/>
        </w:rPr>
        <w:t>consume</w:t>
      </w:r>
      <w:r w:rsidR="00BF0671">
        <w:rPr>
          <w:rFonts w:ascii="Times New Roman" w:hAnsi="Times New Roman" w:cs="Times New Roman"/>
          <w:sz w:val="24"/>
          <w:szCs w:val="24"/>
        </w:rPr>
        <w:t xml:space="preserve"> at its </w:t>
      </w:r>
      <w:r w:rsidR="009F4903">
        <w:rPr>
          <w:rFonts w:ascii="Times New Roman" w:hAnsi="Times New Roman" w:cs="Times New Roman"/>
          <w:sz w:val="24"/>
          <w:szCs w:val="24"/>
        </w:rPr>
        <w:t>telemetered Maximum</w:t>
      </w:r>
      <w:r w:rsidR="00BF0671">
        <w:rPr>
          <w:rFonts w:ascii="Times New Roman" w:hAnsi="Times New Roman" w:cs="Times New Roman"/>
          <w:sz w:val="24"/>
          <w:szCs w:val="24"/>
        </w:rPr>
        <w:t xml:space="preserve"> Power Consumption</w:t>
      </w:r>
      <w:r w:rsidR="009F4903">
        <w:rPr>
          <w:rFonts w:ascii="Times New Roman" w:hAnsi="Times New Roman" w:cs="Times New Roman"/>
          <w:sz w:val="24"/>
          <w:szCs w:val="24"/>
        </w:rPr>
        <w:t>, subject to its telemetered ramp rate limitations</w:t>
      </w:r>
      <w:r w:rsidR="00BF0671">
        <w:rPr>
          <w:rFonts w:ascii="Times New Roman" w:hAnsi="Times New Roman" w:cs="Times New Roman"/>
          <w:sz w:val="24"/>
          <w:szCs w:val="24"/>
        </w:rPr>
        <w:t>.</w:t>
      </w:r>
    </w:p>
    <w:p w:rsidR="00BF0671" w:rsidRDefault="00BF0671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LR’s bid to buy is </w:t>
      </w:r>
      <w:r w:rsidR="00AD66AB">
        <w:rPr>
          <w:rFonts w:ascii="Times New Roman" w:hAnsi="Times New Roman" w:cs="Times New Roman"/>
          <w:sz w:val="24"/>
          <w:szCs w:val="24"/>
        </w:rPr>
        <w:t>lower</w:t>
      </w:r>
      <w:r>
        <w:rPr>
          <w:rFonts w:ascii="Times New Roman" w:hAnsi="Times New Roman" w:cs="Times New Roman"/>
          <w:sz w:val="24"/>
          <w:szCs w:val="24"/>
        </w:rPr>
        <w:t xml:space="preserve"> than the </w:t>
      </w:r>
      <w:r w:rsidR="00AD66AB">
        <w:rPr>
          <w:rFonts w:ascii="Times New Roman" w:hAnsi="Times New Roman" w:cs="Times New Roman"/>
          <w:sz w:val="24"/>
          <w:szCs w:val="24"/>
        </w:rPr>
        <w:t>five-minute Load Zone LMP</w:t>
      </w:r>
      <w:r>
        <w:rPr>
          <w:rFonts w:ascii="Times New Roman" w:hAnsi="Times New Roman" w:cs="Times New Roman"/>
          <w:sz w:val="24"/>
          <w:szCs w:val="24"/>
        </w:rPr>
        <w:t xml:space="preserve">, the LR will be </w:t>
      </w:r>
      <w:r w:rsidR="00014E87">
        <w:rPr>
          <w:rFonts w:ascii="Times New Roman" w:hAnsi="Times New Roman" w:cs="Times New Roman"/>
          <w:sz w:val="24"/>
          <w:szCs w:val="24"/>
        </w:rPr>
        <w:t xml:space="preserve">dispatched by SCED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9F4903">
        <w:rPr>
          <w:rFonts w:ascii="Times New Roman" w:hAnsi="Times New Roman" w:cs="Times New Roman"/>
          <w:sz w:val="24"/>
          <w:szCs w:val="24"/>
        </w:rPr>
        <w:t xml:space="preserve">consume at its telemetered Low Power Consumption, </w:t>
      </w:r>
      <w:r>
        <w:rPr>
          <w:rFonts w:ascii="Times New Roman" w:hAnsi="Times New Roman" w:cs="Times New Roman"/>
          <w:sz w:val="24"/>
          <w:szCs w:val="24"/>
        </w:rPr>
        <w:t xml:space="preserve">subject to its </w:t>
      </w:r>
      <w:r w:rsidR="009F4903">
        <w:rPr>
          <w:rFonts w:ascii="Times New Roman" w:hAnsi="Times New Roman" w:cs="Times New Roman"/>
          <w:sz w:val="24"/>
          <w:szCs w:val="24"/>
        </w:rPr>
        <w:t xml:space="preserve">telemetered </w:t>
      </w:r>
      <w:r>
        <w:rPr>
          <w:rFonts w:ascii="Times New Roman" w:hAnsi="Times New Roman" w:cs="Times New Roman"/>
          <w:sz w:val="24"/>
          <w:szCs w:val="24"/>
        </w:rPr>
        <w:t>ramp rate limitations.</w:t>
      </w:r>
    </w:p>
    <w:p w:rsidR="00BF0671" w:rsidRDefault="00014E87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any SCED intervals that</w:t>
      </w:r>
      <w:r w:rsidR="00BF0671">
        <w:rPr>
          <w:rFonts w:ascii="Times New Roman" w:hAnsi="Times New Roman" w:cs="Times New Roman"/>
          <w:sz w:val="24"/>
          <w:szCs w:val="24"/>
        </w:rPr>
        <w:t xml:space="preserve"> the LR’s bid to buy is equal to the </w:t>
      </w:r>
      <w:r w:rsidR="00AD66AB">
        <w:rPr>
          <w:rFonts w:ascii="Times New Roman" w:hAnsi="Times New Roman" w:cs="Times New Roman"/>
          <w:sz w:val="24"/>
          <w:szCs w:val="24"/>
        </w:rPr>
        <w:t>five-minute Load Zone LMP</w:t>
      </w:r>
      <w:r w:rsidR="00BF067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SCED may dispatch the LR in either direction (up or down) in increments as small as </w:t>
      </w:r>
      <w:r w:rsidR="009F4903">
        <w:rPr>
          <w:rFonts w:ascii="Times New Roman" w:hAnsi="Times New Roman" w:cs="Times New Roman"/>
          <w:sz w:val="24"/>
          <w:szCs w:val="24"/>
        </w:rPr>
        <w:t>0.1 MW,</w:t>
      </w:r>
      <w:r w:rsidR="005A6F33" w:rsidRPr="005A6F33">
        <w:rPr>
          <w:rFonts w:ascii="Times New Roman" w:hAnsi="Times New Roman" w:cs="Times New Roman"/>
          <w:sz w:val="24"/>
          <w:szCs w:val="24"/>
        </w:rPr>
        <w:t xml:space="preserve"> </w:t>
      </w:r>
      <w:r w:rsidR="005A6F33">
        <w:rPr>
          <w:rFonts w:ascii="Times New Roman" w:hAnsi="Times New Roman" w:cs="Times New Roman"/>
          <w:sz w:val="24"/>
          <w:szCs w:val="24"/>
        </w:rPr>
        <w:t xml:space="preserve">within the bounds of the LR’s </w:t>
      </w:r>
      <w:r w:rsidR="009F4903">
        <w:rPr>
          <w:rFonts w:ascii="Times New Roman" w:hAnsi="Times New Roman" w:cs="Times New Roman"/>
          <w:sz w:val="24"/>
          <w:szCs w:val="24"/>
        </w:rPr>
        <w:t xml:space="preserve">telemetered </w:t>
      </w:r>
      <w:r w:rsidR="005A6F33">
        <w:rPr>
          <w:rFonts w:ascii="Times New Roman" w:hAnsi="Times New Roman" w:cs="Times New Roman"/>
          <w:sz w:val="24"/>
          <w:szCs w:val="24"/>
        </w:rPr>
        <w:t>Maximum Power Consumption and Low Power Consumption</w:t>
      </w:r>
      <w:r w:rsidR="009F4903">
        <w:rPr>
          <w:rFonts w:ascii="Times New Roman" w:hAnsi="Times New Roman" w:cs="Times New Roman"/>
          <w:sz w:val="24"/>
          <w:szCs w:val="24"/>
        </w:rPr>
        <w:t>, subject to its telemetered ramp rate limitations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4903">
        <w:rPr>
          <w:rFonts w:ascii="Times New Roman" w:hAnsi="Times New Roman" w:cs="Times New Roman"/>
          <w:sz w:val="24"/>
          <w:szCs w:val="24"/>
        </w:rPr>
        <w:t xml:space="preserve">  (</w:t>
      </w:r>
      <w:r w:rsidR="00E748C3">
        <w:rPr>
          <w:rFonts w:ascii="Times New Roman" w:hAnsi="Times New Roman" w:cs="Times New Roman"/>
          <w:sz w:val="24"/>
          <w:szCs w:val="24"/>
        </w:rPr>
        <w:t>In this</w:t>
      </w:r>
      <w:r w:rsidR="009F4903">
        <w:rPr>
          <w:rFonts w:ascii="Times New Roman" w:hAnsi="Times New Roman" w:cs="Times New Roman"/>
          <w:sz w:val="24"/>
          <w:szCs w:val="24"/>
        </w:rPr>
        <w:t xml:space="preserve"> </w:t>
      </w:r>
      <w:r w:rsidR="00E748C3">
        <w:rPr>
          <w:rFonts w:ascii="Times New Roman" w:hAnsi="Times New Roman" w:cs="Times New Roman"/>
          <w:sz w:val="24"/>
          <w:szCs w:val="24"/>
        </w:rPr>
        <w:t xml:space="preserve">scenario, </w:t>
      </w:r>
      <w:r w:rsidR="009F4903">
        <w:rPr>
          <w:rFonts w:ascii="Times New Roman" w:hAnsi="Times New Roman" w:cs="Times New Roman"/>
          <w:sz w:val="24"/>
          <w:szCs w:val="24"/>
        </w:rPr>
        <w:t>the LR will set the Load Zone LMP.)</w:t>
      </w:r>
    </w:p>
    <w:p w:rsidR="003114A7" w:rsidRDefault="003114A7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LR will benefit from avoided cost of consumption and from price certainty due to ERCOT dispatch</w:t>
      </w:r>
    </w:p>
    <w:p w:rsidR="003114A7" w:rsidRDefault="003114A7" w:rsidP="00AB1B23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make-whole payments</w:t>
      </w:r>
    </w:p>
    <w:p w:rsidR="003114A7" w:rsidRDefault="003114A7" w:rsidP="00AB1B23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load ratio share uplifts to market for DR value</w:t>
      </w:r>
    </w:p>
    <w:p w:rsidR="00AB1B23" w:rsidRPr="00AB1B23" w:rsidRDefault="00AB1B23" w:rsidP="00B667DD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SCED will dispatch LRs for power balance</w:t>
      </w:r>
      <w:r w:rsidR="00FA448B">
        <w:rPr>
          <w:rFonts w:ascii="Times New Roman" w:hAnsi="Times New Roman" w:cs="Times New Roman"/>
          <w:sz w:val="24"/>
          <w:szCs w:val="24"/>
        </w:rPr>
        <w:t xml:space="preserve"> and congestion management using the applicable Load Zone Shift Factor</w:t>
      </w:r>
    </w:p>
    <w:p w:rsidR="001C68ED" w:rsidRPr="009B4BBB" w:rsidRDefault="00261332" w:rsidP="00AB1B23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bCs/>
          <w:sz w:val="24"/>
          <w:szCs w:val="24"/>
        </w:rPr>
        <w:t>Load Zone Shift Factors</w:t>
      </w:r>
      <w:r w:rsidR="00AB1B23">
        <w:rPr>
          <w:rFonts w:ascii="Times New Roman" w:hAnsi="Times New Roman" w:cs="Times New Roman"/>
          <w:bCs/>
          <w:sz w:val="24"/>
          <w:szCs w:val="24"/>
        </w:rPr>
        <w:t xml:space="preserve"> will apply </w:t>
      </w:r>
      <w:r>
        <w:rPr>
          <w:rFonts w:ascii="Times New Roman" w:hAnsi="Times New Roman" w:cs="Times New Roman"/>
          <w:bCs/>
          <w:sz w:val="24"/>
          <w:szCs w:val="24"/>
        </w:rPr>
        <w:t>to any LR within the LZ</w:t>
      </w:r>
    </w:p>
    <w:p w:rsidR="001C68ED" w:rsidRPr="009B4BBB" w:rsidRDefault="00261332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sz w:val="24"/>
          <w:szCs w:val="24"/>
        </w:rPr>
        <w:t>MW offers from single-site LRs will be limited</w:t>
      </w:r>
      <w:r w:rsidR="00FA448B">
        <w:rPr>
          <w:rFonts w:ascii="Times New Roman" w:hAnsi="Times New Roman" w:cs="Times New Roman"/>
          <w:sz w:val="24"/>
          <w:szCs w:val="24"/>
        </w:rPr>
        <w:t xml:space="preserve"> to minimize</w:t>
      </w:r>
      <w:r w:rsidR="00B667DD">
        <w:rPr>
          <w:rFonts w:ascii="Times New Roman" w:hAnsi="Times New Roman" w:cs="Times New Roman"/>
          <w:sz w:val="24"/>
          <w:szCs w:val="24"/>
        </w:rPr>
        <w:t xml:space="preserve"> </w:t>
      </w:r>
      <w:r w:rsidR="00FA448B">
        <w:rPr>
          <w:rFonts w:ascii="Times New Roman" w:hAnsi="Times New Roman" w:cs="Times New Roman"/>
          <w:sz w:val="24"/>
          <w:szCs w:val="24"/>
        </w:rPr>
        <w:t>errors due to the approximation of using load zone shift factors</w:t>
      </w:r>
    </w:p>
    <w:p w:rsidR="001C68ED" w:rsidRPr="009B4BBB" w:rsidRDefault="00261332" w:rsidP="00AB1B23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bCs/>
          <w:sz w:val="24"/>
          <w:szCs w:val="24"/>
        </w:rPr>
        <w:t>Eligible LRs may also participate in Non-spin Reserves</w:t>
      </w:r>
    </w:p>
    <w:p w:rsidR="001C68ED" w:rsidRPr="009B4BBB" w:rsidRDefault="00261332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sz w:val="24"/>
          <w:szCs w:val="24"/>
        </w:rPr>
        <w:t>Cleared in DAM</w:t>
      </w:r>
    </w:p>
    <w:p w:rsidR="001C68ED" w:rsidRPr="009B4BBB" w:rsidRDefault="003114A7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dispatch in real time, energy Bids released</w:t>
      </w:r>
      <w:r w:rsidR="00261332" w:rsidRPr="009B4BBB">
        <w:rPr>
          <w:rFonts w:ascii="Times New Roman" w:hAnsi="Times New Roman" w:cs="Times New Roman"/>
          <w:sz w:val="24"/>
          <w:szCs w:val="24"/>
        </w:rPr>
        <w:t xml:space="preserve"> to SCED similar to Offline Non-spin</w:t>
      </w:r>
    </w:p>
    <w:p w:rsidR="001C68ED" w:rsidRPr="009B4BBB" w:rsidRDefault="00261332" w:rsidP="00AB1B23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bCs/>
          <w:sz w:val="24"/>
          <w:szCs w:val="24"/>
        </w:rPr>
        <w:t>Measurement &amp; Verification</w:t>
      </w:r>
      <w:r w:rsidR="003114A7">
        <w:rPr>
          <w:rFonts w:ascii="Times New Roman" w:hAnsi="Times New Roman" w:cs="Times New Roman"/>
          <w:bCs/>
          <w:sz w:val="24"/>
          <w:szCs w:val="24"/>
        </w:rPr>
        <w:t xml:space="preserve"> methodologies (2)</w:t>
      </w:r>
      <w:r w:rsidRPr="009B4BBB">
        <w:rPr>
          <w:rFonts w:ascii="Times New Roman" w:hAnsi="Times New Roman" w:cs="Times New Roman"/>
          <w:bCs/>
          <w:sz w:val="24"/>
          <w:szCs w:val="24"/>
        </w:rPr>
        <w:t>:</w:t>
      </w:r>
    </w:p>
    <w:p w:rsidR="001C68ED" w:rsidRPr="009B4BBB" w:rsidRDefault="00261332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sz w:val="24"/>
          <w:szCs w:val="24"/>
        </w:rPr>
        <w:t>Meter Before/Meter After (similar to current LR-RRS)</w:t>
      </w:r>
    </w:p>
    <w:p w:rsidR="001C68ED" w:rsidRPr="009B4BBB" w:rsidRDefault="00261332" w:rsidP="00AB1B23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 w:rsidRPr="009B4BBB">
        <w:rPr>
          <w:rFonts w:ascii="Times New Roman" w:hAnsi="Times New Roman" w:cs="Times New Roman"/>
          <w:sz w:val="24"/>
          <w:szCs w:val="24"/>
        </w:rPr>
        <w:t>Baseline (as developed in NPRR 532, pending)</w:t>
      </w:r>
    </w:p>
    <w:p w:rsidR="00E812AA" w:rsidRDefault="00E812AA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Telemetry requirements as defined in Protocols and NPRR 532</w:t>
      </w:r>
    </w:p>
    <w:p w:rsidR="00E812AA" w:rsidRDefault="00E812AA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NOIE 15-minute meter data submission to mimic process in place for ERS</w:t>
      </w:r>
    </w:p>
    <w:p w:rsidR="003114A7" w:rsidRDefault="003114A7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Compliance:</w:t>
      </w:r>
    </w:p>
    <w:p w:rsidR="003114A7" w:rsidRDefault="003114A7" w:rsidP="003114A7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 point deviation</w:t>
      </w:r>
      <w:r w:rsidR="00D611CB">
        <w:rPr>
          <w:rFonts w:ascii="Times New Roman" w:hAnsi="Times New Roman" w:cs="Times New Roman"/>
          <w:sz w:val="24"/>
          <w:szCs w:val="24"/>
        </w:rPr>
        <w:t>s calculated for under- and over-performance;</w:t>
      </w:r>
      <w:r>
        <w:rPr>
          <w:rFonts w:ascii="Times New Roman" w:hAnsi="Times New Roman" w:cs="Times New Roman"/>
          <w:sz w:val="24"/>
          <w:szCs w:val="24"/>
        </w:rPr>
        <w:t xml:space="preserve"> charges</w:t>
      </w:r>
      <w:r w:rsidR="00E13715">
        <w:rPr>
          <w:rFonts w:ascii="Times New Roman" w:hAnsi="Times New Roman" w:cs="Times New Roman"/>
          <w:sz w:val="24"/>
          <w:szCs w:val="24"/>
        </w:rPr>
        <w:t xml:space="preserve"> </w:t>
      </w:r>
      <w:r w:rsidR="00D611CB">
        <w:rPr>
          <w:rFonts w:ascii="Times New Roman" w:hAnsi="Times New Roman" w:cs="Times New Roman"/>
          <w:sz w:val="24"/>
          <w:szCs w:val="24"/>
        </w:rPr>
        <w:t>for over-performance</w:t>
      </w:r>
      <w:r w:rsidR="00E13715">
        <w:rPr>
          <w:rFonts w:ascii="Times New Roman" w:hAnsi="Times New Roman" w:cs="Times New Roman"/>
          <w:sz w:val="24"/>
          <w:szCs w:val="24"/>
        </w:rPr>
        <w:t xml:space="preserve"> added to LSE </w:t>
      </w:r>
      <w:r w:rsidR="00A34F52">
        <w:rPr>
          <w:rFonts w:ascii="Times New Roman" w:hAnsi="Times New Roman" w:cs="Times New Roman"/>
          <w:sz w:val="24"/>
          <w:szCs w:val="24"/>
        </w:rPr>
        <w:t xml:space="preserve">QSE </w:t>
      </w:r>
      <w:r w:rsidR="00E13715">
        <w:rPr>
          <w:rFonts w:ascii="Times New Roman" w:hAnsi="Times New Roman" w:cs="Times New Roman"/>
          <w:sz w:val="24"/>
          <w:szCs w:val="24"/>
        </w:rPr>
        <w:t xml:space="preserve">charges in real-time </w:t>
      </w:r>
    </w:p>
    <w:p w:rsidR="003114A7" w:rsidRPr="009B4BBB" w:rsidRDefault="00E812AA" w:rsidP="003114A7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114A7">
        <w:rPr>
          <w:rFonts w:ascii="Times New Roman" w:hAnsi="Times New Roman" w:cs="Times New Roman"/>
          <w:sz w:val="24"/>
          <w:szCs w:val="24"/>
        </w:rPr>
        <w:t xml:space="preserve">REDP scores </w:t>
      </w:r>
      <w:r w:rsidR="00A34F52">
        <w:rPr>
          <w:rFonts w:ascii="Times New Roman" w:hAnsi="Times New Roman" w:cs="Times New Roman"/>
          <w:sz w:val="24"/>
          <w:szCs w:val="24"/>
        </w:rPr>
        <w:t xml:space="preserve">(sum of base point deviations) </w:t>
      </w:r>
      <w:r w:rsidR="003114A7">
        <w:rPr>
          <w:rFonts w:ascii="Times New Roman" w:hAnsi="Times New Roman" w:cs="Times New Roman"/>
          <w:sz w:val="24"/>
          <w:szCs w:val="24"/>
        </w:rPr>
        <w:t>calculated monthly similar to GREDP</w:t>
      </w:r>
    </w:p>
    <w:p w:rsidR="00E13715" w:rsidRDefault="00E13715" w:rsidP="00E13715">
      <w:pPr>
        <w:numPr>
          <w:ilvl w:val="1"/>
          <w:numId w:val="1"/>
        </w:num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MW bids may be scaled (de-rated) based on DREDP scores and/or failure of telemetry to validate</w:t>
      </w:r>
    </w:p>
    <w:p w:rsidR="001C68ED" w:rsidRDefault="003114A7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No change to existing LR participation in RRS</w:t>
      </w:r>
    </w:p>
    <w:p w:rsidR="003114A7" w:rsidRPr="003114A7" w:rsidRDefault="003114A7" w:rsidP="003114A7">
      <w:pPr>
        <w:numPr>
          <w:ilvl w:val="0"/>
          <w:numId w:val="1"/>
        </w:numPr>
        <w:spacing w:after="12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No change to existing ERS</w:t>
      </w:r>
    </w:p>
    <w:p w:rsidR="0005315B" w:rsidRPr="009B4BBB" w:rsidRDefault="0005315B" w:rsidP="009A66DB">
      <w:pPr>
        <w:rPr>
          <w:rFonts w:ascii="Times New Roman" w:hAnsi="Times New Roman" w:cs="Times New Roman"/>
          <w:sz w:val="24"/>
          <w:szCs w:val="24"/>
        </w:rPr>
      </w:pPr>
    </w:p>
    <w:sectPr w:rsidR="0005315B" w:rsidRPr="009B4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33F61"/>
    <w:multiLevelType w:val="hybridMultilevel"/>
    <w:tmpl w:val="802E00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18984E">
      <w:start w:val="75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A87B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D200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1E1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EC9C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E42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5E6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825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F64212F"/>
    <w:multiLevelType w:val="hybridMultilevel"/>
    <w:tmpl w:val="87F2DED8"/>
    <w:lvl w:ilvl="0" w:tplc="8340C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34F344">
      <w:start w:val="6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E06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7E1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C0B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B2C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EC0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9A2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7A6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BB"/>
    <w:rsid w:val="00014E87"/>
    <w:rsid w:val="0005315B"/>
    <w:rsid w:val="00144B84"/>
    <w:rsid w:val="00155C1A"/>
    <w:rsid w:val="00182EAB"/>
    <w:rsid w:val="001C68ED"/>
    <w:rsid w:val="001E2142"/>
    <w:rsid w:val="002131E1"/>
    <w:rsid w:val="00261332"/>
    <w:rsid w:val="003114A7"/>
    <w:rsid w:val="003D1918"/>
    <w:rsid w:val="003F298E"/>
    <w:rsid w:val="0043429C"/>
    <w:rsid w:val="00466AF6"/>
    <w:rsid w:val="004A0455"/>
    <w:rsid w:val="004A78BA"/>
    <w:rsid w:val="004B6437"/>
    <w:rsid w:val="004C178A"/>
    <w:rsid w:val="0050184E"/>
    <w:rsid w:val="00504D1E"/>
    <w:rsid w:val="005500BC"/>
    <w:rsid w:val="005828AD"/>
    <w:rsid w:val="005A6F33"/>
    <w:rsid w:val="005C04E7"/>
    <w:rsid w:val="006025F0"/>
    <w:rsid w:val="007462F7"/>
    <w:rsid w:val="00812F31"/>
    <w:rsid w:val="008E6B0E"/>
    <w:rsid w:val="0099758E"/>
    <w:rsid w:val="009A66DB"/>
    <w:rsid w:val="009B4BBB"/>
    <w:rsid w:val="009B5FB3"/>
    <w:rsid w:val="009F4903"/>
    <w:rsid w:val="00A30C10"/>
    <w:rsid w:val="00A34F52"/>
    <w:rsid w:val="00AB1B23"/>
    <w:rsid w:val="00AD11A2"/>
    <w:rsid w:val="00AD66AB"/>
    <w:rsid w:val="00B667DD"/>
    <w:rsid w:val="00BF0671"/>
    <w:rsid w:val="00D05A62"/>
    <w:rsid w:val="00D611CB"/>
    <w:rsid w:val="00D87DD6"/>
    <w:rsid w:val="00DF3CFA"/>
    <w:rsid w:val="00E13715"/>
    <w:rsid w:val="00E748C3"/>
    <w:rsid w:val="00E812AA"/>
    <w:rsid w:val="00F11468"/>
    <w:rsid w:val="00F81F4A"/>
    <w:rsid w:val="00FA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4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87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D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D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D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DD6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5315B"/>
    <w:rPr>
      <w:color w:val="808080"/>
    </w:rPr>
  </w:style>
  <w:style w:type="paragraph" w:styleId="Title">
    <w:name w:val="Title"/>
    <w:basedOn w:val="Normal"/>
    <w:next w:val="Normal"/>
    <w:link w:val="TitleChar"/>
    <w:qFormat/>
    <w:rsid w:val="005A6F33"/>
    <w:pPr>
      <w:widowControl w:val="0"/>
      <w:spacing w:before="120" w:after="0" w:line="360" w:lineRule="auto"/>
      <w:jc w:val="center"/>
    </w:pPr>
    <w:rPr>
      <w:rFonts w:ascii="Arial" w:eastAsia="Times New Roman" w:hAnsi="Arial" w:cs="Arial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5A6F33"/>
    <w:rPr>
      <w:rFonts w:ascii="Arial" w:eastAsia="Times New Roman" w:hAnsi="Arial" w:cs="Arial"/>
      <w:b/>
      <w:sz w:val="36"/>
      <w:szCs w:val="20"/>
    </w:rPr>
  </w:style>
  <w:style w:type="paragraph" w:customStyle="1" w:styleId="Tabletext">
    <w:name w:val="Tabletext"/>
    <w:basedOn w:val="Normal"/>
    <w:rsid w:val="005A6F33"/>
    <w:pPr>
      <w:keepLines/>
      <w:widowControl w:val="0"/>
      <w:spacing w:before="120" w:after="120" w:line="240" w:lineRule="atLeast"/>
      <w:jc w:val="both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4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87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D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D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D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DD6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5315B"/>
    <w:rPr>
      <w:color w:val="808080"/>
    </w:rPr>
  </w:style>
  <w:style w:type="paragraph" w:styleId="Title">
    <w:name w:val="Title"/>
    <w:basedOn w:val="Normal"/>
    <w:next w:val="Normal"/>
    <w:link w:val="TitleChar"/>
    <w:qFormat/>
    <w:rsid w:val="005A6F33"/>
    <w:pPr>
      <w:widowControl w:val="0"/>
      <w:spacing w:before="120" w:after="0" w:line="360" w:lineRule="auto"/>
      <w:jc w:val="center"/>
    </w:pPr>
    <w:rPr>
      <w:rFonts w:ascii="Arial" w:eastAsia="Times New Roman" w:hAnsi="Arial" w:cs="Arial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5A6F33"/>
    <w:rPr>
      <w:rFonts w:ascii="Arial" w:eastAsia="Times New Roman" w:hAnsi="Arial" w:cs="Arial"/>
      <w:b/>
      <w:sz w:val="36"/>
      <w:szCs w:val="20"/>
    </w:rPr>
  </w:style>
  <w:style w:type="paragraph" w:customStyle="1" w:styleId="Tabletext">
    <w:name w:val="Tabletext"/>
    <w:basedOn w:val="Normal"/>
    <w:rsid w:val="005A6F33"/>
    <w:pPr>
      <w:keepLines/>
      <w:widowControl w:val="0"/>
      <w:spacing w:before="120" w:after="120" w:line="240" w:lineRule="atLeast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4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8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36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71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9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10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60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53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25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6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0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0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19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07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14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11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26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FA9B3-105A-4604-BE16-7D27E0D2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Wattles</dc:creator>
  <cp:lastModifiedBy>P Wattles</cp:lastModifiedBy>
  <cp:revision>3</cp:revision>
  <dcterms:created xsi:type="dcterms:W3CDTF">2013-05-28T14:29:00Z</dcterms:created>
  <dcterms:modified xsi:type="dcterms:W3CDTF">2013-05-28T14:52:00Z</dcterms:modified>
</cp:coreProperties>
</file>