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C44" w:rsidRPr="00FD1F3D" w:rsidRDefault="00604C44" w:rsidP="00604C44">
      <w:pPr>
        <w:jc w:val="center"/>
        <w:rPr>
          <w:rFonts w:cs="Arial"/>
          <w:b/>
          <w:bCs/>
          <w:sz w:val="48"/>
          <w:szCs w:val="48"/>
        </w:rPr>
      </w:pPr>
      <w:r w:rsidRPr="00FD1F3D">
        <w:rPr>
          <w:rFonts w:cs="Arial"/>
          <w:b/>
          <w:bCs/>
          <w:sz w:val="48"/>
          <w:szCs w:val="48"/>
        </w:rPr>
        <w:t>B</w:t>
      </w:r>
      <w:r w:rsidRPr="00FD1F3D">
        <w:rPr>
          <w:rFonts w:cs="Arial"/>
          <w:bCs/>
          <w:sz w:val="48"/>
          <w:szCs w:val="48"/>
        </w:rPr>
        <w:t>lack</w:t>
      </w:r>
      <w:r w:rsidRPr="00FD1F3D">
        <w:rPr>
          <w:rFonts w:cs="Arial"/>
          <w:b/>
          <w:bCs/>
          <w:sz w:val="48"/>
          <w:szCs w:val="48"/>
        </w:rPr>
        <w:t xml:space="preserve"> S</w:t>
      </w:r>
      <w:r w:rsidRPr="00FD1F3D">
        <w:rPr>
          <w:rFonts w:cs="Arial"/>
          <w:bCs/>
          <w:sz w:val="48"/>
          <w:szCs w:val="48"/>
        </w:rPr>
        <w:t>tart</w:t>
      </w:r>
      <w:r w:rsidRPr="00FD1F3D">
        <w:rPr>
          <w:rFonts w:cs="Arial"/>
          <w:b/>
          <w:bCs/>
          <w:sz w:val="48"/>
          <w:szCs w:val="48"/>
        </w:rPr>
        <w:t xml:space="preserve"> W</w:t>
      </w:r>
      <w:r w:rsidRPr="00FD1F3D">
        <w:rPr>
          <w:rFonts w:cs="Arial"/>
          <w:bCs/>
          <w:sz w:val="48"/>
          <w:szCs w:val="48"/>
        </w:rPr>
        <w:t>orking</w:t>
      </w:r>
      <w:r w:rsidRPr="00FD1F3D">
        <w:rPr>
          <w:rFonts w:cs="Arial"/>
          <w:b/>
          <w:bCs/>
          <w:sz w:val="48"/>
          <w:szCs w:val="48"/>
        </w:rPr>
        <w:t xml:space="preserve"> G</w:t>
      </w:r>
      <w:r w:rsidRPr="00FD1F3D">
        <w:rPr>
          <w:rFonts w:cs="Arial"/>
          <w:bCs/>
          <w:sz w:val="48"/>
          <w:szCs w:val="48"/>
        </w:rPr>
        <w:t>roup</w:t>
      </w:r>
    </w:p>
    <w:p w:rsidR="00604C44" w:rsidRPr="00FD1F3D" w:rsidRDefault="00604C44" w:rsidP="00604C44">
      <w:pPr>
        <w:jc w:val="center"/>
        <w:rPr>
          <w:rFonts w:cs="Arial"/>
          <w:b/>
          <w:bCs/>
          <w:sz w:val="48"/>
          <w:szCs w:val="48"/>
        </w:rPr>
      </w:pPr>
      <w:r w:rsidRPr="00FD1F3D">
        <w:rPr>
          <w:rFonts w:cs="Arial"/>
          <w:b/>
          <w:bCs/>
          <w:sz w:val="48"/>
          <w:szCs w:val="48"/>
        </w:rPr>
        <w:t>Report to ROS</w:t>
      </w:r>
    </w:p>
    <w:p w:rsidR="00604C44" w:rsidRPr="00D82025" w:rsidRDefault="00220E09" w:rsidP="00604C44">
      <w:pPr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APRIL 11</w:t>
      </w:r>
      <w:r w:rsidR="00604C44" w:rsidRPr="00D82025">
        <w:rPr>
          <w:rFonts w:cs="Arial"/>
          <w:b/>
          <w:bCs/>
          <w:sz w:val="32"/>
          <w:szCs w:val="32"/>
        </w:rPr>
        <w:t>, 2013 Meeting</w:t>
      </w:r>
    </w:p>
    <w:p w:rsidR="00D54025" w:rsidRPr="00D54025" w:rsidRDefault="00D54025" w:rsidP="00604C44">
      <w:pPr>
        <w:rPr>
          <w:rFonts w:cs="Arial"/>
          <w:b/>
          <w:bCs/>
          <w:sz w:val="4"/>
          <w:szCs w:val="4"/>
        </w:rPr>
      </w:pPr>
    </w:p>
    <w:p w:rsidR="00604C44" w:rsidRPr="00D82025" w:rsidRDefault="0015019E" w:rsidP="00604C44">
      <w:pPr>
        <w:rPr>
          <w:rFonts w:cs="Arial"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Primary Topic</w:t>
      </w:r>
      <w:r w:rsidR="00604C44" w:rsidRPr="00D82025">
        <w:rPr>
          <w:rFonts w:cs="Arial"/>
          <w:b/>
          <w:bCs/>
          <w:sz w:val="24"/>
          <w:szCs w:val="24"/>
        </w:rPr>
        <w:t>:</w:t>
      </w:r>
      <w:r w:rsidR="00604C44" w:rsidRPr="00D82025">
        <w:rPr>
          <w:rFonts w:cs="Arial"/>
          <w:bCs/>
          <w:sz w:val="24"/>
          <w:szCs w:val="24"/>
        </w:rPr>
        <w:t xml:space="preserve">  New NERC </w:t>
      </w:r>
      <w:r w:rsidR="00D82025">
        <w:rPr>
          <w:rFonts w:cs="Arial"/>
          <w:bCs/>
          <w:sz w:val="24"/>
          <w:szCs w:val="24"/>
        </w:rPr>
        <w:t>s</w:t>
      </w:r>
      <w:r w:rsidR="00604C44" w:rsidRPr="00D82025">
        <w:rPr>
          <w:rFonts w:cs="Arial"/>
          <w:bCs/>
          <w:sz w:val="24"/>
          <w:szCs w:val="24"/>
        </w:rPr>
        <w:t>tandard affects Black Start in ERCOT.</w:t>
      </w:r>
    </w:p>
    <w:p w:rsidR="00604C44" w:rsidRPr="00D82025" w:rsidRDefault="00C10C50" w:rsidP="00604C44">
      <w:pPr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NERC EOP-005-2 becomes affective in the ERCOT region in July of 2013.  </w:t>
      </w:r>
      <w:r w:rsidR="00604C44" w:rsidRPr="00D82025">
        <w:rPr>
          <w:rFonts w:cs="Arial"/>
          <w:bCs/>
          <w:sz w:val="24"/>
          <w:szCs w:val="24"/>
        </w:rPr>
        <w:t>BSWG is reviewing EOP-005, Requirement 6</w:t>
      </w:r>
      <w:r w:rsidR="00604C44" w:rsidRPr="00D82025">
        <w:rPr>
          <w:rFonts w:cs="Arial"/>
          <w:bCs/>
          <w:i/>
          <w:sz w:val="24"/>
          <w:szCs w:val="24"/>
        </w:rPr>
        <w:t>,</w:t>
      </w:r>
      <w:r w:rsidR="00D82025" w:rsidRPr="00D82025">
        <w:rPr>
          <w:rFonts w:cs="Arial"/>
          <w:bCs/>
          <w:sz w:val="24"/>
          <w:szCs w:val="24"/>
        </w:rPr>
        <w:t xml:space="preserve"> and how it affects</w:t>
      </w:r>
      <w:r w:rsidR="00604C44" w:rsidRPr="00D82025">
        <w:rPr>
          <w:rFonts w:cs="Arial"/>
          <w:bCs/>
          <w:sz w:val="24"/>
          <w:szCs w:val="24"/>
        </w:rPr>
        <w:t xml:space="preserve"> T</w:t>
      </w:r>
      <w:r w:rsidR="004249A0">
        <w:rPr>
          <w:rFonts w:cs="Arial"/>
          <w:bCs/>
          <w:sz w:val="24"/>
          <w:szCs w:val="24"/>
        </w:rPr>
        <w:t>ransmission Operator’s</w:t>
      </w:r>
      <w:r w:rsidR="00604C44" w:rsidRPr="00D82025">
        <w:rPr>
          <w:rFonts w:cs="Arial"/>
          <w:bCs/>
          <w:sz w:val="24"/>
          <w:szCs w:val="24"/>
        </w:rPr>
        <w:t xml:space="preserve"> and ERCOT.</w:t>
      </w:r>
    </w:p>
    <w:p w:rsidR="00604C44" w:rsidRPr="00D82025" w:rsidRDefault="00604C44" w:rsidP="00604C44">
      <w:pPr>
        <w:rPr>
          <w:rFonts w:cs="Arial"/>
          <w:bCs/>
          <w:sz w:val="24"/>
          <w:szCs w:val="24"/>
        </w:rPr>
      </w:pPr>
      <w:r w:rsidRPr="00D82025">
        <w:rPr>
          <w:rFonts w:cs="Arial"/>
          <w:bCs/>
          <w:sz w:val="24"/>
          <w:szCs w:val="24"/>
        </w:rPr>
        <w:t>EOP-005</w:t>
      </w:r>
      <w:r w:rsidR="00525720">
        <w:rPr>
          <w:rFonts w:cs="Arial"/>
          <w:bCs/>
          <w:sz w:val="24"/>
          <w:szCs w:val="24"/>
        </w:rPr>
        <w:t>-2</w:t>
      </w:r>
      <w:r w:rsidRPr="00D82025">
        <w:rPr>
          <w:rFonts w:cs="Arial"/>
          <w:bCs/>
          <w:sz w:val="24"/>
          <w:szCs w:val="24"/>
        </w:rPr>
        <w:t xml:space="preserve"> R6 states: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A26A1E" w:rsidRPr="00D82025" w:rsidTr="00A26A1E">
        <w:tc>
          <w:tcPr>
            <w:tcW w:w="9576" w:type="dxa"/>
          </w:tcPr>
          <w:p w:rsidR="00D82025" w:rsidRPr="00D82025" w:rsidRDefault="00D82025" w:rsidP="00A26A1E">
            <w:pPr>
              <w:spacing w:after="200" w:line="276" w:lineRule="auto"/>
              <w:rPr>
                <w:rFonts w:cs="Arial"/>
                <w:bCs/>
                <w:sz w:val="4"/>
                <w:szCs w:val="4"/>
              </w:rPr>
            </w:pPr>
          </w:p>
          <w:p w:rsidR="00A26A1E" w:rsidRPr="00D82025" w:rsidRDefault="00A26A1E" w:rsidP="00A26A1E">
            <w:pPr>
              <w:spacing w:after="200" w:line="276" w:lineRule="auto"/>
              <w:rPr>
                <w:rFonts w:cs="Arial"/>
                <w:sz w:val="24"/>
                <w:szCs w:val="24"/>
              </w:rPr>
            </w:pPr>
            <w:r w:rsidRPr="00D82025">
              <w:rPr>
                <w:rFonts w:cs="Arial"/>
                <w:bCs/>
                <w:sz w:val="24"/>
                <w:szCs w:val="24"/>
              </w:rPr>
              <w:t>R6. Each Transmission Operator shall verify</w:t>
            </w:r>
            <w:r w:rsidR="00FD1F3D">
              <w:rPr>
                <w:rFonts w:cs="Arial"/>
                <w:bCs/>
                <w:sz w:val="24"/>
                <w:szCs w:val="24"/>
              </w:rPr>
              <w:t xml:space="preserve"> through analysis of actual </w:t>
            </w:r>
            <w:r w:rsidRPr="00D82025">
              <w:rPr>
                <w:rFonts w:cs="Arial"/>
                <w:bCs/>
                <w:sz w:val="24"/>
                <w:szCs w:val="24"/>
              </w:rPr>
              <w:t>events, steady state and dynamic simulations, or testing that its restoration plan acco</w:t>
            </w:r>
            <w:r w:rsidR="00FD1F3D">
              <w:rPr>
                <w:rFonts w:cs="Arial"/>
                <w:bCs/>
                <w:sz w:val="24"/>
                <w:szCs w:val="24"/>
              </w:rPr>
              <w:t xml:space="preserve">mplishes its intended function.  </w:t>
            </w:r>
            <w:r w:rsidRPr="00D82025">
              <w:rPr>
                <w:rFonts w:cs="Arial"/>
                <w:bCs/>
                <w:sz w:val="24"/>
                <w:szCs w:val="24"/>
              </w:rPr>
              <w:t>This shall be completed</w:t>
            </w:r>
            <w:r w:rsidR="00FD1F3D">
              <w:rPr>
                <w:rFonts w:cs="Arial"/>
                <w:bCs/>
                <w:sz w:val="24"/>
                <w:szCs w:val="24"/>
              </w:rPr>
              <w:t xml:space="preserve"> every five years at a minimum.  </w:t>
            </w:r>
            <w:r w:rsidRPr="00D82025">
              <w:rPr>
                <w:rFonts w:cs="Arial"/>
                <w:bCs/>
                <w:sz w:val="24"/>
                <w:szCs w:val="24"/>
              </w:rPr>
              <w:t xml:space="preserve">Such analysis, simulations or testing shall verify: </w:t>
            </w:r>
            <w:r w:rsidRPr="00D82025">
              <w:rPr>
                <w:rFonts w:cs="Arial"/>
                <w:bCs/>
                <w:i/>
                <w:iCs/>
                <w:sz w:val="24"/>
                <w:szCs w:val="24"/>
              </w:rPr>
              <w:t xml:space="preserve">[Time Horizon = Long-term Planning] </w:t>
            </w:r>
          </w:p>
          <w:p w:rsidR="00A26A1E" w:rsidRPr="00D82025" w:rsidRDefault="00A26A1E" w:rsidP="00FD1F3D">
            <w:pPr>
              <w:spacing w:after="200" w:line="276" w:lineRule="auto"/>
              <w:ind w:left="720"/>
              <w:rPr>
                <w:rFonts w:cs="Arial"/>
                <w:sz w:val="24"/>
                <w:szCs w:val="24"/>
              </w:rPr>
            </w:pPr>
            <w:r w:rsidRPr="00D82025">
              <w:rPr>
                <w:rFonts w:cs="Arial"/>
                <w:bCs/>
                <w:sz w:val="24"/>
                <w:szCs w:val="24"/>
              </w:rPr>
              <w:t>R6.1.  The capability of Blackstart Resources to meet the Real and Reactive Power requirements of the Cranking Paths and the dynamic capability to supply initial Loads.</w:t>
            </w:r>
          </w:p>
          <w:p w:rsidR="00A26A1E" w:rsidRPr="00D82025" w:rsidRDefault="00A26A1E" w:rsidP="00FD1F3D">
            <w:pPr>
              <w:spacing w:after="200" w:line="276" w:lineRule="auto"/>
              <w:ind w:left="720"/>
              <w:rPr>
                <w:rFonts w:cs="Arial"/>
                <w:sz w:val="24"/>
                <w:szCs w:val="24"/>
              </w:rPr>
            </w:pPr>
            <w:r w:rsidRPr="00D82025">
              <w:rPr>
                <w:rFonts w:cs="Arial"/>
                <w:bCs/>
                <w:sz w:val="24"/>
                <w:szCs w:val="24"/>
              </w:rPr>
              <w:t>R6.2.</w:t>
            </w:r>
            <w:r w:rsidR="00C10C50" w:rsidRPr="00C10C50">
              <w:rPr>
                <w:rFonts w:cs="Arial"/>
                <w:bCs/>
                <w:sz w:val="24"/>
                <w:szCs w:val="24"/>
              </w:rPr>
              <w:t xml:space="preserve">  </w:t>
            </w:r>
            <w:r w:rsidRPr="00D82025">
              <w:rPr>
                <w:rFonts w:cs="Arial"/>
                <w:bCs/>
                <w:sz w:val="24"/>
                <w:szCs w:val="24"/>
              </w:rPr>
              <w:t>The location and magnitude of Load</w:t>
            </w:r>
            <w:r w:rsidR="00C10C50">
              <w:rPr>
                <w:rFonts w:cs="Arial"/>
                <w:bCs/>
                <w:sz w:val="24"/>
                <w:szCs w:val="24"/>
              </w:rPr>
              <w:t xml:space="preserve">s required to </w:t>
            </w:r>
            <w:r w:rsidRPr="00D82025">
              <w:rPr>
                <w:rFonts w:cs="Arial"/>
                <w:bCs/>
                <w:sz w:val="24"/>
                <w:szCs w:val="24"/>
              </w:rPr>
              <w:t>control voltages and frequency within acceptable operating limits.</w:t>
            </w:r>
          </w:p>
          <w:p w:rsidR="00A26A1E" w:rsidRPr="00D82025" w:rsidRDefault="00A26A1E" w:rsidP="00FD1F3D">
            <w:pPr>
              <w:spacing w:after="200" w:line="276" w:lineRule="auto"/>
              <w:ind w:left="720"/>
              <w:rPr>
                <w:rFonts w:cs="Arial"/>
                <w:sz w:val="24"/>
                <w:szCs w:val="24"/>
              </w:rPr>
            </w:pPr>
            <w:r w:rsidRPr="00D82025">
              <w:rPr>
                <w:rFonts w:cs="Arial"/>
                <w:bCs/>
                <w:sz w:val="24"/>
                <w:szCs w:val="24"/>
              </w:rPr>
              <w:t>R6.3</w:t>
            </w:r>
            <w:r w:rsidR="00C10C50">
              <w:rPr>
                <w:rFonts w:cs="Arial"/>
                <w:bCs/>
                <w:sz w:val="24"/>
                <w:szCs w:val="24"/>
              </w:rPr>
              <w:t>.</w:t>
            </w:r>
            <w:r w:rsidR="00C10C50" w:rsidRPr="00D82025">
              <w:rPr>
                <w:rFonts w:cs="Arial"/>
                <w:bCs/>
                <w:sz w:val="24"/>
                <w:szCs w:val="24"/>
              </w:rPr>
              <w:t xml:space="preserve">  </w:t>
            </w:r>
            <w:r w:rsidRPr="00D82025">
              <w:rPr>
                <w:rFonts w:cs="Arial"/>
                <w:bCs/>
                <w:sz w:val="24"/>
                <w:szCs w:val="24"/>
              </w:rPr>
              <w:t>The capability of generating resources required to control voltages and frequency within acceptable operating limits.</w:t>
            </w:r>
          </w:p>
        </w:tc>
      </w:tr>
    </w:tbl>
    <w:p w:rsidR="00A747D9" w:rsidRDefault="00A747D9"/>
    <w:p w:rsidR="004249A0" w:rsidRPr="004249A0" w:rsidRDefault="00533D29">
      <w:pPr>
        <w:rPr>
          <w:b/>
        </w:rPr>
      </w:pPr>
      <w:r>
        <w:rPr>
          <w:b/>
        </w:rPr>
        <w:t xml:space="preserve">Topic 1 </w:t>
      </w:r>
      <w:r w:rsidR="004249A0" w:rsidRPr="004249A0">
        <w:rPr>
          <w:b/>
        </w:rPr>
        <w:t>Resolution:</w:t>
      </w:r>
    </w:p>
    <w:p w:rsidR="00281CAE" w:rsidRDefault="00FD1F3D">
      <w:r>
        <w:t>BSWG</w:t>
      </w:r>
      <w:r w:rsidR="00525720">
        <w:t xml:space="preserve"> adopted a definition of “intended function” as seen in NERC EOP-005-2, R6.  This definition was developed to include all the intended functions of the TOP’s in the ERCOT region as related to Black Start.</w:t>
      </w:r>
    </w:p>
    <w:p w:rsidR="00CB77FB" w:rsidRDefault="00CB77FB" w:rsidP="00CB77FB">
      <w:r>
        <w:t>The intent of this definition to clarify what the “intended function” is for the authors of Black Start Plans in the ERCOT region as well as preparing NERC audit evidence.</w:t>
      </w:r>
    </w:p>
    <w:p w:rsidR="00CB77FB" w:rsidRDefault="00CB77FB" w:rsidP="00CB77FB"/>
    <w:p w:rsidR="00CB77FB" w:rsidRDefault="00CB77FB" w:rsidP="00CB77FB">
      <w:r>
        <w:lastRenderedPageBreak/>
        <w:t>The “intended function” definition will appear in the Black Start template developed by ERCOT for Black Start Plan development.  This will be an addition to the ERCOT Operating Guide.</w:t>
      </w:r>
    </w:p>
    <w:p w:rsidR="00CB77FB" w:rsidRDefault="00CB77FB" w:rsidP="00CB77FB">
      <w:r>
        <w:t>This definition will also be added to Op Guide Section 4.6 – Black Start Services.</w:t>
      </w:r>
    </w:p>
    <w:p w:rsidR="00525720" w:rsidRDefault="00525720">
      <w:r>
        <w:t>The definition adopted</w:t>
      </w:r>
      <w:r w:rsidR="00411C37">
        <w:t xml:space="preserve"> by the BSWG</w:t>
      </w:r>
      <w:r>
        <w:t xml:space="preserve"> is:</w:t>
      </w:r>
    </w:p>
    <w:p w:rsidR="00562631" w:rsidRDefault="00562631"/>
    <w:p w:rsidR="00411C37" w:rsidRPr="00411C37" w:rsidRDefault="00411C37" w:rsidP="00411C37">
      <w:r w:rsidRPr="00411C37">
        <w:t>The intended function for each ERCOT Transmission Operator restoration plan is to, as applicable</w:t>
      </w:r>
    </w:p>
    <w:p w:rsidR="00F66150" w:rsidRPr="00411C37" w:rsidRDefault="009B0A04" w:rsidP="00411C37">
      <w:pPr>
        <w:numPr>
          <w:ilvl w:val="1"/>
          <w:numId w:val="4"/>
        </w:numPr>
      </w:pPr>
      <w:r w:rsidRPr="00411C37">
        <w:t>Prepare transmission to allow Black Start Resource(s) to come online;</w:t>
      </w:r>
    </w:p>
    <w:p w:rsidR="00F66150" w:rsidRPr="00411C37" w:rsidRDefault="009B0A04" w:rsidP="00411C37">
      <w:pPr>
        <w:numPr>
          <w:ilvl w:val="1"/>
          <w:numId w:val="4"/>
        </w:numPr>
      </w:pPr>
      <w:r w:rsidRPr="00411C37">
        <w:t>Energize the Cranking Path(s), as available, to the next start Resource(s);</w:t>
      </w:r>
    </w:p>
    <w:p w:rsidR="00F66150" w:rsidRPr="00411C37" w:rsidRDefault="009B0A04" w:rsidP="00411C37">
      <w:pPr>
        <w:numPr>
          <w:ilvl w:val="1"/>
          <w:numId w:val="4"/>
        </w:numPr>
      </w:pPr>
      <w:r w:rsidRPr="00411C37">
        <w:t>Provide offsite power to additional generation and/or provide stabilizing load to control voltages and frequency within acceptable operating limits;</w:t>
      </w:r>
    </w:p>
    <w:p w:rsidR="00F66150" w:rsidRPr="00411C37" w:rsidRDefault="009B0A04" w:rsidP="00411C37">
      <w:pPr>
        <w:numPr>
          <w:ilvl w:val="1"/>
          <w:numId w:val="4"/>
        </w:numPr>
      </w:pPr>
      <w:r w:rsidRPr="00411C37">
        <w:t>Energize the Synchronization Corridor(s) to the synchronization points between Islands, as available;</w:t>
      </w:r>
    </w:p>
    <w:p w:rsidR="00F66150" w:rsidRPr="00411C37" w:rsidRDefault="009B0A04" w:rsidP="00411C37">
      <w:pPr>
        <w:numPr>
          <w:ilvl w:val="1"/>
          <w:numId w:val="4"/>
        </w:numPr>
      </w:pPr>
      <w:r w:rsidRPr="00411C37">
        <w:t>Coordinate with ERCOT on synchronizing Islands at the synchronization points; and</w:t>
      </w:r>
    </w:p>
    <w:p w:rsidR="00F66150" w:rsidRPr="00411C37" w:rsidRDefault="009B0A04" w:rsidP="00411C37">
      <w:pPr>
        <w:numPr>
          <w:ilvl w:val="1"/>
          <w:numId w:val="4"/>
        </w:numPr>
      </w:pPr>
      <w:r w:rsidRPr="00411C37">
        <w:t xml:space="preserve">Continue to follow ERCOT Reliability Coordinator directives as the restoration continues. </w:t>
      </w:r>
    </w:p>
    <w:p w:rsidR="00562631" w:rsidRDefault="00562631"/>
    <w:p w:rsidR="00411C37" w:rsidRDefault="00562631">
      <w:r>
        <w:t>BSWG is requesting a vote of the definition of “intended function” from ROS.</w:t>
      </w:r>
    </w:p>
    <w:p w:rsidR="006C503D" w:rsidRPr="00ED3F1F" w:rsidRDefault="00FD1F3D" w:rsidP="00747097">
      <w:r w:rsidRPr="00ED3F1F">
        <w:t xml:space="preserve">BSWG continues to investigate the use of the ERCOT Black Start Simulator to provide evidence </w:t>
      </w:r>
      <w:r w:rsidR="00E62D8A" w:rsidRPr="00ED3F1F">
        <w:t>for NERC EOP-005-2, R6</w:t>
      </w:r>
      <w:r w:rsidRPr="00ED3F1F">
        <w:t>.</w:t>
      </w:r>
      <w:r w:rsidR="006C503D" w:rsidRPr="00ED3F1F">
        <w:t xml:space="preserve">  Use of the ERCOT Black Start Simulator for gathering NERC evidence for individual TOP’s has challenges.  </w:t>
      </w:r>
    </w:p>
    <w:p w:rsidR="006C503D" w:rsidRPr="00ED3F1F" w:rsidRDefault="006C503D" w:rsidP="00747097">
      <w:r w:rsidRPr="00ED3F1F">
        <w:t>Challenges include:</w:t>
      </w:r>
    </w:p>
    <w:p w:rsidR="006C503D" w:rsidRPr="00ED3F1F" w:rsidRDefault="006C503D" w:rsidP="006C503D">
      <w:pPr>
        <w:pStyle w:val="ListParagraph"/>
        <w:numPr>
          <w:ilvl w:val="0"/>
          <w:numId w:val="3"/>
        </w:numPr>
      </w:pPr>
      <w:r w:rsidRPr="00ED3F1F">
        <w:t>All entities (TOPs and QSEs) must participate to conduct a valid simulation.</w:t>
      </w:r>
    </w:p>
    <w:p w:rsidR="006C503D" w:rsidRPr="00ED3F1F" w:rsidRDefault="006C503D" w:rsidP="006C503D">
      <w:pPr>
        <w:pStyle w:val="ListParagraph"/>
        <w:numPr>
          <w:ilvl w:val="0"/>
          <w:numId w:val="3"/>
        </w:numPr>
      </w:pPr>
      <w:r w:rsidRPr="00ED3F1F">
        <w:t>Determining how to capture evidence for individual TOPs from the ERCOT Black Start Simulator that can be used in a NERC audit.</w:t>
      </w:r>
    </w:p>
    <w:p w:rsidR="006C503D" w:rsidRPr="00ED3F1F" w:rsidRDefault="006C503D" w:rsidP="006C503D">
      <w:pPr>
        <w:pStyle w:val="ListParagraph"/>
        <w:numPr>
          <w:ilvl w:val="0"/>
          <w:numId w:val="3"/>
        </w:numPr>
      </w:pPr>
      <w:r w:rsidRPr="00ED3F1F">
        <w:t>Maintaining high quality System Operator training while capturing practical NERC evidence.</w:t>
      </w:r>
    </w:p>
    <w:p w:rsidR="006C503D" w:rsidRPr="00ED3F1F" w:rsidRDefault="006C503D" w:rsidP="006C503D">
      <w:pPr>
        <w:pStyle w:val="ListParagraph"/>
        <w:numPr>
          <w:ilvl w:val="0"/>
          <w:numId w:val="3"/>
        </w:numPr>
      </w:pPr>
      <w:r w:rsidRPr="00ED3F1F">
        <w:t>Costs to ERCOT and entities (TOPs and QSEs)</w:t>
      </w:r>
      <w:r w:rsidR="00FB25C3" w:rsidRPr="00ED3F1F">
        <w:t xml:space="preserve"> of additional time on the ERCOT Black Start Simulator to gather evidence for this NERC requirement.</w:t>
      </w:r>
    </w:p>
    <w:p w:rsidR="00747097" w:rsidRDefault="00E62D8A" w:rsidP="00747097">
      <w:r w:rsidRPr="00ED3F1F">
        <w:t>The responsibilities for EOP-005-2 w</w:t>
      </w:r>
      <w:r w:rsidR="00ED3F1F" w:rsidRPr="00ED3F1F">
        <w:t>ere not resolved at the</w:t>
      </w:r>
      <w:r w:rsidRPr="00ED3F1F">
        <w:t xml:space="preserve"> </w:t>
      </w:r>
      <w:r w:rsidR="00AF7307" w:rsidRPr="00ED3F1F">
        <w:t>TOP CFR</w:t>
      </w:r>
      <w:r w:rsidRPr="00ED3F1F">
        <w:t xml:space="preserve"> meeting.  </w:t>
      </w:r>
      <w:r w:rsidR="00ED3F1F" w:rsidRPr="00ED3F1F">
        <w:t>This item was been sent to TRE for an option on steady state versus dynamic simulation</w:t>
      </w:r>
      <w:r w:rsidR="00AF7307" w:rsidRPr="00ED3F1F">
        <w:t>.</w:t>
      </w:r>
      <w:r w:rsidR="00747097" w:rsidRPr="00ED3F1F">
        <w:t xml:space="preserve">  BSWG w</w:t>
      </w:r>
      <w:r w:rsidR="008740EA" w:rsidRPr="00ED3F1F">
        <w:t>ill continue to investigate the use of the ERCOT Black Start Simulator</w:t>
      </w:r>
      <w:r w:rsidR="00747097" w:rsidRPr="00ED3F1F">
        <w:t xml:space="preserve"> </w:t>
      </w:r>
      <w:r w:rsidR="008740EA" w:rsidRPr="00ED3F1F">
        <w:t>to meet EOP-005-2, R6</w:t>
      </w:r>
      <w:r w:rsidR="00747097" w:rsidRPr="00ED3F1F">
        <w:t>.</w:t>
      </w:r>
    </w:p>
    <w:p w:rsidR="00562631" w:rsidRPr="00ED3F1F" w:rsidRDefault="00562631" w:rsidP="00747097"/>
    <w:p w:rsidR="00BC0569" w:rsidRPr="0015019E" w:rsidRDefault="0015019E" w:rsidP="00BC0569">
      <w:pPr>
        <w:rPr>
          <w:b/>
        </w:rPr>
      </w:pPr>
      <w:r w:rsidRPr="0015019E">
        <w:rPr>
          <w:b/>
        </w:rPr>
        <w:lastRenderedPageBreak/>
        <w:t>Pending Topics:</w:t>
      </w:r>
    </w:p>
    <w:p w:rsidR="0015019E" w:rsidRDefault="0015019E" w:rsidP="0015019E">
      <w:pPr>
        <w:pStyle w:val="ListParagraph"/>
        <w:numPr>
          <w:ilvl w:val="0"/>
          <w:numId w:val="5"/>
        </w:numPr>
      </w:pPr>
      <w:r w:rsidRPr="0015019E">
        <w:t>Coordination with Gas Companies to provide station service</w:t>
      </w:r>
      <w:r w:rsidR="009A0425">
        <w:t xml:space="preserve"> to gas pumping facilities</w:t>
      </w:r>
      <w:r w:rsidRPr="0015019E">
        <w:t xml:space="preserve"> in the event of a Blackout.  This is necessary to restore fuel to many power plants and other critical facilities.</w:t>
      </w:r>
    </w:p>
    <w:p w:rsidR="0015019E" w:rsidRPr="0015019E" w:rsidRDefault="0015019E" w:rsidP="0015019E">
      <w:pPr>
        <w:pStyle w:val="ListParagraph"/>
        <w:numPr>
          <w:ilvl w:val="0"/>
          <w:numId w:val="5"/>
        </w:numPr>
      </w:pPr>
      <w:r>
        <w:t xml:space="preserve">Outage coordination with ERCOT of Black Start critical assets.  ERCOT is developing a method to better track outages of equipment that are critical to system restoration.  </w:t>
      </w:r>
    </w:p>
    <w:p w:rsidR="00BC0569" w:rsidRPr="00BC0569" w:rsidRDefault="00BC0569" w:rsidP="00BC0569">
      <w:pPr>
        <w:rPr>
          <w:b/>
          <w:sz w:val="16"/>
          <w:szCs w:val="16"/>
        </w:rPr>
      </w:pPr>
    </w:p>
    <w:p w:rsidR="00BC0569" w:rsidRPr="00BC0569" w:rsidRDefault="00BC0569" w:rsidP="00BC0569">
      <w:pPr>
        <w:pStyle w:val="ListParagraph"/>
        <w:ind w:left="0"/>
        <w:rPr>
          <w:b/>
          <w:sz w:val="24"/>
          <w:szCs w:val="24"/>
        </w:rPr>
      </w:pPr>
      <w:r w:rsidRPr="00BC0569">
        <w:rPr>
          <w:b/>
          <w:sz w:val="24"/>
          <w:szCs w:val="24"/>
        </w:rPr>
        <w:t xml:space="preserve">Next BSWG Meeting:  </w:t>
      </w:r>
      <w:r w:rsidR="00794251">
        <w:rPr>
          <w:b/>
          <w:sz w:val="24"/>
          <w:szCs w:val="24"/>
        </w:rPr>
        <w:t>May 14</w:t>
      </w:r>
      <w:r w:rsidRPr="00BC0569">
        <w:rPr>
          <w:b/>
          <w:sz w:val="24"/>
          <w:szCs w:val="24"/>
        </w:rPr>
        <w:t>, 2013</w:t>
      </w:r>
    </w:p>
    <w:p w:rsidR="00BC0569" w:rsidRPr="00BC0569" w:rsidRDefault="00BC0569" w:rsidP="00747097"/>
    <w:sectPr w:rsidR="00BC0569" w:rsidRPr="00BC0569" w:rsidSect="00A747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31529"/>
    <w:multiLevelType w:val="hybridMultilevel"/>
    <w:tmpl w:val="FAE60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D05DAD"/>
    <w:multiLevelType w:val="hybridMultilevel"/>
    <w:tmpl w:val="F5E04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8212E1"/>
    <w:multiLevelType w:val="hybridMultilevel"/>
    <w:tmpl w:val="05F83704"/>
    <w:lvl w:ilvl="0" w:tplc="09D21F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3CC6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7C0D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B22C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FC9A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AA88B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CEE9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ECD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F871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44467F"/>
    <w:multiLevelType w:val="hybridMultilevel"/>
    <w:tmpl w:val="57003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600EB0"/>
    <w:multiLevelType w:val="hybridMultilevel"/>
    <w:tmpl w:val="74D0B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4C44"/>
    <w:rsid w:val="000C46F0"/>
    <w:rsid w:val="001404C3"/>
    <w:rsid w:val="0015019E"/>
    <w:rsid w:val="00151F15"/>
    <w:rsid w:val="00220E09"/>
    <w:rsid w:val="0026026F"/>
    <w:rsid w:val="00273C40"/>
    <w:rsid w:val="00281CAE"/>
    <w:rsid w:val="00411C37"/>
    <w:rsid w:val="004249A0"/>
    <w:rsid w:val="0051022A"/>
    <w:rsid w:val="00525720"/>
    <w:rsid w:val="00533D29"/>
    <w:rsid w:val="00541699"/>
    <w:rsid w:val="00562631"/>
    <w:rsid w:val="00563D4A"/>
    <w:rsid w:val="00604C44"/>
    <w:rsid w:val="006C503D"/>
    <w:rsid w:val="00747097"/>
    <w:rsid w:val="00794251"/>
    <w:rsid w:val="008740EA"/>
    <w:rsid w:val="00892B78"/>
    <w:rsid w:val="009A0425"/>
    <w:rsid w:val="009B0A04"/>
    <w:rsid w:val="00A26A1E"/>
    <w:rsid w:val="00A37EE3"/>
    <w:rsid w:val="00A747D9"/>
    <w:rsid w:val="00AA6FAF"/>
    <w:rsid w:val="00AF7307"/>
    <w:rsid w:val="00B44E50"/>
    <w:rsid w:val="00BC0569"/>
    <w:rsid w:val="00C05122"/>
    <w:rsid w:val="00C05711"/>
    <w:rsid w:val="00C10C50"/>
    <w:rsid w:val="00CB77FB"/>
    <w:rsid w:val="00D54025"/>
    <w:rsid w:val="00D82025"/>
    <w:rsid w:val="00E62D8A"/>
    <w:rsid w:val="00ED3F1F"/>
    <w:rsid w:val="00F66150"/>
    <w:rsid w:val="00FB25C3"/>
    <w:rsid w:val="00FD1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7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6A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70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51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04589">
          <w:marLeft w:val="15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9654">
          <w:marLeft w:val="15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5207">
          <w:marLeft w:val="15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7711">
          <w:marLeft w:val="15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1727">
          <w:marLeft w:val="15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0901">
          <w:marLeft w:val="15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6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BE9B22-5B13-4282-90AF-9DB705A92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dpreas</dc:creator>
  <cp:lastModifiedBy>dpreas</cp:lastModifiedBy>
  <cp:revision>8</cp:revision>
  <dcterms:created xsi:type="dcterms:W3CDTF">2013-04-03T22:39:00Z</dcterms:created>
  <dcterms:modified xsi:type="dcterms:W3CDTF">2013-04-05T17:02:00Z</dcterms:modified>
</cp:coreProperties>
</file>