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553" w:rsidRPr="006B373F" w:rsidRDefault="00354553" w:rsidP="00841672">
      <w:pPr>
        <w:jc w:val="center"/>
        <w:outlineLvl w:val="0"/>
        <w:rPr>
          <w:sz w:val="28"/>
          <w:szCs w:val="28"/>
          <w:u w:val="single"/>
        </w:rPr>
      </w:pPr>
      <w:r w:rsidRPr="006B373F">
        <w:rPr>
          <w:sz w:val="28"/>
          <w:szCs w:val="28"/>
          <w:u w:val="single"/>
        </w:rPr>
        <w:t>OPSTF Report to ROS</w:t>
      </w:r>
    </w:p>
    <w:p w:rsidR="00354553" w:rsidRDefault="00354553" w:rsidP="001D64FC">
      <w:pPr>
        <w:rPr>
          <w:sz w:val="28"/>
          <w:szCs w:val="28"/>
        </w:rPr>
      </w:pPr>
      <w:r w:rsidRPr="005220FE">
        <w:rPr>
          <w:sz w:val="28"/>
          <w:szCs w:val="28"/>
        </w:rPr>
        <w:tab/>
        <w:t xml:space="preserve">The OPSTF met on </w:t>
      </w:r>
      <w:r>
        <w:rPr>
          <w:sz w:val="28"/>
          <w:szCs w:val="28"/>
        </w:rPr>
        <w:t>Tuesday</w:t>
      </w:r>
      <w:r w:rsidRPr="005220FE">
        <w:rPr>
          <w:sz w:val="28"/>
          <w:szCs w:val="28"/>
        </w:rPr>
        <w:t xml:space="preserve">, </w:t>
      </w:r>
      <w:r>
        <w:rPr>
          <w:sz w:val="28"/>
          <w:szCs w:val="28"/>
        </w:rPr>
        <w:t>February 19</w:t>
      </w:r>
      <w:r w:rsidRPr="005220FE">
        <w:rPr>
          <w:sz w:val="28"/>
          <w:szCs w:val="28"/>
        </w:rPr>
        <w:t xml:space="preserve"> at the </w:t>
      </w:r>
      <w:smartTag w:uri="urn:schemas-microsoft-com:office:smarttags" w:element="PlaceName">
        <w:r w:rsidRPr="005220FE">
          <w:rPr>
            <w:sz w:val="28"/>
            <w:szCs w:val="28"/>
          </w:rPr>
          <w:t>ERCOT</w:t>
        </w:r>
      </w:smartTag>
      <w:r w:rsidRPr="005220FE">
        <w:rPr>
          <w:sz w:val="28"/>
          <w:szCs w:val="28"/>
        </w:rPr>
        <w:t xml:space="preserve"> </w:t>
      </w:r>
      <w:smartTag w:uri="urn:schemas-microsoft-com:office:smarttags" w:element="PlaceName">
        <w:r w:rsidRPr="005220FE">
          <w:rPr>
            <w:sz w:val="28"/>
            <w:szCs w:val="28"/>
          </w:rPr>
          <w:t>Met</w:t>
        </w:r>
      </w:smartTag>
      <w:r w:rsidRPr="005220FE">
        <w:rPr>
          <w:sz w:val="28"/>
          <w:szCs w:val="28"/>
        </w:rPr>
        <w:t xml:space="preserve"> </w:t>
      </w:r>
      <w:smartTag w:uri="urn:schemas-microsoft-com:office:smarttags" w:element="PlaceType">
        <w:r w:rsidRPr="005220FE">
          <w:rPr>
            <w:sz w:val="28"/>
            <w:szCs w:val="28"/>
          </w:rPr>
          <w:t>Center</w:t>
        </w:r>
      </w:smartTag>
      <w:r w:rsidRPr="005220FE">
        <w:rPr>
          <w:sz w:val="28"/>
          <w:szCs w:val="28"/>
        </w:rPr>
        <w:t xml:space="preserve"> offices in </w:t>
      </w:r>
      <w:smartTag w:uri="urn:schemas-microsoft-com:office:smarttags" w:element="City">
        <w:smartTag w:uri="urn:schemas-microsoft-com:office:smarttags" w:element="place">
          <w:r w:rsidRPr="005220FE">
            <w:rPr>
              <w:sz w:val="28"/>
              <w:szCs w:val="28"/>
            </w:rPr>
            <w:t>Austin</w:t>
          </w:r>
        </w:smartTag>
      </w:smartTag>
      <w:r w:rsidRPr="005220FE">
        <w:rPr>
          <w:sz w:val="28"/>
          <w:szCs w:val="28"/>
        </w:rPr>
        <w:t xml:space="preserve">. </w:t>
      </w:r>
      <w:bookmarkStart w:id="0" w:name="_GoBack"/>
      <w:bookmarkEnd w:id="0"/>
      <w:r w:rsidRPr="005220FE">
        <w:rPr>
          <w:sz w:val="28"/>
          <w:szCs w:val="28"/>
        </w:rPr>
        <w:t xml:space="preserve">  The task force reviewed </w:t>
      </w:r>
      <w:r>
        <w:rPr>
          <w:sz w:val="28"/>
          <w:szCs w:val="28"/>
        </w:rPr>
        <w:t xml:space="preserve">the </w:t>
      </w:r>
      <w:r w:rsidRPr="005220FE">
        <w:rPr>
          <w:sz w:val="28"/>
          <w:szCs w:val="28"/>
        </w:rPr>
        <w:t>Issues</w:t>
      </w:r>
      <w:r>
        <w:rPr>
          <w:sz w:val="28"/>
          <w:szCs w:val="28"/>
        </w:rPr>
        <w:t xml:space="preserve"> List Matrix which</w:t>
      </w:r>
      <w:r w:rsidRPr="005220FE">
        <w:rPr>
          <w:sz w:val="28"/>
          <w:szCs w:val="28"/>
        </w:rPr>
        <w:t xml:space="preserve"> provides </w:t>
      </w:r>
      <w:r>
        <w:rPr>
          <w:sz w:val="28"/>
          <w:szCs w:val="28"/>
        </w:rPr>
        <w:t>the status of</w:t>
      </w:r>
      <w:r w:rsidRPr="005220FE">
        <w:rPr>
          <w:sz w:val="28"/>
          <w:szCs w:val="28"/>
        </w:rPr>
        <w:t xml:space="preserve"> each sub-issue associated with the thirteen main issues.</w:t>
      </w:r>
      <w:r>
        <w:rPr>
          <w:sz w:val="28"/>
          <w:szCs w:val="28"/>
        </w:rPr>
        <w:t xml:space="preserve">  </w:t>
      </w:r>
    </w:p>
    <w:p w:rsidR="00354553" w:rsidRPr="004D1F9E" w:rsidRDefault="00354553" w:rsidP="004D1F9E">
      <w:pPr>
        <w:autoSpaceDE w:val="0"/>
        <w:autoSpaceDN w:val="0"/>
        <w:adjustRightInd w:val="0"/>
        <w:spacing w:after="0" w:line="240" w:lineRule="auto"/>
        <w:ind w:firstLine="720"/>
        <w:rPr>
          <w:rFonts w:eastAsia="MS Mincho" w:cs="Courier New"/>
          <w:sz w:val="28"/>
          <w:szCs w:val="28"/>
          <w:lang w:eastAsia="ja-JP"/>
        </w:rPr>
      </w:pPr>
      <w:r w:rsidRPr="004D1F9E">
        <w:rPr>
          <w:rFonts w:eastAsia="MS Mincho" w:cs="Courier New"/>
          <w:sz w:val="28"/>
          <w:szCs w:val="28"/>
          <w:lang w:eastAsia="ja-JP"/>
        </w:rPr>
        <w:t xml:space="preserve">An updated copy of the issues matrix is attached.  The highlighted areas contain changes compared to the version submitted to ROS at the February 14 meeting.  Ed Svihla is working with ERCOT System Operations to revise sub-issue 1(f) concerning the posting of TOAPs.  </w:t>
      </w:r>
    </w:p>
    <w:p w:rsidR="00354553" w:rsidRDefault="00354553" w:rsidP="004D1F9E">
      <w:pPr>
        <w:autoSpaceDE w:val="0"/>
        <w:autoSpaceDN w:val="0"/>
        <w:adjustRightInd w:val="0"/>
        <w:spacing w:after="0" w:line="240" w:lineRule="auto"/>
        <w:rPr>
          <w:rFonts w:ascii="Courier New" w:eastAsia="MS Mincho" w:hAnsi="Courier New" w:cs="Courier New"/>
          <w:sz w:val="20"/>
          <w:szCs w:val="20"/>
          <w:lang w:eastAsia="ja-JP"/>
        </w:rPr>
      </w:pPr>
    </w:p>
    <w:p w:rsidR="00354553" w:rsidRDefault="00354553" w:rsidP="004D1F9E">
      <w:pPr>
        <w:autoSpaceDE w:val="0"/>
        <w:autoSpaceDN w:val="0"/>
        <w:adjustRightInd w:val="0"/>
        <w:spacing w:after="0" w:line="240" w:lineRule="auto"/>
        <w:rPr>
          <w:rFonts w:ascii="Courier New" w:eastAsia="MS Mincho" w:hAnsi="Courier New" w:cs="Courier New"/>
          <w:sz w:val="20"/>
          <w:szCs w:val="20"/>
          <w:lang w:eastAsia="ja-JP"/>
        </w:rPr>
      </w:pPr>
    </w:p>
    <w:p w:rsidR="00354553" w:rsidRDefault="00354553" w:rsidP="004D1F9E">
      <w:pPr>
        <w:autoSpaceDE w:val="0"/>
        <w:autoSpaceDN w:val="0"/>
        <w:adjustRightInd w:val="0"/>
        <w:spacing w:after="0" w:line="240" w:lineRule="auto"/>
        <w:rPr>
          <w:rFonts w:ascii="Courier New" w:eastAsia="MS Mincho" w:hAnsi="Courier New" w:cs="Courier New"/>
          <w:sz w:val="20"/>
          <w:szCs w:val="20"/>
          <w:lang w:eastAsia="ja-JP"/>
        </w:rPr>
      </w:pPr>
    </w:p>
    <w:p w:rsidR="00354553" w:rsidRDefault="00354553" w:rsidP="004D1F9E">
      <w:pPr>
        <w:autoSpaceDE w:val="0"/>
        <w:autoSpaceDN w:val="0"/>
        <w:adjustRightInd w:val="0"/>
        <w:spacing w:after="0" w:line="240" w:lineRule="auto"/>
        <w:rPr>
          <w:rFonts w:ascii="Courier New" w:eastAsia="MS Mincho" w:hAnsi="Courier New" w:cs="Courier New"/>
          <w:sz w:val="20"/>
          <w:szCs w:val="20"/>
          <w:lang w:eastAsia="ja-JP"/>
        </w:rPr>
      </w:pPr>
    </w:p>
    <w:p w:rsidR="00354553" w:rsidRDefault="00354553" w:rsidP="004D1F9E">
      <w:pPr>
        <w:autoSpaceDE w:val="0"/>
        <w:autoSpaceDN w:val="0"/>
        <w:adjustRightInd w:val="0"/>
        <w:spacing w:after="0" w:line="240" w:lineRule="auto"/>
        <w:rPr>
          <w:rFonts w:ascii="Courier New" w:eastAsia="MS Mincho" w:hAnsi="Courier New" w:cs="Courier New"/>
          <w:sz w:val="20"/>
          <w:szCs w:val="20"/>
          <w:lang w:eastAsia="ja-JP"/>
        </w:rPr>
      </w:pPr>
    </w:p>
    <w:p w:rsidR="00354553" w:rsidRDefault="00354553" w:rsidP="004D1F9E">
      <w:pPr>
        <w:autoSpaceDE w:val="0"/>
        <w:autoSpaceDN w:val="0"/>
        <w:adjustRightInd w:val="0"/>
        <w:spacing w:after="0" w:line="240" w:lineRule="auto"/>
        <w:rPr>
          <w:rFonts w:ascii="Courier New" w:eastAsia="MS Mincho" w:hAnsi="Courier New" w:cs="Courier New"/>
          <w:sz w:val="20"/>
          <w:szCs w:val="20"/>
          <w:lang w:eastAsia="ja-JP"/>
        </w:rPr>
      </w:pPr>
    </w:p>
    <w:p w:rsidR="00354553" w:rsidRDefault="00354553" w:rsidP="001D64FC">
      <w:pPr>
        <w:rPr>
          <w:sz w:val="28"/>
          <w:szCs w:val="28"/>
        </w:rPr>
      </w:pPr>
      <w:r>
        <w:rPr>
          <w:sz w:val="28"/>
          <w:szCs w:val="28"/>
        </w:rPr>
        <w:tab/>
      </w: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Default="00354553" w:rsidP="001D64FC">
      <w:pPr>
        <w:rPr>
          <w:sz w:val="28"/>
          <w:szCs w:val="28"/>
        </w:rPr>
      </w:pPr>
    </w:p>
    <w:p w:rsidR="00354553" w:rsidRPr="008A1D8C" w:rsidRDefault="00354553" w:rsidP="008A1D8C">
      <w:pPr>
        <w:jc w:val="center"/>
        <w:rPr>
          <w:sz w:val="32"/>
          <w:szCs w:val="32"/>
          <w:u w:val="single"/>
        </w:rPr>
      </w:pPr>
      <w:r w:rsidRPr="008A1D8C">
        <w:rPr>
          <w:sz w:val="32"/>
          <w:szCs w:val="32"/>
          <w:u w:val="single"/>
        </w:rPr>
        <w:t>Best Practices</w:t>
      </w:r>
    </w:p>
    <w:p w:rsidR="00354553" w:rsidRDefault="00354553" w:rsidP="001D64FC">
      <w:pPr>
        <w:rPr>
          <w:sz w:val="28"/>
          <w:szCs w:val="28"/>
        </w:rPr>
      </w:pPr>
    </w:p>
    <w:p w:rsidR="00354553" w:rsidRDefault="00354553" w:rsidP="0091649E">
      <w:pPr>
        <w:rPr>
          <w:color w:val="000000"/>
        </w:rPr>
      </w:pPr>
      <w:r>
        <w:rPr>
          <w:sz w:val="28"/>
          <w:szCs w:val="28"/>
        </w:rPr>
        <w:t xml:space="preserve">Issue 2:  </w:t>
      </w:r>
      <w:r w:rsidRPr="0091649E">
        <w:rPr>
          <w:color w:val="000000"/>
          <w:sz w:val="28"/>
          <w:szCs w:val="28"/>
        </w:rPr>
        <w:t>Ensure that Real-Time Operations, Outage Planning and Transmission Planning processes are aligned in the use of operating generic transmission limits.</w:t>
      </w:r>
    </w:p>
    <w:p w:rsidR="00354553" w:rsidRDefault="00354553" w:rsidP="00C47B04">
      <w:pPr>
        <w:rPr>
          <w:color w:val="000000"/>
          <w:sz w:val="28"/>
          <w:szCs w:val="28"/>
        </w:rPr>
      </w:pPr>
      <w:r w:rsidRPr="0091649E">
        <w:rPr>
          <w:color w:val="000000"/>
          <w:sz w:val="28"/>
          <w:szCs w:val="28"/>
          <w:u w:val="single"/>
        </w:rPr>
        <w:t>OSPTF Recommended best practice:</w:t>
      </w:r>
      <w:r>
        <w:rPr>
          <w:color w:val="000000"/>
          <w:sz w:val="28"/>
          <w:szCs w:val="28"/>
        </w:rPr>
        <w:tab/>
        <w:t>Generic transmission limits (GTLs)</w:t>
      </w:r>
      <w:r w:rsidRPr="00C47B04">
        <w:rPr>
          <w:color w:val="000000"/>
          <w:sz w:val="28"/>
          <w:szCs w:val="28"/>
        </w:rPr>
        <w:t xml:space="preserve"> reflect market based limits for studies that are economic in nature.  Transmission planners need to respect SOLs &amp; IROLs for reliability studies, but if studying congestion the lower GTL limits should be use</w:t>
      </w:r>
      <w:r>
        <w:rPr>
          <w:color w:val="000000"/>
          <w:sz w:val="28"/>
          <w:szCs w:val="28"/>
        </w:rPr>
        <w:t>d.</w:t>
      </w:r>
    </w:p>
    <w:p w:rsidR="00354553" w:rsidRDefault="00354553" w:rsidP="00C47B04">
      <w:pPr>
        <w:rPr>
          <w:color w:val="000000"/>
          <w:sz w:val="28"/>
          <w:szCs w:val="28"/>
        </w:rPr>
      </w:pPr>
    </w:p>
    <w:p w:rsidR="00354553" w:rsidRDefault="00354553" w:rsidP="00C47B04">
      <w:pPr>
        <w:rPr>
          <w:color w:val="000000"/>
          <w:sz w:val="28"/>
          <w:szCs w:val="28"/>
        </w:rPr>
      </w:pPr>
      <w:r>
        <w:rPr>
          <w:color w:val="000000"/>
          <w:sz w:val="28"/>
          <w:szCs w:val="28"/>
        </w:rPr>
        <w:t>Issue 5 (b):  Establish a basis for load variations, including area seasonal variations</w:t>
      </w:r>
    </w:p>
    <w:p w:rsidR="00354553" w:rsidRPr="0091649E" w:rsidRDefault="00354553" w:rsidP="0091649E">
      <w:pPr>
        <w:rPr>
          <w:color w:val="000000"/>
          <w:sz w:val="28"/>
          <w:szCs w:val="28"/>
        </w:rPr>
      </w:pPr>
      <w:r w:rsidRPr="001D4A7A">
        <w:rPr>
          <w:color w:val="000000"/>
          <w:sz w:val="28"/>
          <w:szCs w:val="28"/>
          <w:u w:val="single"/>
        </w:rPr>
        <w:t>OPSTF Recommended best practice:</w:t>
      </w:r>
      <w:r>
        <w:rPr>
          <w:color w:val="000000"/>
          <w:sz w:val="28"/>
          <w:szCs w:val="28"/>
        </w:rPr>
        <w:t xml:space="preserve">  </w:t>
      </w:r>
      <w:r w:rsidRPr="0091649E">
        <w:rPr>
          <w:color w:val="000000"/>
          <w:sz w:val="28"/>
          <w:szCs w:val="28"/>
        </w:rPr>
        <w:t xml:space="preserve">For small local areas and load pockets </w:t>
      </w:r>
      <w:r>
        <w:rPr>
          <w:color w:val="000000"/>
          <w:sz w:val="28"/>
          <w:szCs w:val="28"/>
        </w:rPr>
        <w:t xml:space="preserve">transmission </w:t>
      </w:r>
      <w:r w:rsidRPr="0091649E">
        <w:rPr>
          <w:color w:val="000000"/>
          <w:sz w:val="28"/>
          <w:szCs w:val="28"/>
        </w:rPr>
        <w:t xml:space="preserve">planners </w:t>
      </w:r>
      <w:r>
        <w:rPr>
          <w:color w:val="000000"/>
          <w:sz w:val="28"/>
          <w:szCs w:val="28"/>
        </w:rPr>
        <w:t xml:space="preserve">should </w:t>
      </w:r>
      <w:r w:rsidRPr="0091649E">
        <w:rPr>
          <w:color w:val="000000"/>
          <w:sz w:val="28"/>
          <w:szCs w:val="28"/>
        </w:rPr>
        <w:t xml:space="preserve">model the undiversified load level as a reasonable load variation. For regional or weather zone load variations, planners </w:t>
      </w:r>
      <w:r>
        <w:rPr>
          <w:color w:val="000000"/>
          <w:sz w:val="28"/>
          <w:szCs w:val="28"/>
        </w:rPr>
        <w:t>should</w:t>
      </w:r>
      <w:r w:rsidRPr="0091649E">
        <w:rPr>
          <w:color w:val="000000"/>
          <w:sz w:val="28"/>
          <w:szCs w:val="28"/>
        </w:rPr>
        <w:t xml:space="preserve"> model</w:t>
      </w:r>
      <w:r>
        <w:rPr>
          <w:color w:val="000000"/>
          <w:sz w:val="28"/>
          <w:szCs w:val="28"/>
        </w:rPr>
        <w:t xml:space="preserve"> a reasonable high load forecast, such as a</w:t>
      </w:r>
      <w:r w:rsidRPr="0091649E">
        <w:rPr>
          <w:color w:val="000000"/>
          <w:sz w:val="28"/>
          <w:szCs w:val="28"/>
        </w:rPr>
        <w:t xml:space="preserve"> 90th percentile load forecast.</w:t>
      </w:r>
      <w:r>
        <w:rPr>
          <w:color w:val="000000"/>
          <w:sz w:val="28"/>
          <w:szCs w:val="28"/>
        </w:rPr>
        <w:t xml:space="preserve"> </w:t>
      </w:r>
      <w:r w:rsidRPr="0091649E">
        <w:rPr>
          <w:color w:val="000000"/>
          <w:sz w:val="28"/>
          <w:szCs w:val="28"/>
        </w:rPr>
        <w:t xml:space="preserve"> </w:t>
      </w:r>
    </w:p>
    <w:p w:rsidR="00354553" w:rsidRDefault="00354553" w:rsidP="00C47B04">
      <w:pPr>
        <w:rPr>
          <w:color w:val="000000"/>
          <w:sz w:val="28"/>
          <w:szCs w:val="28"/>
        </w:rPr>
      </w:pPr>
      <w:r>
        <w:rPr>
          <w:color w:val="000000"/>
          <w:sz w:val="28"/>
          <w:szCs w:val="28"/>
        </w:rPr>
        <w:t xml:space="preserve">  </w:t>
      </w:r>
    </w:p>
    <w:p w:rsidR="00354553" w:rsidRDefault="00354553" w:rsidP="00C47B04">
      <w:pPr>
        <w:rPr>
          <w:color w:val="000000"/>
          <w:sz w:val="28"/>
          <w:szCs w:val="28"/>
        </w:rPr>
      </w:pPr>
      <w:r>
        <w:rPr>
          <w:color w:val="000000"/>
          <w:sz w:val="28"/>
          <w:szCs w:val="28"/>
        </w:rPr>
        <w:t>Issue 9:  Consideration of transmission maintenance outages in planning studies</w:t>
      </w:r>
    </w:p>
    <w:p w:rsidR="00354553" w:rsidRDefault="00354553" w:rsidP="0091649E">
      <w:pPr>
        <w:rPr>
          <w:color w:val="000000"/>
          <w:sz w:val="28"/>
          <w:szCs w:val="28"/>
        </w:rPr>
      </w:pPr>
      <w:r w:rsidRPr="001D4A7A">
        <w:rPr>
          <w:color w:val="000000"/>
          <w:sz w:val="28"/>
          <w:szCs w:val="28"/>
          <w:u w:val="single"/>
        </w:rPr>
        <w:t>OPSTF Recommended best practice:</w:t>
      </w:r>
      <w:r>
        <w:rPr>
          <w:color w:val="000000"/>
          <w:sz w:val="28"/>
          <w:szCs w:val="28"/>
        </w:rPr>
        <w:t xml:space="preserve">  </w:t>
      </w:r>
      <w:r w:rsidRPr="0091649E">
        <w:rPr>
          <w:color w:val="000000"/>
          <w:sz w:val="28"/>
          <w:szCs w:val="28"/>
        </w:rPr>
        <w:t xml:space="preserve">  </w:t>
      </w:r>
      <w:r>
        <w:rPr>
          <w:color w:val="000000"/>
          <w:sz w:val="28"/>
          <w:szCs w:val="28"/>
        </w:rPr>
        <w:t>Transmission p</w:t>
      </w:r>
      <w:r w:rsidRPr="0091649E">
        <w:rPr>
          <w:color w:val="000000"/>
          <w:sz w:val="28"/>
          <w:szCs w:val="28"/>
        </w:rPr>
        <w:t xml:space="preserve">lanners should use input from Operators </w:t>
      </w:r>
      <w:r>
        <w:rPr>
          <w:color w:val="000000"/>
          <w:sz w:val="28"/>
          <w:szCs w:val="28"/>
        </w:rPr>
        <w:t>and</w:t>
      </w:r>
      <w:r w:rsidRPr="0091649E">
        <w:rPr>
          <w:color w:val="000000"/>
          <w:sz w:val="28"/>
          <w:szCs w:val="28"/>
        </w:rPr>
        <w:t xml:space="preserve"> planning software such as the new N-1-1 PSS/E scanning feature to identify difficult planned outages that require study before outage requests are submitted.</w:t>
      </w:r>
    </w:p>
    <w:p w:rsidR="00354553" w:rsidRDefault="00354553" w:rsidP="0091649E">
      <w:pPr>
        <w:rPr>
          <w:color w:val="000000"/>
          <w:sz w:val="28"/>
          <w:szCs w:val="28"/>
        </w:rPr>
      </w:pPr>
    </w:p>
    <w:p w:rsidR="00354553" w:rsidRDefault="00354553" w:rsidP="0091649E">
      <w:pPr>
        <w:rPr>
          <w:color w:val="000000"/>
          <w:sz w:val="28"/>
          <w:szCs w:val="28"/>
        </w:rPr>
      </w:pPr>
    </w:p>
    <w:p w:rsidR="00354553" w:rsidRDefault="00354553" w:rsidP="0091649E">
      <w:pPr>
        <w:rPr>
          <w:color w:val="000000"/>
          <w:sz w:val="28"/>
          <w:szCs w:val="28"/>
        </w:rPr>
      </w:pPr>
    </w:p>
    <w:p w:rsidR="00354553" w:rsidRDefault="00354553" w:rsidP="0091649E">
      <w:pPr>
        <w:rPr>
          <w:color w:val="000000"/>
          <w:sz w:val="28"/>
          <w:szCs w:val="28"/>
        </w:rPr>
      </w:pPr>
    </w:p>
    <w:p w:rsidR="00354553" w:rsidRDefault="00354553" w:rsidP="0091649E">
      <w:pPr>
        <w:rPr>
          <w:color w:val="000000"/>
          <w:sz w:val="28"/>
          <w:szCs w:val="28"/>
        </w:rPr>
      </w:pPr>
    </w:p>
    <w:p w:rsidR="00354553" w:rsidRPr="008579D9" w:rsidRDefault="00354553" w:rsidP="003907C6">
      <w:pPr>
        <w:jc w:val="center"/>
        <w:rPr>
          <w:color w:val="000000"/>
          <w:sz w:val="32"/>
          <w:szCs w:val="32"/>
          <w:u w:val="single"/>
        </w:rPr>
      </w:pPr>
      <w:r w:rsidRPr="008579D9">
        <w:rPr>
          <w:color w:val="000000"/>
          <w:sz w:val="32"/>
          <w:szCs w:val="32"/>
          <w:u w:val="single"/>
        </w:rPr>
        <w:t>Action Items</w:t>
      </w:r>
    </w:p>
    <w:p w:rsidR="00354553" w:rsidRDefault="00354553" w:rsidP="0091649E">
      <w:pPr>
        <w:rPr>
          <w:color w:val="000000"/>
        </w:rPr>
      </w:pPr>
      <w:r>
        <w:rPr>
          <w:color w:val="000000"/>
          <w:sz w:val="28"/>
          <w:szCs w:val="28"/>
        </w:rPr>
        <w:t xml:space="preserve">Issue 6:  </w:t>
      </w:r>
      <w:r w:rsidRPr="008579D9">
        <w:rPr>
          <w:color w:val="000000"/>
          <w:sz w:val="28"/>
          <w:szCs w:val="28"/>
        </w:rPr>
        <w:t>Use of double circuit contingencies to develop operating limits – ERCOT Operations conservatively considers all double circuit contingencies.  Evaluate appropriate use of double circuit contingencies.</w:t>
      </w:r>
    </w:p>
    <w:p w:rsidR="00354553" w:rsidRPr="009756C4" w:rsidRDefault="00354553" w:rsidP="009756C4">
      <w:pPr>
        <w:rPr>
          <w:color w:val="000000"/>
          <w:sz w:val="28"/>
          <w:szCs w:val="28"/>
        </w:rPr>
      </w:pPr>
      <w:r w:rsidRPr="009756C4">
        <w:rPr>
          <w:color w:val="000000"/>
          <w:sz w:val="28"/>
          <w:szCs w:val="28"/>
        </w:rPr>
        <w:t>OPSTF discussed a proposal that a DCKT outage be considered only if it caused a reliability problem.  The 'push-back' was that it is hard for the market to model contingencies that are sometimes run and sometimes not.  ERCOT commented that this would be complex, burdensom</w:t>
      </w:r>
      <w:r>
        <w:rPr>
          <w:color w:val="000000"/>
          <w:sz w:val="28"/>
          <w:szCs w:val="28"/>
        </w:rPr>
        <w:t xml:space="preserve">e and require new tools for System Operations. </w:t>
      </w:r>
      <w:r w:rsidRPr="009756C4">
        <w:rPr>
          <w:color w:val="000000"/>
          <w:sz w:val="28"/>
          <w:szCs w:val="28"/>
          <w:u w:val="single"/>
        </w:rPr>
        <w:t xml:space="preserve">OPSTF recommends that ROS direct OWG </w:t>
      </w:r>
      <w:r w:rsidRPr="009756C4">
        <w:rPr>
          <w:color w:val="000000"/>
          <w:sz w:val="28"/>
          <w:szCs w:val="28"/>
        </w:rPr>
        <w:t>to modify the Operating Guides language</w:t>
      </w:r>
      <w:r>
        <w:rPr>
          <w:color w:val="000000"/>
          <w:sz w:val="28"/>
          <w:szCs w:val="28"/>
        </w:rPr>
        <w:t xml:space="preserve"> (pg. 1-15)</w:t>
      </w:r>
      <w:r w:rsidRPr="009756C4">
        <w:rPr>
          <w:color w:val="000000"/>
          <w:sz w:val="28"/>
          <w:szCs w:val="28"/>
        </w:rPr>
        <w:t xml:space="preserve"> to better reflect the actual practice.</w:t>
      </w:r>
    </w:p>
    <w:p w:rsidR="00354553" w:rsidRDefault="00354553" w:rsidP="0091649E">
      <w:pPr>
        <w:rPr>
          <w:color w:val="000000"/>
          <w:sz w:val="28"/>
          <w:szCs w:val="28"/>
        </w:rPr>
      </w:pPr>
    </w:p>
    <w:p w:rsidR="00354553" w:rsidRDefault="00354553" w:rsidP="0091649E">
      <w:pPr>
        <w:rPr>
          <w:color w:val="000000"/>
          <w:sz w:val="28"/>
          <w:szCs w:val="28"/>
        </w:rPr>
      </w:pPr>
      <w:r>
        <w:rPr>
          <w:color w:val="000000"/>
          <w:sz w:val="28"/>
          <w:szCs w:val="28"/>
        </w:rPr>
        <w:t>Issue 12 (a):  Model generator-step-up transformer voltage regulation at the actual reference point (typically the generator bus).</w:t>
      </w:r>
    </w:p>
    <w:p w:rsidR="00354553" w:rsidRPr="00903F4E" w:rsidRDefault="00354553" w:rsidP="00903F4E">
      <w:pPr>
        <w:rPr>
          <w:color w:val="000000"/>
          <w:sz w:val="28"/>
          <w:szCs w:val="28"/>
        </w:rPr>
      </w:pPr>
      <w:r>
        <w:rPr>
          <w:color w:val="000000"/>
          <w:sz w:val="28"/>
          <w:szCs w:val="28"/>
        </w:rPr>
        <w:t>Transmission p</w:t>
      </w:r>
      <w:r w:rsidRPr="00903F4E">
        <w:rPr>
          <w:color w:val="000000"/>
          <w:sz w:val="28"/>
          <w:szCs w:val="28"/>
        </w:rPr>
        <w:t xml:space="preserve">lanners </w:t>
      </w:r>
      <w:r>
        <w:rPr>
          <w:color w:val="000000"/>
          <w:sz w:val="28"/>
          <w:szCs w:val="28"/>
        </w:rPr>
        <w:t xml:space="preserve">generally </w:t>
      </w:r>
      <w:r w:rsidRPr="00903F4E">
        <w:rPr>
          <w:color w:val="000000"/>
          <w:sz w:val="28"/>
          <w:szCs w:val="28"/>
        </w:rPr>
        <w:t>model regulation at the hi-side POI as required by the Protocols and Stability Studies.  But real-world gen</w:t>
      </w:r>
      <w:r>
        <w:rPr>
          <w:color w:val="000000"/>
          <w:sz w:val="28"/>
          <w:szCs w:val="28"/>
        </w:rPr>
        <w:t xml:space="preserve">eration sometimes </w:t>
      </w:r>
      <w:r w:rsidRPr="00903F4E">
        <w:rPr>
          <w:color w:val="000000"/>
          <w:sz w:val="28"/>
          <w:szCs w:val="28"/>
        </w:rPr>
        <w:t>regulates the low-side with the result that during contingencies actual gen voltage support is less than what planners see in their models. The RARF contains a field that designates where the location of the voltage regulation is (on high or low side).</w:t>
      </w:r>
      <w:r>
        <w:rPr>
          <w:color w:val="000000"/>
          <w:sz w:val="28"/>
          <w:szCs w:val="28"/>
        </w:rPr>
        <w:t xml:space="preserve">  </w:t>
      </w:r>
      <w:r w:rsidRPr="00903F4E">
        <w:rPr>
          <w:color w:val="000000"/>
          <w:sz w:val="28"/>
          <w:szCs w:val="28"/>
        </w:rPr>
        <w:t xml:space="preserve"> </w:t>
      </w:r>
      <w:r w:rsidRPr="00903F4E">
        <w:rPr>
          <w:color w:val="000000"/>
          <w:sz w:val="28"/>
          <w:szCs w:val="28"/>
          <w:u w:val="single"/>
        </w:rPr>
        <w:t>OPSTF recommends that ROS direct DWG</w:t>
      </w:r>
      <w:r>
        <w:rPr>
          <w:color w:val="000000"/>
          <w:sz w:val="28"/>
          <w:szCs w:val="28"/>
        </w:rPr>
        <w:t xml:space="preserve"> to </w:t>
      </w:r>
      <w:r w:rsidRPr="00903F4E">
        <w:rPr>
          <w:color w:val="000000"/>
          <w:sz w:val="28"/>
          <w:szCs w:val="28"/>
        </w:rPr>
        <w:t>look into this issue with respect to operations and planning and make recommendat</w:t>
      </w:r>
      <w:r>
        <w:rPr>
          <w:color w:val="000000"/>
          <w:sz w:val="28"/>
          <w:szCs w:val="28"/>
        </w:rPr>
        <w:t xml:space="preserve">ions to </w:t>
      </w:r>
      <w:r w:rsidRPr="00903F4E">
        <w:rPr>
          <w:color w:val="000000"/>
          <w:sz w:val="28"/>
          <w:szCs w:val="28"/>
        </w:rPr>
        <w:t>ROS.</w:t>
      </w:r>
    </w:p>
    <w:p w:rsidR="00354553" w:rsidRDefault="00354553" w:rsidP="0091649E">
      <w:pPr>
        <w:rPr>
          <w:color w:val="000000"/>
          <w:sz w:val="28"/>
          <w:szCs w:val="28"/>
        </w:rPr>
      </w:pPr>
    </w:p>
    <w:p w:rsidR="00354553" w:rsidRDefault="00354553" w:rsidP="0091649E">
      <w:pPr>
        <w:rPr>
          <w:color w:val="000000"/>
          <w:sz w:val="28"/>
          <w:szCs w:val="28"/>
        </w:rPr>
      </w:pPr>
      <w:r>
        <w:rPr>
          <w:color w:val="000000"/>
          <w:sz w:val="28"/>
          <w:szCs w:val="28"/>
        </w:rPr>
        <w:t>Issue 12 (c):  Model reactive loads accurately as seen from the transmission system.</w:t>
      </w:r>
    </w:p>
    <w:p w:rsidR="00354553" w:rsidRDefault="00354553" w:rsidP="001D64FC">
      <w:r w:rsidRPr="007D2185">
        <w:rPr>
          <w:color w:val="000000"/>
          <w:sz w:val="28"/>
          <w:szCs w:val="28"/>
        </w:rPr>
        <w:t xml:space="preserve">ALDR instructions require that pf data be taken where the meter is located. </w:t>
      </w:r>
      <w:r w:rsidRPr="00304FFA">
        <w:rPr>
          <w:color w:val="000000"/>
          <w:sz w:val="28"/>
          <w:szCs w:val="28"/>
          <w:u w:val="single"/>
        </w:rPr>
        <w:t>OPSTF recommends that ROS direct the SSWG</w:t>
      </w:r>
      <w:r w:rsidRPr="007D2185">
        <w:rPr>
          <w:color w:val="000000"/>
          <w:sz w:val="28"/>
          <w:szCs w:val="28"/>
        </w:rPr>
        <w:t xml:space="preserve"> to clarify</w:t>
      </w:r>
      <w:r>
        <w:rPr>
          <w:color w:val="000000"/>
          <w:sz w:val="28"/>
          <w:szCs w:val="28"/>
        </w:rPr>
        <w:t xml:space="preserve"> the need to</w:t>
      </w:r>
      <w:r w:rsidRPr="007D2185">
        <w:rPr>
          <w:color w:val="000000"/>
          <w:sz w:val="28"/>
          <w:szCs w:val="28"/>
        </w:rPr>
        <w:t xml:space="preserve"> compensat</w:t>
      </w:r>
      <w:r>
        <w:rPr>
          <w:color w:val="000000"/>
          <w:sz w:val="28"/>
          <w:szCs w:val="28"/>
        </w:rPr>
        <w:t>e</w:t>
      </w:r>
      <w:r w:rsidRPr="007D2185">
        <w:rPr>
          <w:color w:val="000000"/>
          <w:sz w:val="28"/>
          <w:szCs w:val="28"/>
        </w:rPr>
        <w:t xml:space="preserve"> for transformer losses when modeling loads on the high side of the transformer of 60kV or above. This should result in clarifying section 4.2 of the SSWG Procedural Manual.</w:t>
      </w:r>
    </w:p>
    <w:p w:rsidR="00354553" w:rsidRPr="00D945F9" w:rsidRDefault="00354553" w:rsidP="00D945F9">
      <w:pPr>
        <w:jc w:val="center"/>
        <w:rPr>
          <w:sz w:val="32"/>
          <w:szCs w:val="32"/>
          <w:u w:val="single"/>
        </w:rPr>
      </w:pPr>
      <w:r w:rsidRPr="00D945F9">
        <w:rPr>
          <w:sz w:val="32"/>
          <w:szCs w:val="32"/>
          <w:u w:val="single"/>
        </w:rPr>
        <w:t xml:space="preserve">ERCOT </w:t>
      </w:r>
      <w:r>
        <w:rPr>
          <w:sz w:val="32"/>
          <w:szCs w:val="32"/>
          <w:u w:val="single"/>
        </w:rPr>
        <w:t xml:space="preserve">5-Year Plan </w:t>
      </w:r>
      <w:r w:rsidRPr="00D945F9">
        <w:rPr>
          <w:sz w:val="32"/>
          <w:szCs w:val="32"/>
          <w:u w:val="single"/>
        </w:rPr>
        <w:t>Process Change</w:t>
      </w:r>
      <w:r>
        <w:rPr>
          <w:sz w:val="32"/>
          <w:szCs w:val="32"/>
          <w:u w:val="single"/>
        </w:rPr>
        <w:t>s</w:t>
      </w:r>
    </w:p>
    <w:p w:rsidR="00354553" w:rsidRDefault="00354553">
      <w:pPr>
        <w:rPr>
          <w:sz w:val="28"/>
          <w:szCs w:val="28"/>
        </w:rPr>
      </w:pPr>
    </w:p>
    <w:p w:rsidR="00354553" w:rsidRDefault="00354553">
      <w:pPr>
        <w:rPr>
          <w:sz w:val="28"/>
          <w:szCs w:val="28"/>
        </w:rPr>
      </w:pPr>
      <w:r>
        <w:rPr>
          <w:sz w:val="28"/>
          <w:szCs w:val="28"/>
        </w:rPr>
        <w:t>Issue 3 (a ):  Consistent publication date for the 5-Year Transmission Plan</w:t>
      </w:r>
    </w:p>
    <w:p w:rsidR="00354553" w:rsidRDefault="00354553" w:rsidP="00D945F9">
      <w:pPr>
        <w:rPr>
          <w:sz w:val="28"/>
          <w:szCs w:val="28"/>
        </w:rPr>
      </w:pPr>
      <w:r w:rsidRPr="004904BE">
        <w:rPr>
          <w:sz w:val="28"/>
          <w:szCs w:val="28"/>
          <w:u w:val="single"/>
        </w:rPr>
        <w:t>OPSTF recommends that ROS direct the PLWG</w:t>
      </w:r>
      <w:r>
        <w:rPr>
          <w:sz w:val="28"/>
          <w:szCs w:val="28"/>
        </w:rPr>
        <w:t xml:space="preserve"> to create a PGRR that establishes a December 31 deadline for the 5-year Regional Transmission Plan.</w:t>
      </w:r>
    </w:p>
    <w:p w:rsidR="00354553" w:rsidRDefault="00354553" w:rsidP="00D945F9">
      <w:pPr>
        <w:rPr>
          <w:sz w:val="28"/>
          <w:szCs w:val="28"/>
        </w:rPr>
      </w:pPr>
    </w:p>
    <w:p w:rsidR="00354553" w:rsidRDefault="00354553" w:rsidP="00D945F9">
      <w:pPr>
        <w:rPr>
          <w:color w:val="000000"/>
          <w:sz w:val="28"/>
          <w:szCs w:val="28"/>
        </w:rPr>
      </w:pPr>
      <w:r>
        <w:rPr>
          <w:sz w:val="28"/>
          <w:szCs w:val="28"/>
        </w:rPr>
        <w:t xml:space="preserve">Issue 3 (b):  </w:t>
      </w:r>
      <w:r w:rsidRPr="00D945F9">
        <w:rPr>
          <w:color w:val="000000"/>
          <w:sz w:val="28"/>
          <w:szCs w:val="28"/>
        </w:rPr>
        <w:t>Consideration of incomplete Five Year Transmission Plan reliability projects in seasonal RAP/MP/SPS development.</w:t>
      </w:r>
    </w:p>
    <w:p w:rsidR="00354553" w:rsidRPr="00D945F9" w:rsidRDefault="00354553" w:rsidP="00D945F9">
      <w:pPr>
        <w:rPr>
          <w:color w:val="000000"/>
          <w:sz w:val="28"/>
          <w:szCs w:val="28"/>
        </w:rPr>
      </w:pPr>
      <w:r w:rsidRPr="00D945F9">
        <w:rPr>
          <w:color w:val="000000"/>
          <w:sz w:val="28"/>
          <w:szCs w:val="28"/>
          <w:u w:val="single"/>
        </w:rPr>
        <w:t>OPSTF recommends that ROS ask ERCOT System Planning</w:t>
      </w:r>
      <w:r w:rsidRPr="00D945F9">
        <w:rPr>
          <w:color w:val="000000"/>
          <w:sz w:val="28"/>
          <w:szCs w:val="28"/>
        </w:rPr>
        <w:t xml:space="preserve"> to make</w:t>
      </w:r>
      <w:r>
        <w:rPr>
          <w:color w:val="000000"/>
          <w:sz w:val="28"/>
          <w:szCs w:val="28"/>
        </w:rPr>
        <w:t xml:space="preserve"> </w:t>
      </w:r>
      <w:r w:rsidRPr="00D945F9">
        <w:rPr>
          <w:color w:val="000000"/>
          <w:sz w:val="28"/>
          <w:szCs w:val="28"/>
        </w:rPr>
        <w:t xml:space="preserve">internal process changes to </w:t>
      </w:r>
      <w:r>
        <w:rPr>
          <w:color w:val="000000"/>
          <w:sz w:val="28"/>
          <w:szCs w:val="28"/>
        </w:rPr>
        <w:t>seek</w:t>
      </w:r>
      <w:r w:rsidRPr="00D945F9">
        <w:rPr>
          <w:color w:val="000000"/>
          <w:sz w:val="28"/>
          <w:szCs w:val="28"/>
        </w:rPr>
        <w:t xml:space="preserve"> </w:t>
      </w:r>
      <w:r>
        <w:rPr>
          <w:color w:val="000000"/>
          <w:sz w:val="28"/>
          <w:szCs w:val="28"/>
        </w:rPr>
        <w:t>Transmission Service Providers (</w:t>
      </w:r>
      <w:r w:rsidRPr="00D945F9">
        <w:rPr>
          <w:color w:val="000000"/>
          <w:sz w:val="28"/>
          <w:szCs w:val="28"/>
        </w:rPr>
        <w:t>TSP</w:t>
      </w:r>
      <w:r>
        <w:rPr>
          <w:color w:val="000000"/>
          <w:sz w:val="28"/>
          <w:szCs w:val="28"/>
        </w:rPr>
        <w:t>)</w:t>
      </w:r>
      <w:r w:rsidRPr="00D945F9">
        <w:rPr>
          <w:color w:val="000000"/>
          <w:sz w:val="28"/>
          <w:szCs w:val="28"/>
        </w:rPr>
        <w:t xml:space="preserve"> RAP/MP/SPS development and formalize this in the 5-Yr Plan process</w:t>
      </w:r>
      <w:r>
        <w:rPr>
          <w:color w:val="000000"/>
          <w:sz w:val="28"/>
          <w:szCs w:val="28"/>
        </w:rPr>
        <w:t>.</w:t>
      </w:r>
    </w:p>
    <w:p w:rsidR="00354553" w:rsidRDefault="00354553" w:rsidP="00D945F9">
      <w:pPr>
        <w:rPr>
          <w:color w:val="000000"/>
          <w:sz w:val="28"/>
          <w:szCs w:val="28"/>
        </w:rPr>
      </w:pPr>
    </w:p>
    <w:p w:rsidR="00354553" w:rsidRPr="00D945F9" w:rsidRDefault="00354553" w:rsidP="00D945F9">
      <w:pPr>
        <w:rPr>
          <w:color w:val="000000"/>
          <w:sz w:val="28"/>
          <w:szCs w:val="28"/>
        </w:rPr>
      </w:pPr>
    </w:p>
    <w:p w:rsidR="00354553" w:rsidRDefault="00354553">
      <w:pPr>
        <w:rPr>
          <w:sz w:val="28"/>
          <w:szCs w:val="28"/>
        </w:rPr>
      </w:pPr>
    </w:p>
    <w:p w:rsidR="00354553" w:rsidRDefault="00354553">
      <w:pPr>
        <w:rPr>
          <w:sz w:val="28"/>
          <w:szCs w:val="28"/>
        </w:rPr>
      </w:pPr>
    </w:p>
    <w:p w:rsidR="00354553" w:rsidRDefault="00354553">
      <w:pPr>
        <w:rPr>
          <w:sz w:val="28"/>
          <w:szCs w:val="28"/>
        </w:rPr>
      </w:pPr>
    </w:p>
    <w:p w:rsidR="00354553" w:rsidRPr="00A329FE" w:rsidRDefault="00354553">
      <w:pPr>
        <w:rPr>
          <w:sz w:val="28"/>
          <w:szCs w:val="28"/>
        </w:rPr>
      </w:pPr>
    </w:p>
    <w:p w:rsidR="00354553" w:rsidRPr="00D945F9" w:rsidRDefault="00354553">
      <w:pPr>
        <w:rPr>
          <w:sz w:val="28"/>
          <w:szCs w:val="28"/>
        </w:rPr>
      </w:pPr>
    </w:p>
    <w:p w:rsidR="00354553" w:rsidRDefault="00354553"/>
    <w:sectPr w:rsidR="00354553" w:rsidSect="0026505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553" w:rsidRDefault="00354553" w:rsidP="00EF33F6">
      <w:pPr>
        <w:spacing w:after="0" w:line="240" w:lineRule="auto"/>
      </w:pPr>
      <w:r>
        <w:separator/>
      </w:r>
    </w:p>
  </w:endnote>
  <w:endnote w:type="continuationSeparator" w:id="0">
    <w:p w:rsidR="00354553" w:rsidRDefault="00354553" w:rsidP="00EF33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MS Mincho">
    <w:altName w:val="?l?r ??fc"/>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553" w:rsidRDefault="00354553" w:rsidP="002D23AA">
    <w:pPr>
      <w:pStyle w:val="Footer"/>
      <w:tabs>
        <w:tab w:val="clear" w:pos="93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ab/>
    </w:r>
    <w:r>
      <w:tab/>
    </w:r>
    <w:r>
      <w:tab/>
    </w:r>
    <w:r>
      <w:tab/>
    </w:r>
    <w:r>
      <w:tab/>
      <w:t xml:space="preserve">     2/7/2013</w:t>
    </w:r>
  </w:p>
  <w:p w:rsidR="00354553" w:rsidRDefault="00354553">
    <w:pPr>
      <w:pStyle w:val="Footer"/>
    </w:pPr>
    <w:r>
      <w:tab/>
    </w:r>
    <w:r>
      <w:tab/>
      <w:t>J.Armke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553" w:rsidRDefault="00354553" w:rsidP="00EF33F6">
      <w:pPr>
        <w:spacing w:after="0" w:line="240" w:lineRule="auto"/>
      </w:pPr>
      <w:r>
        <w:separator/>
      </w:r>
    </w:p>
  </w:footnote>
  <w:footnote w:type="continuationSeparator" w:id="0">
    <w:p w:rsidR="00354553" w:rsidRDefault="00354553" w:rsidP="00EF33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9E604E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1B46A8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6FE543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885CC2A2"/>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DEF870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9EAE9B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E308E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33C533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20E89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7944ED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64FC"/>
    <w:rsid w:val="001219B2"/>
    <w:rsid w:val="001244E9"/>
    <w:rsid w:val="00150D1D"/>
    <w:rsid w:val="001D4A7A"/>
    <w:rsid w:val="001D64FC"/>
    <w:rsid w:val="00213E6C"/>
    <w:rsid w:val="002537B1"/>
    <w:rsid w:val="002606D9"/>
    <w:rsid w:val="0026505F"/>
    <w:rsid w:val="002C07FC"/>
    <w:rsid w:val="002D23AA"/>
    <w:rsid w:val="002F475D"/>
    <w:rsid w:val="00304FFA"/>
    <w:rsid w:val="0031200E"/>
    <w:rsid w:val="003143A1"/>
    <w:rsid w:val="00354553"/>
    <w:rsid w:val="0036301D"/>
    <w:rsid w:val="003907C6"/>
    <w:rsid w:val="0039679B"/>
    <w:rsid w:val="003E3B9C"/>
    <w:rsid w:val="004904BE"/>
    <w:rsid w:val="004D1F9E"/>
    <w:rsid w:val="005220FE"/>
    <w:rsid w:val="005B1795"/>
    <w:rsid w:val="005E766D"/>
    <w:rsid w:val="0061237B"/>
    <w:rsid w:val="006217C0"/>
    <w:rsid w:val="006256BA"/>
    <w:rsid w:val="006B373F"/>
    <w:rsid w:val="006B3CFD"/>
    <w:rsid w:val="006F5B3D"/>
    <w:rsid w:val="00722F57"/>
    <w:rsid w:val="007868B6"/>
    <w:rsid w:val="007A7B16"/>
    <w:rsid w:val="007D17B2"/>
    <w:rsid w:val="007D2185"/>
    <w:rsid w:val="00841672"/>
    <w:rsid w:val="008579D9"/>
    <w:rsid w:val="008A1D8C"/>
    <w:rsid w:val="008B772E"/>
    <w:rsid w:val="00903F4E"/>
    <w:rsid w:val="0091649E"/>
    <w:rsid w:val="0097522D"/>
    <w:rsid w:val="009756C4"/>
    <w:rsid w:val="009E1D81"/>
    <w:rsid w:val="00A02572"/>
    <w:rsid w:val="00A329FE"/>
    <w:rsid w:val="00A368FC"/>
    <w:rsid w:val="00A7753C"/>
    <w:rsid w:val="00AE4087"/>
    <w:rsid w:val="00AF777B"/>
    <w:rsid w:val="00B61454"/>
    <w:rsid w:val="00B832E3"/>
    <w:rsid w:val="00BB2110"/>
    <w:rsid w:val="00BF6E77"/>
    <w:rsid w:val="00C47B04"/>
    <w:rsid w:val="00CC759F"/>
    <w:rsid w:val="00CF6720"/>
    <w:rsid w:val="00D02601"/>
    <w:rsid w:val="00D945F9"/>
    <w:rsid w:val="00DE7C82"/>
    <w:rsid w:val="00EF33F6"/>
    <w:rsid w:val="00F308DC"/>
    <w:rsid w:val="00F55FAF"/>
    <w:rsid w:val="00F7087B"/>
    <w:rsid w:val="00F90804"/>
    <w:rsid w:val="00FB7228"/>
    <w:rsid w:val="00FD0A04"/>
    <w:rsid w:val="00FD3F55"/>
    <w:rsid w:val="00FE5293"/>
    <w:rsid w:val="00FE79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05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33F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F33F6"/>
    <w:rPr>
      <w:rFonts w:cs="Times New Roman"/>
    </w:rPr>
  </w:style>
  <w:style w:type="paragraph" w:styleId="Footer">
    <w:name w:val="footer"/>
    <w:basedOn w:val="Normal"/>
    <w:link w:val="FooterChar"/>
    <w:uiPriority w:val="99"/>
    <w:rsid w:val="00EF33F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F33F6"/>
    <w:rPr>
      <w:rFonts w:cs="Times New Roman"/>
    </w:rPr>
  </w:style>
  <w:style w:type="paragraph" w:styleId="BalloonText">
    <w:name w:val="Balloon Text"/>
    <w:basedOn w:val="Normal"/>
    <w:link w:val="BalloonTextChar"/>
    <w:uiPriority w:val="99"/>
    <w:semiHidden/>
    <w:rsid w:val="00EF33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33F6"/>
    <w:rPr>
      <w:rFonts w:ascii="Tahoma" w:hAnsi="Tahoma" w:cs="Tahoma"/>
      <w:sz w:val="16"/>
      <w:szCs w:val="16"/>
    </w:rPr>
  </w:style>
  <w:style w:type="paragraph" w:styleId="DocumentMap">
    <w:name w:val="Document Map"/>
    <w:basedOn w:val="Normal"/>
    <w:link w:val="DocumentMapChar"/>
    <w:uiPriority w:val="99"/>
    <w:semiHidden/>
    <w:rsid w:val="0084167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244E9"/>
    <w:rPr>
      <w:rFonts w:ascii="Times New Roman" w:hAnsi="Times New Roman" w:cs="Times New Roman"/>
      <w:sz w:val="2"/>
    </w:rPr>
  </w:style>
  <w:style w:type="character" w:styleId="PageNumber">
    <w:name w:val="page number"/>
    <w:basedOn w:val="DefaultParagraphFont"/>
    <w:uiPriority w:val="99"/>
    <w:rsid w:val="00D02601"/>
    <w:rPr>
      <w:rFonts w:cs="Times New Roman"/>
    </w:rPr>
  </w:style>
</w:styles>
</file>

<file path=word/webSettings.xml><?xml version="1.0" encoding="utf-8"?>
<w:webSettings xmlns:r="http://schemas.openxmlformats.org/officeDocument/2006/relationships" xmlns:w="http://schemas.openxmlformats.org/wordprocessingml/2006/main">
  <w:divs>
    <w:div w:id="833833833">
      <w:marLeft w:val="0"/>
      <w:marRight w:val="0"/>
      <w:marTop w:val="0"/>
      <w:marBottom w:val="0"/>
      <w:divBdr>
        <w:top w:val="none" w:sz="0" w:space="0" w:color="auto"/>
        <w:left w:val="none" w:sz="0" w:space="0" w:color="auto"/>
        <w:bottom w:val="none" w:sz="0" w:space="0" w:color="auto"/>
        <w:right w:val="none" w:sz="0" w:space="0" w:color="auto"/>
      </w:divBdr>
    </w:div>
    <w:div w:id="833833834">
      <w:marLeft w:val="0"/>
      <w:marRight w:val="0"/>
      <w:marTop w:val="0"/>
      <w:marBottom w:val="0"/>
      <w:divBdr>
        <w:top w:val="none" w:sz="0" w:space="0" w:color="auto"/>
        <w:left w:val="none" w:sz="0" w:space="0" w:color="auto"/>
        <w:bottom w:val="none" w:sz="0" w:space="0" w:color="auto"/>
        <w:right w:val="none" w:sz="0" w:space="0" w:color="auto"/>
      </w:divBdr>
    </w:div>
    <w:div w:id="833833835">
      <w:marLeft w:val="0"/>
      <w:marRight w:val="0"/>
      <w:marTop w:val="0"/>
      <w:marBottom w:val="0"/>
      <w:divBdr>
        <w:top w:val="none" w:sz="0" w:space="0" w:color="auto"/>
        <w:left w:val="none" w:sz="0" w:space="0" w:color="auto"/>
        <w:bottom w:val="none" w:sz="0" w:space="0" w:color="auto"/>
        <w:right w:val="none" w:sz="0" w:space="0" w:color="auto"/>
      </w:divBdr>
    </w:div>
    <w:div w:id="833833836">
      <w:marLeft w:val="0"/>
      <w:marRight w:val="0"/>
      <w:marTop w:val="0"/>
      <w:marBottom w:val="0"/>
      <w:divBdr>
        <w:top w:val="none" w:sz="0" w:space="0" w:color="auto"/>
        <w:left w:val="none" w:sz="0" w:space="0" w:color="auto"/>
        <w:bottom w:val="none" w:sz="0" w:space="0" w:color="auto"/>
        <w:right w:val="none" w:sz="0" w:space="0" w:color="auto"/>
      </w:divBdr>
    </w:div>
    <w:div w:id="833833837">
      <w:marLeft w:val="0"/>
      <w:marRight w:val="0"/>
      <w:marTop w:val="0"/>
      <w:marBottom w:val="0"/>
      <w:divBdr>
        <w:top w:val="none" w:sz="0" w:space="0" w:color="auto"/>
        <w:left w:val="none" w:sz="0" w:space="0" w:color="auto"/>
        <w:bottom w:val="none" w:sz="0" w:space="0" w:color="auto"/>
        <w:right w:val="none" w:sz="0" w:space="0" w:color="auto"/>
      </w:divBdr>
    </w:div>
    <w:div w:id="833833838">
      <w:marLeft w:val="0"/>
      <w:marRight w:val="0"/>
      <w:marTop w:val="0"/>
      <w:marBottom w:val="0"/>
      <w:divBdr>
        <w:top w:val="none" w:sz="0" w:space="0" w:color="auto"/>
        <w:left w:val="none" w:sz="0" w:space="0" w:color="auto"/>
        <w:bottom w:val="none" w:sz="0" w:space="0" w:color="auto"/>
        <w:right w:val="none" w:sz="0" w:space="0" w:color="auto"/>
      </w:divBdr>
    </w:div>
    <w:div w:id="833833839">
      <w:marLeft w:val="0"/>
      <w:marRight w:val="0"/>
      <w:marTop w:val="0"/>
      <w:marBottom w:val="0"/>
      <w:divBdr>
        <w:top w:val="none" w:sz="0" w:space="0" w:color="auto"/>
        <w:left w:val="none" w:sz="0" w:space="0" w:color="auto"/>
        <w:bottom w:val="none" w:sz="0" w:space="0" w:color="auto"/>
        <w:right w:val="none" w:sz="0" w:space="0" w:color="auto"/>
      </w:divBdr>
    </w:div>
    <w:div w:id="833833840">
      <w:marLeft w:val="0"/>
      <w:marRight w:val="0"/>
      <w:marTop w:val="0"/>
      <w:marBottom w:val="0"/>
      <w:divBdr>
        <w:top w:val="none" w:sz="0" w:space="0" w:color="auto"/>
        <w:left w:val="none" w:sz="0" w:space="0" w:color="auto"/>
        <w:bottom w:val="none" w:sz="0" w:space="0" w:color="auto"/>
        <w:right w:val="none" w:sz="0" w:space="0" w:color="auto"/>
      </w:divBdr>
    </w:div>
    <w:div w:id="833833841">
      <w:marLeft w:val="0"/>
      <w:marRight w:val="0"/>
      <w:marTop w:val="0"/>
      <w:marBottom w:val="0"/>
      <w:divBdr>
        <w:top w:val="none" w:sz="0" w:space="0" w:color="auto"/>
        <w:left w:val="none" w:sz="0" w:space="0" w:color="auto"/>
        <w:bottom w:val="none" w:sz="0" w:space="0" w:color="auto"/>
        <w:right w:val="none" w:sz="0" w:space="0" w:color="auto"/>
      </w:divBdr>
    </w:div>
    <w:div w:id="8338338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607</Words>
  <Characters>3465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OPSTF Report to ROS</dc:title>
  <dc:subject/>
  <dc:creator>Cougar</dc:creator>
  <cp:keywords/>
  <dc:description/>
  <cp:lastModifiedBy>armke</cp:lastModifiedBy>
  <cp:revision>3</cp:revision>
  <cp:lastPrinted>2012-11-07T13:15:00Z</cp:lastPrinted>
  <dcterms:created xsi:type="dcterms:W3CDTF">2013-03-13T16:40:00Z</dcterms:created>
  <dcterms:modified xsi:type="dcterms:W3CDTF">2013-03-13T16:48:00Z</dcterms:modified>
</cp:coreProperties>
</file>