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91" w:rsidRDefault="00ED64FA" w:rsidP="00E35EDE">
      <w:pPr>
        <w:pStyle w:val="Title"/>
      </w:pPr>
      <w:r>
        <w:t>Fast</w:t>
      </w:r>
      <w:r w:rsidR="00E35EDE">
        <w:t xml:space="preserve">-Responding Regulation Service </w:t>
      </w:r>
      <w:proofErr w:type="spellStart"/>
      <w:r w:rsidR="00E35EDE">
        <w:t>iTest</w:t>
      </w:r>
      <w:proofErr w:type="spellEnd"/>
      <w:r w:rsidR="00E35EDE">
        <w:t xml:space="preserve"> Performance Example</w:t>
      </w:r>
    </w:p>
    <w:p w:rsidR="00E35EDE" w:rsidRDefault="00E35EDE" w:rsidP="00E35EDE">
      <w:r>
        <w:t xml:space="preserve">The Fast-Responding Regulation Service (FRRS) deployment logic </w:t>
      </w:r>
      <w:proofErr w:type="gramStart"/>
      <w:r w:rsidR="00F038C1">
        <w:t>has been</w:t>
      </w:r>
      <w:r>
        <w:t xml:space="preserve"> implemented </w:t>
      </w:r>
      <w:r w:rsidR="00F038C1">
        <w:t xml:space="preserve">and tested </w:t>
      </w:r>
      <w:r>
        <w:t xml:space="preserve">in the ERCOT </w:t>
      </w:r>
      <w:proofErr w:type="spellStart"/>
      <w:r>
        <w:t>iTest</w:t>
      </w:r>
      <w:proofErr w:type="spellEnd"/>
      <w:r>
        <w:t xml:space="preserve"> system</w:t>
      </w:r>
      <w:proofErr w:type="gramEnd"/>
      <w:r>
        <w:t xml:space="preserve">. This document </w:t>
      </w:r>
      <w:r w:rsidR="00F038C1">
        <w:t>provides</w:t>
      </w:r>
      <w:r>
        <w:t xml:space="preserve"> FRRS deployment statistics for </w:t>
      </w:r>
      <w:r w:rsidR="00F038C1">
        <w:t>three</w:t>
      </w:r>
      <w:r>
        <w:t xml:space="preserve"> individual days based on the frequency profile in the </w:t>
      </w:r>
      <w:proofErr w:type="spellStart"/>
      <w:r>
        <w:t>iTest</w:t>
      </w:r>
      <w:proofErr w:type="spellEnd"/>
      <w:r>
        <w:t xml:space="preserve"> system. In this </w:t>
      </w:r>
      <w:proofErr w:type="spellStart"/>
      <w:r>
        <w:t>iTest</w:t>
      </w:r>
      <w:proofErr w:type="spellEnd"/>
      <w:r>
        <w:t xml:space="preserve">, a virtual FRRS resource </w:t>
      </w:r>
      <w:proofErr w:type="gramStart"/>
      <w:r>
        <w:t>is created</w:t>
      </w:r>
      <w:proofErr w:type="gramEnd"/>
      <w:r>
        <w:t xml:space="preserve"> to </w:t>
      </w:r>
      <w:r w:rsidR="00F038C1">
        <w:t>have a responsibility of</w:t>
      </w:r>
      <w:r>
        <w:t xml:space="preserve"> 20 MW FRRS-UP and </w:t>
      </w:r>
      <w:r w:rsidR="00F038C1">
        <w:t xml:space="preserve">20 MW </w:t>
      </w:r>
      <w:r>
        <w:t xml:space="preserve">FRRS-DOWN. The data in this document only provides </w:t>
      </w:r>
      <w:r w:rsidR="00F038C1">
        <w:t xml:space="preserve">the deployment instructions </w:t>
      </w:r>
      <w:r>
        <w:t xml:space="preserve">and </w:t>
      </w:r>
      <w:proofErr w:type="gramStart"/>
      <w:r w:rsidR="00CF43EF">
        <w:t>doesn’t</w:t>
      </w:r>
      <w:proofErr w:type="gramEnd"/>
      <w:r w:rsidR="00CF43EF">
        <w:t xml:space="preserve"> include </w:t>
      </w:r>
      <w:r>
        <w:t>actual impact of FRRS response.</w:t>
      </w:r>
    </w:p>
    <w:p w:rsidR="00E35EDE" w:rsidRDefault="00E35EDE" w:rsidP="00E35EDE">
      <w:pPr>
        <w:pStyle w:val="Heading1"/>
      </w:pPr>
      <w:r>
        <w:t xml:space="preserve">Settings in the </w:t>
      </w:r>
      <w:proofErr w:type="spellStart"/>
      <w:r>
        <w:t>iTest</w:t>
      </w:r>
      <w:proofErr w:type="spellEnd"/>
      <w:r>
        <w:t xml:space="preserve">: </w:t>
      </w:r>
    </w:p>
    <w:p w:rsidR="00E35EDE" w:rsidRDefault="00E35EDE" w:rsidP="00E35EDE">
      <w:pPr>
        <w:pStyle w:val="ListParagraph"/>
        <w:numPr>
          <w:ilvl w:val="0"/>
          <w:numId w:val="1"/>
        </w:numPr>
      </w:pPr>
      <w:r>
        <w:t>Nominal Frequency: 60 Hz</w:t>
      </w:r>
    </w:p>
    <w:p w:rsidR="00E35EDE" w:rsidRDefault="00E35EDE" w:rsidP="00E35EDE">
      <w:pPr>
        <w:pStyle w:val="ListParagraph"/>
        <w:numPr>
          <w:ilvl w:val="0"/>
          <w:numId w:val="1"/>
        </w:numPr>
      </w:pPr>
      <w:r>
        <w:t>Low frequency deployment threshold for band 1: 59.985 Hz</w:t>
      </w:r>
    </w:p>
    <w:p w:rsidR="00E35EDE" w:rsidRDefault="00E35EDE" w:rsidP="00E35EDE">
      <w:pPr>
        <w:pStyle w:val="ListParagraph"/>
        <w:numPr>
          <w:ilvl w:val="0"/>
          <w:numId w:val="1"/>
        </w:numPr>
      </w:pPr>
      <w:r>
        <w:t>Low frequency deployment threshold for band 2: 59.95 Hz</w:t>
      </w:r>
    </w:p>
    <w:p w:rsidR="00E35EDE" w:rsidRDefault="00E35EDE" w:rsidP="00E35EDE">
      <w:pPr>
        <w:pStyle w:val="ListParagraph"/>
        <w:numPr>
          <w:ilvl w:val="0"/>
          <w:numId w:val="1"/>
        </w:numPr>
      </w:pPr>
      <w:r>
        <w:t>Low frequency deployment threshold for band 3: 59.91 Hz</w:t>
      </w:r>
    </w:p>
    <w:p w:rsidR="00E35EDE" w:rsidRDefault="00E35EDE" w:rsidP="00E35EDE">
      <w:pPr>
        <w:pStyle w:val="ListParagraph"/>
        <w:numPr>
          <w:ilvl w:val="0"/>
          <w:numId w:val="1"/>
        </w:numPr>
      </w:pPr>
      <w:r>
        <w:t>Low frequency event reset threshold: 59.99 Hz</w:t>
      </w:r>
    </w:p>
    <w:p w:rsidR="00E35EDE" w:rsidRDefault="00E35EDE" w:rsidP="00E35EDE">
      <w:pPr>
        <w:pStyle w:val="ListParagraph"/>
        <w:numPr>
          <w:ilvl w:val="0"/>
          <w:numId w:val="1"/>
        </w:numPr>
      </w:pPr>
      <w:r>
        <w:t xml:space="preserve">High frequency deployment threshold for band 1: </w:t>
      </w:r>
      <w:r w:rsidRPr="004E709D">
        <w:t>60.015 Hz</w:t>
      </w:r>
    </w:p>
    <w:p w:rsidR="00E35EDE" w:rsidRDefault="00E35EDE" w:rsidP="00E35EDE">
      <w:pPr>
        <w:pStyle w:val="ListParagraph"/>
        <w:numPr>
          <w:ilvl w:val="0"/>
          <w:numId w:val="1"/>
        </w:numPr>
      </w:pPr>
      <w:r>
        <w:t>High frequency deployment threshold for band 2: 60.05 Hz</w:t>
      </w:r>
    </w:p>
    <w:p w:rsidR="00E35EDE" w:rsidRDefault="00E35EDE" w:rsidP="00E35EDE">
      <w:pPr>
        <w:pStyle w:val="ListParagraph"/>
        <w:numPr>
          <w:ilvl w:val="0"/>
          <w:numId w:val="1"/>
        </w:numPr>
      </w:pPr>
      <w:r>
        <w:t>High frequency deployment threshold for band 3: 60.09 Hz</w:t>
      </w:r>
    </w:p>
    <w:p w:rsidR="00E35EDE" w:rsidRDefault="00E35EDE" w:rsidP="00E35EDE">
      <w:pPr>
        <w:pStyle w:val="ListParagraph"/>
        <w:numPr>
          <w:ilvl w:val="0"/>
          <w:numId w:val="1"/>
        </w:numPr>
      </w:pPr>
      <w:r>
        <w:t>High frequency event reset threshold: 60.01 Hz</w:t>
      </w:r>
    </w:p>
    <w:p w:rsidR="00E35EDE" w:rsidRDefault="00E35EDE" w:rsidP="00E35EDE">
      <w:pPr>
        <w:pStyle w:val="ListParagraph"/>
        <w:numPr>
          <w:ilvl w:val="0"/>
          <w:numId w:val="1"/>
        </w:numPr>
      </w:pPr>
      <w:r>
        <w:t>Recall interval: 12 seconds</w:t>
      </w:r>
    </w:p>
    <w:p w:rsidR="00F038C1" w:rsidRDefault="00F038C1" w:rsidP="00E35EDE">
      <w:pPr>
        <w:pStyle w:val="ListParagraph"/>
        <w:numPr>
          <w:ilvl w:val="0"/>
          <w:numId w:val="1"/>
        </w:numPr>
      </w:pPr>
      <w:r>
        <w:t>Percentage of responsibility required if in band 1: 50%</w:t>
      </w:r>
    </w:p>
    <w:p w:rsidR="00F038C1" w:rsidRDefault="00F038C1" w:rsidP="00E35EDE">
      <w:pPr>
        <w:pStyle w:val="ListParagraph"/>
        <w:numPr>
          <w:ilvl w:val="0"/>
          <w:numId w:val="1"/>
        </w:numPr>
      </w:pPr>
      <w:r>
        <w:t>Percentage of responsibility required if in band 2: 100%</w:t>
      </w:r>
    </w:p>
    <w:p w:rsidR="00E35EDE" w:rsidRDefault="00E35EDE" w:rsidP="00E35EDE"/>
    <w:p w:rsidR="00CF43EF" w:rsidRDefault="00CF43EF" w:rsidP="00E35EDE"/>
    <w:p w:rsidR="00CF43EF" w:rsidRDefault="00CF43EF" w:rsidP="00E35EDE"/>
    <w:p w:rsidR="00CF43EF" w:rsidRDefault="00CF43EF" w:rsidP="00E35EDE"/>
    <w:p w:rsidR="00CF43EF" w:rsidRDefault="00CF43EF" w:rsidP="00E35EDE"/>
    <w:p w:rsidR="00CF43EF" w:rsidRDefault="00CF43EF" w:rsidP="00E35EDE"/>
    <w:p w:rsidR="00CF43EF" w:rsidRDefault="00CF43EF" w:rsidP="00E35EDE"/>
    <w:p w:rsidR="00CF43EF" w:rsidRDefault="00CF43EF" w:rsidP="00E35EDE"/>
    <w:p w:rsidR="00CF43EF" w:rsidRDefault="00CF43EF" w:rsidP="00E35EDE"/>
    <w:p w:rsidR="00CF43EF" w:rsidRDefault="00CF43EF" w:rsidP="00E35EDE">
      <w:pPr>
        <w:pStyle w:val="Heading1"/>
      </w:pPr>
    </w:p>
    <w:p w:rsidR="00E35EDE" w:rsidRDefault="003B5866" w:rsidP="00E35EDE">
      <w:pPr>
        <w:pStyle w:val="Heading1"/>
      </w:pPr>
      <w:r>
        <w:t xml:space="preserve">ERCOT </w:t>
      </w:r>
      <w:proofErr w:type="spellStart"/>
      <w:r w:rsidR="00E35EDE">
        <w:t>iTest</w:t>
      </w:r>
      <w:proofErr w:type="spellEnd"/>
      <w:r w:rsidR="00E35EDE">
        <w:t xml:space="preserve"> </w:t>
      </w:r>
      <w:r w:rsidR="00CF43EF">
        <w:t>FRRS Deployments</w:t>
      </w:r>
      <w:r w:rsidR="00E35EDE">
        <w:t xml:space="preserve"> </w:t>
      </w:r>
    </w:p>
    <w:p w:rsidR="00CF43EF" w:rsidRDefault="00CF43EF" w:rsidP="00CF43EF"/>
    <w:p w:rsidR="003B5866" w:rsidRPr="00CF43EF" w:rsidRDefault="003B5866" w:rsidP="00CF43EF">
      <w:r>
        <w:t xml:space="preserve">Tables and figures below include three days of ERCOT </w:t>
      </w:r>
      <w:proofErr w:type="spellStart"/>
      <w:r>
        <w:t>iTest</w:t>
      </w:r>
      <w:proofErr w:type="spellEnd"/>
      <w:r>
        <w:t xml:space="preserve"> FRRS deployment summary. </w:t>
      </w:r>
      <w:r>
        <w:t xml:space="preserve">The figure includes daily deployment energy for each 15 minutes interval (blue line), hourly moving average (red </w:t>
      </w:r>
      <w:proofErr w:type="gramStart"/>
      <w:r>
        <w:t>line)</w:t>
      </w:r>
      <w:proofErr w:type="gramEnd"/>
      <w:r>
        <w:t xml:space="preserve"> and daily deployment energy trend (orange line).</w:t>
      </w:r>
    </w:p>
    <w:tbl>
      <w:tblPr>
        <w:tblpPr w:leftFromText="180" w:rightFromText="180" w:vertAnchor="text" w:tblpY="1"/>
        <w:tblOverlap w:val="never"/>
        <w:tblW w:w="0" w:type="auto"/>
        <w:tblInd w:w="93" w:type="dxa"/>
        <w:tblLook w:val="04A0" w:firstRow="1" w:lastRow="0" w:firstColumn="1" w:lastColumn="0" w:noHBand="0" w:noVBand="1"/>
      </w:tblPr>
      <w:tblGrid>
        <w:gridCol w:w="3987"/>
        <w:gridCol w:w="1053"/>
        <w:gridCol w:w="1376"/>
      </w:tblGrid>
      <w:tr w:rsidR="00E35EDE" w:rsidRPr="00A136EE" w:rsidTr="008A117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Pr="00A136EE" w:rsidRDefault="00E35EDE" w:rsidP="00CF43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11-Jan-13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Pr="00A136EE" w:rsidRDefault="00E35EDE" w:rsidP="008A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FRRS UP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Pr="00A136EE" w:rsidRDefault="00E35EDE" w:rsidP="008A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 xml:space="preserve"> FRRS DOWN </w:t>
            </w:r>
          </w:p>
        </w:tc>
      </w:tr>
      <w:tr w:rsidR="00E35EDE" w:rsidTr="008A117B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DE" w:rsidRPr="00A136EE" w:rsidRDefault="00E35EDE" w:rsidP="008A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Daily deployment counts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Default="00E35EDE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Default="00E35EDE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219</w:t>
            </w:r>
          </w:p>
        </w:tc>
      </w:tr>
      <w:tr w:rsidR="00E35EDE" w:rsidTr="008A117B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DE" w:rsidRPr="00A136EE" w:rsidRDefault="00E35EDE" w:rsidP="008A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Daily Deployment Energy(</w:t>
            </w:r>
            <w:proofErr w:type="spellStart"/>
            <w:r w:rsidRPr="00A136EE">
              <w:rPr>
                <w:rFonts w:ascii="Calibri" w:eastAsia="Times New Roman" w:hAnsi="Calibri" w:cs="Times New Roman"/>
                <w:color w:val="000000"/>
              </w:rPr>
              <w:t>MWh</w:t>
            </w:r>
            <w:proofErr w:type="spellEnd"/>
            <w:r w:rsidRPr="00A136EE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Default="00E35EDE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Default="00E35EDE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60.05</w:t>
            </w:r>
          </w:p>
        </w:tc>
      </w:tr>
      <w:tr w:rsidR="00E35EDE" w:rsidTr="008A117B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DE" w:rsidRPr="00A136EE" w:rsidRDefault="00E35EDE" w:rsidP="008A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Daily Deployment Duration(hours)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Default="00E35EDE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Default="00E35EDE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6.66</w:t>
            </w:r>
          </w:p>
        </w:tc>
      </w:tr>
      <w:tr w:rsidR="00E35EDE" w:rsidTr="008A117B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DE" w:rsidRPr="00A136EE" w:rsidRDefault="00E35EDE" w:rsidP="008A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Max Duration for a single deployment(s)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Default="00E35EDE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Default="00E35EDE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224</w:t>
            </w:r>
          </w:p>
        </w:tc>
      </w:tr>
      <w:tr w:rsidR="00E35EDE" w:rsidTr="008A117B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DE" w:rsidRPr="00A136EE" w:rsidRDefault="00E35EDE" w:rsidP="008A11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Max Energy for a single deployment(KWh)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Default="00E35EDE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733.33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DE" w:rsidRDefault="00E35EDE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733.33</w:t>
            </w:r>
          </w:p>
        </w:tc>
      </w:tr>
    </w:tbl>
    <w:p w:rsidR="00E35EDE" w:rsidRDefault="00E35EDE"/>
    <w:p w:rsidR="00E35EDE" w:rsidRDefault="00E35EDE"/>
    <w:p w:rsidR="00E35EDE" w:rsidRDefault="00E35EDE"/>
    <w:p w:rsidR="00CF43EF" w:rsidRDefault="00CF43EF"/>
    <w:p w:rsidR="00CF43EF" w:rsidRDefault="003B5866">
      <w:r>
        <w:rPr>
          <w:noProof/>
        </w:rPr>
        <w:drawing>
          <wp:inline distT="0" distB="0" distL="0" distR="0" wp14:anchorId="01EB5F77" wp14:editId="3DBA04F7">
            <wp:extent cx="5499100" cy="44075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440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43EF" w:rsidRDefault="00CF43EF"/>
    <w:p w:rsidR="00CF43EF" w:rsidRDefault="00CF43EF"/>
    <w:p w:rsidR="00CF43EF" w:rsidRDefault="00CF43EF"/>
    <w:tbl>
      <w:tblPr>
        <w:tblpPr w:leftFromText="180" w:rightFromText="180" w:vertAnchor="text" w:horzAnchor="margin" w:tblpY="-649"/>
        <w:tblOverlap w:val="never"/>
        <w:tblW w:w="0" w:type="auto"/>
        <w:tblLook w:val="04A0" w:firstRow="1" w:lastRow="0" w:firstColumn="1" w:lastColumn="0" w:noHBand="0" w:noVBand="1"/>
      </w:tblPr>
      <w:tblGrid>
        <w:gridCol w:w="3987"/>
        <w:gridCol w:w="1053"/>
        <w:gridCol w:w="1376"/>
      </w:tblGrid>
      <w:tr w:rsidR="00CF43EF" w:rsidRPr="00A136EE" w:rsidTr="00CF43E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Pr="00A136EE" w:rsidRDefault="00CF43EF" w:rsidP="00CF43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Pr="00A136EE">
              <w:rPr>
                <w:rFonts w:ascii="Calibri" w:eastAsia="Times New Roman" w:hAnsi="Calibri" w:cs="Times New Roman"/>
                <w:color w:val="000000"/>
              </w:rPr>
              <w:t>-Jan-13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Pr="00A136EE" w:rsidRDefault="00CF43EF" w:rsidP="00CF43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FRRS UP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Pr="00A136EE" w:rsidRDefault="00CF43EF" w:rsidP="00CF43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 xml:space="preserve"> FRRS DOWN </w:t>
            </w:r>
          </w:p>
        </w:tc>
      </w:tr>
      <w:tr w:rsidR="00CF43EF" w:rsidRPr="00A136EE" w:rsidTr="00CF43E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Pr="00A136EE" w:rsidRDefault="00CF43EF" w:rsidP="00CF43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Daily deployment counts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Default="00CF43EF" w:rsidP="00CF43E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Default="00CF43EF" w:rsidP="00CF43E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269</w:t>
            </w:r>
          </w:p>
        </w:tc>
      </w:tr>
      <w:tr w:rsidR="00CF43EF" w:rsidRPr="00A136EE" w:rsidTr="00CF43E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Pr="00A136EE" w:rsidRDefault="00CF43EF" w:rsidP="00CF43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Daily Deployment Energy(</w:t>
            </w:r>
            <w:proofErr w:type="spellStart"/>
            <w:r w:rsidRPr="00A136EE">
              <w:rPr>
                <w:rFonts w:ascii="Calibri" w:eastAsia="Times New Roman" w:hAnsi="Calibri" w:cs="Times New Roman"/>
                <w:color w:val="000000"/>
              </w:rPr>
              <w:t>MWh</w:t>
            </w:r>
            <w:proofErr w:type="spellEnd"/>
            <w:r w:rsidRPr="00A136EE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Default="00CF43EF" w:rsidP="00CF43E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Default="00CF43EF" w:rsidP="00CF43E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75.06</w:t>
            </w:r>
          </w:p>
        </w:tc>
      </w:tr>
      <w:tr w:rsidR="00CF43EF" w:rsidRPr="00A136EE" w:rsidTr="00CF43E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Pr="00A136EE" w:rsidRDefault="00CF43EF" w:rsidP="00CF43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Daily Deployment Duration(hours)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Default="00CF43EF" w:rsidP="00CF43E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Default="00CF43EF" w:rsidP="00CF43E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8.21</w:t>
            </w:r>
          </w:p>
        </w:tc>
      </w:tr>
      <w:tr w:rsidR="00CF43EF" w:rsidRPr="00A136EE" w:rsidTr="00CF43E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Pr="00A136EE" w:rsidRDefault="00CF43EF" w:rsidP="00CF43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Max Duration for a single deployment(s)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Default="00CF43EF" w:rsidP="00CF43E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Default="00CF43EF" w:rsidP="00CF43E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344</w:t>
            </w:r>
          </w:p>
        </w:tc>
      </w:tr>
      <w:tr w:rsidR="00CF43EF" w:rsidRPr="00A136EE" w:rsidTr="00CF43E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Pr="00A136EE" w:rsidRDefault="00CF43EF" w:rsidP="00CF43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Max Energy for a single deployment(KWh)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Default="00CF43EF" w:rsidP="00CF43E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733.33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Default="00CF43EF" w:rsidP="00CF43E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1255.56</w:t>
            </w:r>
          </w:p>
        </w:tc>
      </w:tr>
    </w:tbl>
    <w:p w:rsidR="00CF43EF" w:rsidRDefault="00CF43EF"/>
    <w:p w:rsidR="00CF43EF" w:rsidRDefault="00CF43EF"/>
    <w:p w:rsidR="00CF43EF" w:rsidRDefault="00CF43EF"/>
    <w:p w:rsidR="00283C6C" w:rsidRDefault="00283C6C"/>
    <w:p w:rsidR="00283C6C" w:rsidRDefault="00283C6C">
      <w:r>
        <w:rPr>
          <w:noProof/>
        </w:rPr>
        <w:drawing>
          <wp:inline distT="0" distB="0" distL="0" distR="0">
            <wp:extent cx="5499100" cy="440182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4401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43EF" w:rsidRDefault="00CF43EF"/>
    <w:p w:rsidR="00CF43EF" w:rsidRDefault="00CF43EF"/>
    <w:p w:rsidR="00CF43EF" w:rsidRDefault="00CF43EF"/>
    <w:p w:rsidR="00CF43EF" w:rsidRDefault="00CF43EF"/>
    <w:p w:rsidR="00CF43EF" w:rsidRDefault="00CF43EF"/>
    <w:p w:rsidR="00CF43EF" w:rsidRDefault="00CF43EF"/>
    <w:tbl>
      <w:tblPr>
        <w:tblpPr w:leftFromText="180" w:rightFromText="180" w:vertAnchor="text" w:tblpY="1"/>
        <w:tblOverlap w:val="never"/>
        <w:tblW w:w="0" w:type="auto"/>
        <w:tblInd w:w="93" w:type="dxa"/>
        <w:tblLook w:val="04A0" w:firstRow="1" w:lastRow="0" w:firstColumn="1" w:lastColumn="0" w:noHBand="0" w:noVBand="1"/>
      </w:tblPr>
      <w:tblGrid>
        <w:gridCol w:w="3987"/>
        <w:gridCol w:w="1053"/>
        <w:gridCol w:w="1376"/>
      </w:tblGrid>
      <w:tr w:rsidR="00CF43EF" w:rsidRPr="00A136EE" w:rsidTr="008A117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Pr="00A136EE" w:rsidRDefault="00CF43EF" w:rsidP="00283C6C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  <w:bookmarkEnd w:id="0"/>
            <w:r w:rsidRPr="00A136EE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  <w:r w:rsidRPr="00A136EE">
              <w:rPr>
                <w:rFonts w:ascii="Calibri" w:eastAsia="Times New Roman" w:hAnsi="Calibri" w:cs="Times New Roman"/>
                <w:color w:val="000000"/>
              </w:rPr>
              <w:t>-Jan-13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Pr="00A136EE" w:rsidRDefault="00CF43EF" w:rsidP="008A117B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FRRS UP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Pr="00A136EE" w:rsidRDefault="00CF43EF" w:rsidP="008A117B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 xml:space="preserve"> FRRS DOWN </w:t>
            </w:r>
          </w:p>
        </w:tc>
      </w:tr>
      <w:tr w:rsidR="00CF43EF" w:rsidRPr="00A136EE" w:rsidTr="008A117B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Pr="00A136EE" w:rsidRDefault="00CF43EF" w:rsidP="008A117B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Daily deployment counts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Default="00CF43EF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Default="00CF43EF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253</w:t>
            </w:r>
          </w:p>
        </w:tc>
      </w:tr>
      <w:tr w:rsidR="00CF43EF" w:rsidRPr="00A136EE" w:rsidTr="008A117B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Pr="00A136EE" w:rsidRDefault="00CF43EF" w:rsidP="008A117B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Daily Deployment Energy(</w:t>
            </w:r>
            <w:proofErr w:type="spellStart"/>
            <w:r w:rsidRPr="00A136EE">
              <w:rPr>
                <w:rFonts w:ascii="Calibri" w:eastAsia="Times New Roman" w:hAnsi="Calibri" w:cs="Times New Roman"/>
                <w:color w:val="000000"/>
              </w:rPr>
              <w:t>MWh</w:t>
            </w:r>
            <w:proofErr w:type="spellEnd"/>
            <w:r w:rsidRPr="00A136EE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Default="00CF43EF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Default="00CF43EF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67.15</w:t>
            </w:r>
          </w:p>
        </w:tc>
      </w:tr>
      <w:tr w:rsidR="00CF43EF" w:rsidRPr="00A136EE" w:rsidTr="008A117B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Pr="00A136EE" w:rsidRDefault="00CF43EF" w:rsidP="008A117B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Daily Deployment Duration(hours)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Default="00CF43EF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Default="00CF43EF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7.46</w:t>
            </w:r>
          </w:p>
        </w:tc>
      </w:tr>
      <w:tr w:rsidR="00CF43EF" w:rsidRPr="00A136EE" w:rsidTr="008A117B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Pr="00A136EE" w:rsidRDefault="00CF43EF" w:rsidP="008A117B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Max Duration for a single deployment(s)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Default="00CF43EF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Default="00CF43EF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</w:t>
            </w:r>
          </w:p>
        </w:tc>
      </w:tr>
      <w:tr w:rsidR="00CF43EF" w:rsidRPr="00A136EE" w:rsidTr="008A117B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3EF" w:rsidRPr="00A136EE" w:rsidRDefault="00CF43EF" w:rsidP="008A117B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color w:val="000000"/>
              </w:rPr>
            </w:pPr>
            <w:r w:rsidRPr="00A136EE">
              <w:rPr>
                <w:rFonts w:ascii="Calibri" w:eastAsia="Times New Roman" w:hAnsi="Calibri" w:cs="Times New Roman"/>
                <w:color w:val="000000"/>
              </w:rPr>
              <w:t>Max Energy for a single deployment(KWh)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Default="00CF43EF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755.56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EF" w:rsidRDefault="00CF43EF" w:rsidP="008A117B">
            <w:pPr>
              <w:contextualSpacing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733.33</w:t>
            </w:r>
          </w:p>
        </w:tc>
      </w:tr>
    </w:tbl>
    <w:p w:rsidR="00CF43EF" w:rsidRDefault="00CF43EF"/>
    <w:p w:rsidR="00CF43EF" w:rsidRDefault="00CF43EF"/>
    <w:p w:rsidR="00CF43EF" w:rsidRDefault="00CF43EF"/>
    <w:p w:rsidR="00CF43EF" w:rsidRDefault="00CF43EF"/>
    <w:p w:rsidR="00CF43EF" w:rsidRDefault="00CF43EF"/>
    <w:p w:rsidR="00283C6C" w:rsidRDefault="00283C6C">
      <w:r>
        <w:rPr>
          <w:noProof/>
        </w:rPr>
        <w:drawing>
          <wp:inline distT="0" distB="0" distL="0" distR="0">
            <wp:extent cx="5499100" cy="440182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4401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43EF" w:rsidRDefault="00CF43EF"/>
    <w:p w:rsidR="00CF43EF" w:rsidRDefault="00CF43EF"/>
    <w:p w:rsidR="00CF43EF" w:rsidRDefault="00CF43EF"/>
    <w:p w:rsidR="00CF43EF" w:rsidRDefault="00CF43EF"/>
    <w:sectPr w:rsidR="00CF43EF" w:rsidSect="00E44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07FC"/>
    <w:multiLevelType w:val="hybridMultilevel"/>
    <w:tmpl w:val="FDDC9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FA"/>
    <w:rsid w:val="001F6202"/>
    <w:rsid w:val="00283C6C"/>
    <w:rsid w:val="003524C4"/>
    <w:rsid w:val="003B5866"/>
    <w:rsid w:val="00486B91"/>
    <w:rsid w:val="00CF43EF"/>
    <w:rsid w:val="00E35EDE"/>
    <w:rsid w:val="00E44F22"/>
    <w:rsid w:val="00ED64FA"/>
    <w:rsid w:val="00F0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5E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35E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5E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35E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35E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4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3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5E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35E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5E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35E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35E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4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3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Huang, Fred</dc:creator>
  <cp:lastModifiedBy>Huang, Fred</cp:lastModifiedBy>
  <cp:revision>2</cp:revision>
  <dcterms:created xsi:type="dcterms:W3CDTF">2013-02-13T15:32:00Z</dcterms:created>
  <dcterms:modified xsi:type="dcterms:W3CDTF">2013-02-13T15:32:00Z</dcterms:modified>
</cp:coreProperties>
</file>