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266" w:rsidRPr="009B6AA6" w:rsidRDefault="00A0788C" w:rsidP="00A0788C">
      <w:pPr>
        <w:spacing w:after="0"/>
        <w:jc w:val="center"/>
        <w:rPr>
          <w:rFonts w:ascii="Times New Roman" w:hAnsi="Times New Roman" w:cs="Times New Roman"/>
          <w:sz w:val="28"/>
        </w:rPr>
      </w:pPr>
      <w:r w:rsidRPr="009B6AA6">
        <w:rPr>
          <w:rFonts w:ascii="Times New Roman" w:hAnsi="Times New Roman" w:cs="Times New Roman"/>
          <w:sz w:val="28"/>
        </w:rPr>
        <w:t>Operations Working Group Report</w:t>
      </w:r>
    </w:p>
    <w:p w:rsidR="00A0788C" w:rsidRPr="009B6AA6" w:rsidRDefault="00A5128D" w:rsidP="00A0788C">
      <w:pPr>
        <w:spacing w:after="0"/>
        <w:jc w:val="center"/>
        <w:rPr>
          <w:rFonts w:ascii="Times New Roman" w:hAnsi="Times New Roman" w:cs="Times New Roman"/>
        </w:rPr>
      </w:pPr>
      <w:r>
        <w:rPr>
          <w:rFonts w:ascii="Times New Roman" w:hAnsi="Times New Roman" w:cs="Times New Roman"/>
        </w:rPr>
        <w:t>November</w:t>
      </w:r>
      <w:r w:rsidR="00A0788C" w:rsidRPr="009B6AA6">
        <w:rPr>
          <w:rFonts w:ascii="Times New Roman" w:hAnsi="Times New Roman" w:cs="Times New Roman"/>
        </w:rPr>
        <w:t>, 2012</w:t>
      </w:r>
      <w:bookmarkStart w:id="0" w:name="_GoBack"/>
      <w:bookmarkEnd w:id="0"/>
    </w:p>
    <w:p w:rsidR="00A0788C" w:rsidRPr="009B6AA6" w:rsidRDefault="00A0788C" w:rsidP="00A0788C">
      <w:pPr>
        <w:spacing w:after="0"/>
        <w:jc w:val="center"/>
        <w:rPr>
          <w:rFonts w:ascii="Times New Roman" w:hAnsi="Times New Roman" w:cs="Times New Roman"/>
        </w:rPr>
      </w:pPr>
    </w:p>
    <w:p w:rsidR="00A0788C" w:rsidRPr="009B6AA6" w:rsidRDefault="00A0788C" w:rsidP="00A0788C">
      <w:pPr>
        <w:spacing w:after="0"/>
        <w:rPr>
          <w:rFonts w:ascii="Times New Roman" w:hAnsi="Times New Roman" w:cs="Times New Roman"/>
        </w:rPr>
      </w:pPr>
      <w:r w:rsidRPr="009B6AA6">
        <w:rPr>
          <w:rFonts w:ascii="Times New Roman" w:hAnsi="Times New Roman" w:cs="Times New Roman"/>
        </w:rPr>
        <w:t>The Operations Worki</w:t>
      </w:r>
      <w:r w:rsidR="00C46AA0" w:rsidRPr="009B6AA6">
        <w:rPr>
          <w:rFonts w:ascii="Times New Roman" w:hAnsi="Times New Roman" w:cs="Times New Roman"/>
        </w:rPr>
        <w:t>n</w:t>
      </w:r>
      <w:r w:rsidR="001020AB">
        <w:rPr>
          <w:rFonts w:ascii="Times New Roman" w:hAnsi="Times New Roman" w:cs="Times New Roman"/>
        </w:rPr>
        <w:t>g Group (OWG) met on October 17</w:t>
      </w:r>
      <w:r w:rsidRPr="009B6AA6">
        <w:rPr>
          <w:rFonts w:ascii="Times New Roman" w:hAnsi="Times New Roman" w:cs="Times New Roman"/>
        </w:rPr>
        <w:t>, 2012 an</w:t>
      </w:r>
      <w:r w:rsidR="00BD3F7D" w:rsidRPr="009B6AA6">
        <w:rPr>
          <w:rFonts w:ascii="Times New Roman" w:hAnsi="Times New Roman" w:cs="Times New Roman"/>
        </w:rPr>
        <w:t>d considered the following</w:t>
      </w:r>
      <w:r w:rsidRPr="009B6AA6">
        <w:rPr>
          <w:rFonts w:ascii="Times New Roman" w:hAnsi="Times New Roman" w:cs="Times New Roman"/>
        </w:rPr>
        <w:t>:</w:t>
      </w:r>
    </w:p>
    <w:p w:rsidR="00A0788C" w:rsidRPr="009B6AA6" w:rsidRDefault="00A0788C" w:rsidP="00A0788C">
      <w:pPr>
        <w:spacing w:after="0"/>
        <w:rPr>
          <w:rFonts w:ascii="Times New Roman" w:hAnsi="Times New Roman" w:cs="Times New Roman"/>
        </w:rPr>
      </w:pPr>
    </w:p>
    <w:p w:rsidR="00A0788C" w:rsidRPr="009B6AA6" w:rsidRDefault="00F83EC9" w:rsidP="00A0788C">
      <w:pPr>
        <w:spacing w:after="0"/>
        <w:rPr>
          <w:rFonts w:ascii="Times New Roman" w:hAnsi="Times New Roman" w:cs="Times New Roman"/>
          <w:b/>
          <w:sz w:val="24"/>
        </w:rPr>
      </w:pPr>
      <w:r>
        <w:rPr>
          <w:rFonts w:ascii="Times New Roman" w:hAnsi="Times New Roman" w:cs="Times New Roman"/>
          <w:b/>
          <w:sz w:val="24"/>
        </w:rPr>
        <w:t>August</w:t>
      </w:r>
      <w:r w:rsidR="00DC08A7" w:rsidRPr="009B6AA6">
        <w:rPr>
          <w:rFonts w:ascii="Times New Roman" w:hAnsi="Times New Roman" w:cs="Times New Roman"/>
          <w:b/>
          <w:sz w:val="24"/>
        </w:rPr>
        <w:t xml:space="preserve"> OWG Meeting Minutes Review – </w:t>
      </w:r>
    </w:p>
    <w:p w:rsidR="00DC08A7" w:rsidRPr="009B6AA6" w:rsidRDefault="00DC08A7" w:rsidP="00A0788C">
      <w:pPr>
        <w:spacing w:after="0"/>
        <w:rPr>
          <w:rFonts w:ascii="Times New Roman" w:hAnsi="Times New Roman" w:cs="Times New Roman"/>
        </w:rPr>
      </w:pPr>
      <w:r w:rsidRPr="009B6AA6">
        <w:rPr>
          <w:rFonts w:ascii="Times New Roman" w:hAnsi="Times New Roman" w:cs="Times New Roman"/>
        </w:rPr>
        <w:t>The working group re</w:t>
      </w:r>
      <w:r w:rsidR="001020AB">
        <w:rPr>
          <w:rFonts w:ascii="Times New Roman" w:hAnsi="Times New Roman" w:cs="Times New Roman"/>
        </w:rPr>
        <w:t>viewed and approved the August</w:t>
      </w:r>
      <w:r w:rsidRPr="009B6AA6">
        <w:rPr>
          <w:rFonts w:ascii="Times New Roman" w:hAnsi="Times New Roman" w:cs="Times New Roman"/>
        </w:rPr>
        <w:t xml:space="preserve"> meeting minutes.</w:t>
      </w:r>
    </w:p>
    <w:p w:rsidR="00DC08A7" w:rsidRPr="009B6AA6" w:rsidRDefault="00DC08A7" w:rsidP="00A0788C">
      <w:pPr>
        <w:spacing w:after="0"/>
        <w:rPr>
          <w:rFonts w:ascii="Times New Roman" w:hAnsi="Times New Roman" w:cs="Times New Roman"/>
        </w:rPr>
      </w:pPr>
    </w:p>
    <w:p w:rsidR="00DC08A7" w:rsidRPr="009B6AA6" w:rsidRDefault="00BD3F7D" w:rsidP="00A0788C">
      <w:pPr>
        <w:spacing w:after="0"/>
        <w:rPr>
          <w:rFonts w:ascii="Times New Roman" w:hAnsi="Times New Roman" w:cs="Times New Roman"/>
          <w:b/>
          <w:sz w:val="24"/>
        </w:rPr>
      </w:pPr>
      <w:r w:rsidRPr="009B6AA6">
        <w:rPr>
          <w:rFonts w:ascii="Times New Roman" w:hAnsi="Times New Roman" w:cs="Times New Roman"/>
          <w:b/>
          <w:sz w:val="24"/>
        </w:rPr>
        <w:t>Revision Request R</w:t>
      </w:r>
      <w:r w:rsidR="00DC08A7" w:rsidRPr="009B6AA6">
        <w:rPr>
          <w:rFonts w:ascii="Times New Roman" w:hAnsi="Times New Roman" w:cs="Times New Roman"/>
          <w:b/>
          <w:sz w:val="24"/>
        </w:rPr>
        <w:t xml:space="preserve">eview – </w:t>
      </w:r>
    </w:p>
    <w:p w:rsidR="00662858" w:rsidRPr="009B6AA6" w:rsidRDefault="00637621" w:rsidP="00A0788C">
      <w:pPr>
        <w:spacing w:after="0"/>
        <w:rPr>
          <w:rFonts w:ascii="Times New Roman" w:hAnsi="Times New Roman" w:cs="Times New Roman"/>
        </w:rPr>
      </w:pPr>
      <w:r w:rsidRPr="009B6AA6">
        <w:rPr>
          <w:rFonts w:ascii="Times New Roman" w:hAnsi="Times New Roman" w:cs="Times New Roman"/>
        </w:rPr>
        <w:tab/>
      </w:r>
      <w:r w:rsidRPr="009B6AA6">
        <w:rPr>
          <w:rFonts w:ascii="Times New Roman" w:hAnsi="Times New Roman" w:cs="Times New Roman"/>
        </w:rPr>
        <w:tab/>
      </w:r>
    </w:p>
    <w:tbl>
      <w:tblPr>
        <w:tblStyle w:val="TableGrid"/>
        <w:tblW w:w="6480" w:type="dxa"/>
        <w:tblInd w:w="1638" w:type="dxa"/>
        <w:tblLook w:val="04A0" w:firstRow="1" w:lastRow="0" w:firstColumn="1" w:lastColumn="0" w:noHBand="0" w:noVBand="1"/>
      </w:tblPr>
      <w:tblGrid>
        <w:gridCol w:w="6480"/>
      </w:tblGrid>
      <w:tr w:rsidR="00621007" w:rsidRPr="009B6AA6" w:rsidTr="00504A51">
        <w:tc>
          <w:tcPr>
            <w:tcW w:w="6480" w:type="dxa"/>
            <w:shd w:val="clear" w:color="auto" w:fill="000000" w:themeFill="text1"/>
          </w:tcPr>
          <w:p w:rsidR="00621007" w:rsidRPr="009B6AA6" w:rsidRDefault="00504A51" w:rsidP="008C631F">
            <w:pPr>
              <w:jc w:val="center"/>
              <w:rPr>
                <w:rFonts w:ascii="Times New Roman" w:hAnsi="Times New Roman" w:cs="Times New Roman"/>
                <w:b/>
                <w:color w:val="00B050"/>
              </w:rPr>
            </w:pPr>
            <w:r>
              <w:rPr>
                <w:rFonts w:ascii="Times New Roman" w:hAnsi="Times New Roman" w:cs="Times New Roman"/>
                <w:b/>
                <w:color w:val="00B050"/>
              </w:rPr>
              <w:t>102</w:t>
            </w:r>
            <w:r w:rsidR="002E0064" w:rsidRPr="002E0064">
              <w:rPr>
                <w:rFonts w:ascii="Times New Roman" w:hAnsi="Times New Roman" w:cs="Times New Roman"/>
                <w:b/>
                <w:color w:val="00B050"/>
              </w:rPr>
              <w:t xml:space="preserve">NOGRR </w:t>
            </w:r>
            <w:r w:rsidR="00621007" w:rsidRPr="0006701A">
              <w:rPr>
                <w:rFonts w:ascii="Times New Roman" w:hAnsi="Times New Roman" w:cs="Times New Roman"/>
                <w:b/>
                <w:noProof/>
                <w:color w:val="00B050"/>
              </w:rPr>
              <w:drawing>
                <wp:inline distT="0" distB="0" distL="0" distR="0" wp14:anchorId="2FFAB0D7" wp14:editId="3F5EED1D">
                  <wp:extent cx="135456" cy="118652"/>
                  <wp:effectExtent l="19050" t="0" r="0" b="0"/>
                  <wp:docPr id="9"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621007" w:rsidRPr="009B6AA6" w:rsidTr="00504A51">
        <w:tc>
          <w:tcPr>
            <w:tcW w:w="6480" w:type="dxa"/>
          </w:tcPr>
          <w:p w:rsidR="00621007" w:rsidRPr="003600B6" w:rsidRDefault="00504A51" w:rsidP="003600B6">
            <w:pPr>
              <w:jc w:val="center"/>
              <w:rPr>
                <w:rFonts w:ascii="Times New Roman" w:hAnsi="Times New Roman" w:cs="Times New Roman"/>
                <w:b/>
              </w:rPr>
            </w:pPr>
            <w:r w:rsidRPr="00D25102">
              <w:rPr>
                <w:rFonts w:cs="Calibri"/>
                <w:b/>
              </w:rPr>
              <w:t>Synchronization with NPRR454, Removal of Unfunded Project List Language</w:t>
            </w:r>
            <w:r w:rsidR="002E0064" w:rsidRPr="002E0064">
              <w:rPr>
                <w:rFonts w:ascii="Times New Roman" w:hAnsi="Times New Roman" w:cs="Times New Roman"/>
                <w:b/>
              </w:rPr>
              <w:t>.</w:t>
            </w:r>
          </w:p>
        </w:tc>
      </w:tr>
      <w:tr w:rsidR="00621007" w:rsidRPr="009B6AA6" w:rsidTr="00504A51">
        <w:tc>
          <w:tcPr>
            <w:tcW w:w="6480" w:type="dxa"/>
          </w:tcPr>
          <w:p w:rsidR="00621007" w:rsidRPr="009B6AA6" w:rsidRDefault="00127C45" w:rsidP="008C631F">
            <w:pPr>
              <w:jc w:val="center"/>
              <w:rPr>
                <w:rFonts w:ascii="Times New Roman" w:hAnsi="Times New Roman" w:cs="Times New Roman"/>
              </w:rPr>
            </w:pPr>
            <w:r w:rsidRPr="00127C45">
              <w:rPr>
                <w:rFonts w:ascii="Times New Roman" w:hAnsi="Times New Roman" w:cs="Times New Roman"/>
              </w:rPr>
              <w:t>Impact Analysis Review</w:t>
            </w:r>
          </w:p>
        </w:tc>
      </w:tr>
      <w:tr w:rsidR="00621007" w:rsidRPr="009B6AA6" w:rsidTr="00504A51">
        <w:tc>
          <w:tcPr>
            <w:tcW w:w="6480" w:type="dxa"/>
          </w:tcPr>
          <w:p w:rsidR="00621007" w:rsidRPr="009B6AA6" w:rsidRDefault="00621007" w:rsidP="00127C45">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127C45">
              <w:rPr>
                <w:rFonts w:ascii="Times New Roman" w:hAnsi="Times New Roman" w:cs="Times New Roman"/>
                <w:color w:val="00B050"/>
              </w:rPr>
              <w:t>OWG Recommends ROS Approval</w:t>
            </w:r>
            <w:r w:rsidRPr="009B6AA6">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14:anchorId="164F3BB6" wp14:editId="78B281B1">
                  <wp:extent cx="135456" cy="118652"/>
                  <wp:effectExtent l="19050" t="0" r="0" b="0"/>
                  <wp:docPr id="10"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621007" w:rsidRPr="009B6AA6" w:rsidTr="00504A51">
        <w:tc>
          <w:tcPr>
            <w:tcW w:w="6480" w:type="dxa"/>
          </w:tcPr>
          <w:p w:rsidR="00621007" w:rsidRPr="009B6AA6" w:rsidRDefault="00621007" w:rsidP="008C631F">
            <w:pPr>
              <w:jc w:val="center"/>
              <w:rPr>
                <w:rFonts w:ascii="Times New Roman" w:hAnsi="Times New Roman" w:cs="Times New Roman"/>
              </w:rPr>
            </w:pPr>
            <w:r w:rsidRPr="009B6AA6">
              <w:rPr>
                <w:rFonts w:ascii="Times New Roman" w:hAnsi="Times New Roman" w:cs="Times New Roman"/>
              </w:rPr>
              <w:t>Discussion:</w:t>
            </w:r>
          </w:p>
          <w:p w:rsidR="00504A51" w:rsidRDefault="00504A51" w:rsidP="00504A51">
            <w:pPr>
              <w:pStyle w:val="ListParagraph"/>
            </w:pPr>
            <w:r w:rsidRPr="00D25102">
              <w:t>This NOGRR aligns the Nodal Operating Guides with NPRR 454 which removed language regarding the Unfunded Project List. </w:t>
            </w:r>
          </w:p>
          <w:p w:rsidR="00621007" w:rsidRDefault="00504A51" w:rsidP="00504A51">
            <w:pPr>
              <w:jc w:val="center"/>
              <w:rPr>
                <w:rFonts w:ascii="Times New Roman" w:hAnsi="Times New Roman" w:cs="Times New Roman"/>
              </w:rPr>
            </w:pPr>
            <w:r w:rsidRPr="00D25102">
              <w:t xml:space="preserve"> This NOGRR also aligns the Nodal Operating Guides with the Protocols by requiring ERCOT’s opinion in the TAC Report for any NOGRR requiring an ERCOT project for implementation; and includes administrative alignment changes</w:t>
            </w:r>
            <w:r w:rsidRPr="002E0064">
              <w:rPr>
                <w:rFonts w:ascii="Times New Roman" w:hAnsi="Times New Roman" w:cs="Times New Roman"/>
              </w:rPr>
              <w:t xml:space="preserve"> </w:t>
            </w:r>
            <w:r w:rsidR="002E0064" w:rsidRPr="002E0064">
              <w:rPr>
                <w:rFonts w:ascii="Times New Roman" w:hAnsi="Times New Roman" w:cs="Times New Roman"/>
              </w:rPr>
              <w:t>[ERCOT]</w:t>
            </w:r>
            <w:r w:rsidR="0053172D">
              <w:rPr>
                <w:rFonts w:ascii="Times New Roman" w:hAnsi="Times New Roman" w:cs="Times New Roman"/>
              </w:rPr>
              <w:t xml:space="preserve">  </w:t>
            </w:r>
            <w:r w:rsidR="00127C45">
              <w:rPr>
                <w:rFonts w:ascii="Times New Roman" w:hAnsi="Times New Roman" w:cs="Times New Roman"/>
              </w:rPr>
              <w:t>After review of the Impact</w:t>
            </w:r>
            <w:r w:rsidR="0053172D">
              <w:rPr>
                <w:rFonts w:ascii="Times New Roman" w:hAnsi="Times New Roman" w:cs="Times New Roman"/>
              </w:rPr>
              <w:t xml:space="preserve"> Analysis</w:t>
            </w:r>
            <w:r w:rsidR="00127C45">
              <w:rPr>
                <w:rFonts w:ascii="Times New Roman" w:hAnsi="Times New Roman" w:cs="Times New Roman"/>
              </w:rPr>
              <w:t>, OWG recommends ROS approval</w:t>
            </w:r>
            <w:r w:rsidR="0053172D">
              <w:rPr>
                <w:rFonts w:ascii="Times New Roman" w:hAnsi="Times New Roman" w:cs="Times New Roman"/>
              </w:rPr>
              <w:t>.</w:t>
            </w:r>
          </w:p>
          <w:p w:rsidR="00621007" w:rsidRDefault="00621007" w:rsidP="008C631F">
            <w:pPr>
              <w:jc w:val="center"/>
              <w:rPr>
                <w:rFonts w:ascii="Times New Roman" w:hAnsi="Times New Roman" w:cs="Times New Roman"/>
              </w:rPr>
            </w:pPr>
          </w:p>
          <w:p w:rsidR="002E0064" w:rsidRPr="009B6AA6" w:rsidRDefault="002E0064" w:rsidP="008C631F">
            <w:pPr>
              <w:jc w:val="center"/>
              <w:rPr>
                <w:rFonts w:ascii="Times New Roman" w:hAnsi="Times New Roman" w:cs="Times New Roman"/>
              </w:rPr>
            </w:pPr>
          </w:p>
        </w:tc>
      </w:tr>
    </w:tbl>
    <w:p w:rsidR="00621007" w:rsidRPr="009B6AA6" w:rsidRDefault="00621007" w:rsidP="00A0788C">
      <w:pPr>
        <w:spacing w:after="0"/>
        <w:rPr>
          <w:rFonts w:ascii="Times New Roman" w:hAnsi="Times New Roman" w:cs="Times New Roman"/>
        </w:rPr>
      </w:pPr>
    </w:p>
    <w:tbl>
      <w:tblPr>
        <w:tblStyle w:val="TableGrid"/>
        <w:tblW w:w="6390" w:type="dxa"/>
        <w:tblInd w:w="1638" w:type="dxa"/>
        <w:tblLook w:val="04A0" w:firstRow="1" w:lastRow="0" w:firstColumn="1" w:lastColumn="0" w:noHBand="0" w:noVBand="1"/>
      </w:tblPr>
      <w:tblGrid>
        <w:gridCol w:w="6390"/>
      </w:tblGrid>
      <w:tr w:rsidR="00734CA7" w:rsidRPr="009B6AA6" w:rsidTr="00734CA7">
        <w:tc>
          <w:tcPr>
            <w:tcW w:w="6390" w:type="dxa"/>
            <w:shd w:val="clear" w:color="auto" w:fill="000000" w:themeFill="text1"/>
          </w:tcPr>
          <w:p w:rsidR="00734CA7" w:rsidRPr="009B6AA6" w:rsidRDefault="002E0064" w:rsidP="00734CA7">
            <w:pPr>
              <w:jc w:val="center"/>
              <w:rPr>
                <w:rFonts w:ascii="Times New Roman" w:hAnsi="Times New Roman" w:cs="Times New Roman"/>
                <w:b/>
                <w:color w:val="00B050"/>
              </w:rPr>
            </w:pPr>
            <w:r w:rsidRPr="002E0064">
              <w:rPr>
                <w:rFonts w:ascii="Times New Roman" w:hAnsi="Times New Roman" w:cs="Times New Roman"/>
                <w:b/>
                <w:color w:val="00B050"/>
              </w:rPr>
              <w:t>101NOGRR</w:t>
            </w:r>
            <w:r w:rsidR="003600B6" w:rsidRPr="003600B6">
              <w:rPr>
                <w:rFonts w:ascii="Times New Roman" w:hAnsi="Times New Roman" w:cs="Times New Roman"/>
                <w:b/>
                <w:color w:val="00B050"/>
              </w:rPr>
              <w:t xml:space="preserve"> </w:t>
            </w:r>
            <w:r w:rsidR="0006701A" w:rsidRPr="0006701A">
              <w:rPr>
                <w:rFonts w:ascii="Times New Roman" w:hAnsi="Times New Roman" w:cs="Times New Roman"/>
                <w:b/>
                <w:noProof/>
                <w:color w:val="00B050"/>
              </w:rPr>
              <w:drawing>
                <wp:inline distT="0" distB="0" distL="0" distR="0">
                  <wp:extent cx="135456" cy="118652"/>
                  <wp:effectExtent l="19050" t="0" r="0" b="0"/>
                  <wp:docPr id="6"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734CA7" w:rsidRPr="009B6AA6" w:rsidTr="00734CA7">
        <w:tc>
          <w:tcPr>
            <w:tcW w:w="6390" w:type="dxa"/>
          </w:tcPr>
          <w:p w:rsidR="00734CA7" w:rsidRPr="009B6AA6" w:rsidRDefault="002E0064" w:rsidP="00734CA7">
            <w:pPr>
              <w:jc w:val="center"/>
              <w:rPr>
                <w:rFonts w:ascii="Times New Roman" w:hAnsi="Times New Roman" w:cs="Times New Roman"/>
                <w:b/>
              </w:rPr>
            </w:pPr>
            <w:r w:rsidRPr="002E0064">
              <w:rPr>
                <w:rFonts w:ascii="Times New Roman" w:hAnsi="Times New Roman" w:cs="Times New Roman"/>
                <w:b/>
              </w:rPr>
              <w:t>Market Transparency for DC Tie Outage Information.</w:t>
            </w:r>
          </w:p>
        </w:tc>
      </w:tr>
      <w:tr w:rsidR="00734CA7" w:rsidRPr="009B6AA6" w:rsidTr="00734CA7">
        <w:tc>
          <w:tcPr>
            <w:tcW w:w="6390" w:type="dxa"/>
          </w:tcPr>
          <w:p w:rsidR="00734CA7" w:rsidRPr="009B6AA6" w:rsidRDefault="002E0064" w:rsidP="0086111A">
            <w:pPr>
              <w:jc w:val="center"/>
              <w:rPr>
                <w:rFonts w:ascii="Times New Roman" w:hAnsi="Times New Roman" w:cs="Times New Roman"/>
              </w:rPr>
            </w:pPr>
            <w:r>
              <w:rPr>
                <w:rFonts w:ascii="Times New Roman" w:hAnsi="Times New Roman" w:cs="Times New Roman"/>
              </w:rPr>
              <w:t>Language</w:t>
            </w:r>
            <w:r w:rsidR="00127C45" w:rsidRPr="00127C45">
              <w:rPr>
                <w:rFonts w:ascii="Times New Roman" w:hAnsi="Times New Roman" w:cs="Times New Roman"/>
              </w:rPr>
              <w:t xml:space="preserve"> Review</w:t>
            </w:r>
          </w:p>
        </w:tc>
      </w:tr>
      <w:tr w:rsidR="00734CA7" w:rsidRPr="009B6AA6" w:rsidTr="00734CA7">
        <w:tc>
          <w:tcPr>
            <w:tcW w:w="6390" w:type="dxa"/>
          </w:tcPr>
          <w:p w:rsidR="00734CA7" w:rsidRPr="009B6AA6" w:rsidRDefault="00734CA7" w:rsidP="0086111A">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2E0064" w:rsidRPr="002E0064">
              <w:rPr>
                <w:rFonts w:ascii="Times New Roman" w:hAnsi="Times New Roman" w:cs="Times New Roman"/>
                <w:color w:val="00B050"/>
              </w:rPr>
              <w:t>OWG calls for an Impact Analysis</w:t>
            </w:r>
            <w:r w:rsidR="00127C45" w:rsidRPr="00127C45">
              <w:rPr>
                <w:rFonts w:ascii="Times New Roman" w:hAnsi="Times New Roman" w:cs="Times New Roman"/>
                <w:color w:val="00B050"/>
              </w:rPr>
              <w:t xml:space="preserve"> </w:t>
            </w:r>
            <w:r w:rsidR="004A2211" w:rsidRPr="009B6AA6">
              <w:rPr>
                <w:rFonts w:ascii="Times New Roman" w:hAnsi="Times New Roman" w:cs="Times New Roman"/>
                <w:noProof/>
                <w:color w:val="00B050"/>
              </w:rPr>
              <w:drawing>
                <wp:inline distT="0" distB="0" distL="0" distR="0">
                  <wp:extent cx="135456" cy="118652"/>
                  <wp:effectExtent l="19050" t="0" r="0" b="0"/>
                  <wp:docPr id="12"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734CA7" w:rsidRPr="009B6AA6" w:rsidTr="00734CA7">
        <w:tc>
          <w:tcPr>
            <w:tcW w:w="6390" w:type="dxa"/>
          </w:tcPr>
          <w:p w:rsidR="00734CA7" w:rsidRPr="009B6AA6" w:rsidRDefault="00734CA7" w:rsidP="00734CA7">
            <w:pPr>
              <w:jc w:val="center"/>
              <w:rPr>
                <w:rFonts w:ascii="Times New Roman" w:hAnsi="Times New Roman" w:cs="Times New Roman"/>
              </w:rPr>
            </w:pPr>
            <w:r w:rsidRPr="009B6AA6">
              <w:rPr>
                <w:rFonts w:ascii="Times New Roman" w:hAnsi="Times New Roman" w:cs="Times New Roman"/>
              </w:rPr>
              <w:t>Discussion:</w:t>
            </w:r>
          </w:p>
          <w:p w:rsidR="00A90817" w:rsidRDefault="002E0064" w:rsidP="00A90817">
            <w:pPr>
              <w:pStyle w:val="ListParagraph"/>
            </w:pPr>
            <w:r w:rsidRPr="002E0064">
              <w:rPr>
                <w:rFonts w:ascii="Times New Roman" w:hAnsi="Times New Roman" w:cs="Times New Roman"/>
              </w:rPr>
              <w:t>This Nodal Operating Guide Revision Request (NOGRR) provides that ERCOT shall produce a detailed report regarding any outage of a Direct Current Tie (DC Tie) in a timely manner.  Outages of interconnection points between the ERCOT and non-ERCOT Control Areas have market implications on both the ERCOT market and the interconnected market.  Detailed information regarding such outages is necessary for Market Participants on both sides of the interconnection point to be able to manage risk associated with such outages. [Tenaska]</w:t>
            </w:r>
            <w:r>
              <w:rPr>
                <w:rFonts w:ascii="Times New Roman" w:hAnsi="Times New Roman" w:cs="Times New Roman"/>
              </w:rPr>
              <w:t xml:space="preserve">  </w:t>
            </w:r>
            <w:r w:rsidR="00A90817">
              <w:t xml:space="preserve">ERCOT Comment: Earlier it was proposed to be included in the Daily Grid Operations report. But it has to be done separately as some parts of it cannot be completely automated (need to review and delete confidential information). </w:t>
            </w:r>
          </w:p>
          <w:p w:rsidR="00364ED7" w:rsidRDefault="00A90817" w:rsidP="00A90817">
            <w:pPr>
              <w:jc w:val="center"/>
              <w:rPr>
                <w:rFonts w:ascii="Times New Roman" w:hAnsi="Times New Roman" w:cs="Times New Roman"/>
              </w:rPr>
            </w:pPr>
            <w:r>
              <w:t xml:space="preserve">OWG agrees with ERCOT comments. </w:t>
            </w:r>
            <w:r w:rsidR="002E0064">
              <w:rPr>
                <w:rFonts w:ascii="Times New Roman" w:hAnsi="Times New Roman" w:cs="Times New Roman"/>
              </w:rPr>
              <w:t xml:space="preserve">OWG requests ERCOT perform </w:t>
            </w:r>
            <w:r w:rsidR="002E0064">
              <w:rPr>
                <w:rFonts w:ascii="Times New Roman" w:hAnsi="Times New Roman" w:cs="Times New Roman"/>
              </w:rPr>
              <w:lastRenderedPageBreak/>
              <w:t>an Impact Analysis.</w:t>
            </w:r>
          </w:p>
          <w:p w:rsidR="003600B6" w:rsidRDefault="003600B6" w:rsidP="003600B6">
            <w:pPr>
              <w:jc w:val="center"/>
              <w:rPr>
                <w:rFonts w:ascii="Times New Roman" w:hAnsi="Times New Roman" w:cs="Times New Roman"/>
              </w:rPr>
            </w:pPr>
          </w:p>
          <w:p w:rsidR="002E0064" w:rsidRPr="009B6AA6" w:rsidRDefault="002E0064" w:rsidP="003600B6">
            <w:pPr>
              <w:jc w:val="center"/>
              <w:rPr>
                <w:rFonts w:ascii="Times New Roman" w:hAnsi="Times New Roman" w:cs="Times New Roman"/>
              </w:rPr>
            </w:pPr>
          </w:p>
        </w:tc>
      </w:tr>
    </w:tbl>
    <w:p w:rsidR="0086111A" w:rsidRDefault="0086111A" w:rsidP="00A0788C">
      <w:pPr>
        <w:spacing w:after="0"/>
        <w:rPr>
          <w:rFonts w:ascii="Times New Roman" w:hAnsi="Times New Roman" w:cs="Times New Roman"/>
        </w:rPr>
      </w:pPr>
    </w:p>
    <w:p w:rsidR="0086111A" w:rsidRDefault="0086111A" w:rsidP="00A0788C">
      <w:pPr>
        <w:spacing w:after="0"/>
        <w:rPr>
          <w:rFonts w:ascii="Times New Roman" w:hAnsi="Times New Roman" w:cs="Times New Roman"/>
        </w:rPr>
      </w:pPr>
    </w:p>
    <w:p w:rsidR="0086111A" w:rsidRDefault="0086111A" w:rsidP="00A0788C">
      <w:pPr>
        <w:spacing w:after="0"/>
        <w:rPr>
          <w:rFonts w:ascii="Times New Roman" w:hAnsi="Times New Roman" w:cs="Times New Roman"/>
        </w:rPr>
      </w:pPr>
    </w:p>
    <w:p w:rsidR="00606352" w:rsidRDefault="00606352" w:rsidP="00A0788C">
      <w:pPr>
        <w:spacing w:after="0"/>
        <w:rPr>
          <w:rFonts w:ascii="Times New Roman" w:hAnsi="Times New Roman" w:cs="Times New Roman"/>
        </w:rPr>
      </w:pPr>
    </w:p>
    <w:p w:rsidR="00AB0D6A" w:rsidRDefault="00AB0D6A" w:rsidP="00A0788C">
      <w:pPr>
        <w:spacing w:after="0"/>
        <w:rPr>
          <w:rFonts w:ascii="Times New Roman" w:hAnsi="Times New Roman" w:cs="Times New Roman"/>
          <w:b/>
          <w:sz w:val="24"/>
        </w:rPr>
      </w:pPr>
      <w:r w:rsidRPr="00AB0D6A">
        <w:rPr>
          <w:rFonts w:ascii="Times New Roman" w:hAnsi="Times New Roman" w:cs="Times New Roman"/>
          <w:b/>
          <w:sz w:val="24"/>
        </w:rPr>
        <w:t>Operations Report</w:t>
      </w:r>
      <w:r>
        <w:rPr>
          <w:rFonts w:ascii="Times New Roman" w:hAnsi="Times New Roman" w:cs="Times New Roman"/>
          <w:b/>
          <w:sz w:val="24"/>
        </w:rPr>
        <w:t xml:space="preserve"> – </w:t>
      </w:r>
    </w:p>
    <w:p w:rsidR="006350A2" w:rsidRPr="006350A2" w:rsidRDefault="00AB0D6A" w:rsidP="006350A2">
      <w:pPr>
        <w:pStyle w:val="ListParagraph"/>
        <w:numPr>
          <w:ilvl w:val="0"/>
          <w:numId w:val="10"/>
        </w:numPr>
        <w:spacing w:after="0"/>
        <w:rPr>
          <w:rFonts w:ascii="Times New Roman" w:hAnsi="Times New Roman" w:cs="Times New Roman"/>
          <w:sz w:val="24"/>
        </w:rPr>
      </w:pPr>
      <w:r w:rsidRPr="00AB0D6A">
        <w:rPr>
          <w:rFonts w:ascii="Times New Roman" w:hAnsi="Times New Roman" w:cs="Times New Roman"/>
          <w:sz w:val="24"/>
        </w:rPr>
        <w:t>VJ</w:t>
      </w:r>
      <w:r w:rsidRPr="00AB0D6A">
        <w:t xml:space="preserve"> </w:t>
      </w:r>
      <w:proofErr w:type="spellStart"/>
      <w:r>
        <w:rPr>
          <w:rFonts w:ascii="Times New Roman" w:hAnsi="Times New Roman" w:cs="Times New Roman"/>
          <w:sz w:val="24"/>
        </w:rPr>
        <w:t>Betanabhat</w:t>
      </w:r>
      <w:r w:rsidR="006350A2">
        <w:rPr>
          <w:rFonts w:ascii="Times New Roman" w:hAnsi="Times New Roman" w:cs="Times New Roman"/>
          <w:sz w:val="24"/>
        </w:rPr>
        <w:t>la</w:t>
      </w:r>
      <w:proofErr w:type="spellEnd"/>
      <w:r w:rsidR="006350A2">
        <w:rPr>
          <w:rFonts w:ascii="Times New Roman" w:hAnsi="Times New Roman" w:cs="Times New Roman"/>
          <w:sz w:val="24"/>
        </w:rPr>
        <w:t xml:space="preserve"> gave the Operations Report. </w:t>
      </w:r>
      <w:r w:rsidR="006350A2" w:rsidRPr="006350A2">
        <w:rPr>
          <w:rFonts w:ascii="Times New Roman" w:hAnsi="Times New Roman" w:cs="Times New Roman"/>
          <w:sz w:val="24"/>
        </w:rPr>
        <w:t xml:space="preserve">Marguerite asked a question about the Odessa Switching plan and why it was not in the August report. The answer for this is it is not a MP/TOAP/PCAP and hence not listed under that section of the report. It is a switching plan for which outages were submitted in the Outage Scheduler. </w:t>
      </w:r>
    </w:p>
    <w:p w:rsidR="00AB0D6A" w:rsidRPr="00AB0D6A" w:rsidRDefault="00AB0D6A" w:rsidP="00AB0D6A">
      <w:pPr>
        <w:pStyle w:val="ListParagraph"/>
        <w:numPr>
          <w:ilvl w:val="0"/>
          <w:numId w:val="10"/>
        </w:numPr>
        <w:spacing w:after="0"/>
        <w:rPr>
          <w:rFonts w:ascii="Times New Roman" w:hAnsi="Times New Roman" w:cs="Times New Roman"/>
          <w:sz w:val="24"/>
        </w:rPr>
      </w:pPr>
      <w:r>
        <w:rPr>
          <w:rFonts w:ascii="Times New Roman" w:hAnsi="Times New Roman" w:cs="Times New Roman"/>
          <w:sz w:val="24"/>
        </w:rPr>
        <w:t>There were no significant events to report.</w:t>
      </w:r>
    </w:p>
    <w:p w:rsidR="00AB0D6A" w:rsidRPr="009B6AA6" w:rsidRDefault="00AB0D6A" w:rsidP="00A0788C">
      <w:pPr>
        <w:spacing w:after="0"/>
        <w:rPr>
          <w:rFonts w:ascii="Times New Roman" w:hAnsi="Times New Roman" w:cs="Times New Roman"/>
        </w:rPr>
      </w:pPr>
    </w:p>
    <w:p w:rsidR="00672302" w:rsidRPr="009B6AA6" w:rsidRDefault="00672302" w:rsidP="000F2B8B">
      <w:pPr>
        <w:spacing w:after="0"/>
        <w:rPr>
          <w:rFonts w:ascii="Times New Roman" w:hAnsi="Times New Roman" w:cs="Times New Roman"/>
          <w:b/>
          <w:sz w:val="24"/>
        </w:rPr>
      </w:pPr>
      <w:r w:rsidRPr="009B6AA6">
        <w:rPr>
          <w:rFonts w:ascii="Times New Roman" w:hAnsi="Times New Roman" w:cs="Times New Roman"/>
          <w:b/>
          <w:sz w:val="24"/>
        </w:rPr>
        <w:t xml:space="preserve">Operations Task Force Report – </w:t>
      </w:r>
    </w:p>
    <w:p w:rsidR="00CF22F6" w:rsidRPr="00A61108" w:rsidRDefault="003C7453" w:rsidP="00A61108">
      <w:pPr>
        <w:pStyle w:val="ListParagraph"/>
        <w:numPr>
          <w:ilvl w:val="0"/>
          <w:numId w:val="2"/>
        </w:numPr>
        <w:spacing w:after="0"/>
        <w:rPr>
          <w:rFonts w:ascii="Times New Roman" w:hAnsi="Times New Roman" w:cs="Times New Roman"/>
        </w:rPr>
      </w:pPr>
      <w:r>
        <w:rPr>
          <w:rFonts w:ascii="Times New Roman" w:hAnsi="Times New Roman" w:cs="Times New Roman"/>
        </w:rPr>
        <w:t>Stan Morris gave a brief update.</w:t>
      </w:r>
    </w:p>
    <w:p w:rsidR="009B2471" w:rsidRDefault="009B2471" w:rsidP="000F2B8B">
      <w:pPr>
        <w:spacing w:after="0"/>
        <w:rPr>
          <w:rFonts w:ascii="Times New Roman" w:hAnsi="Times New Roman" w:cs="Times New Roman"/>
        </w:rPr>
      </w:pPr>
    </w:p>
    <w:p w:rsidR="00655E7C" w:rsidRPr="00C37408" w:rsidRDefault="00655E7C" w:rsidP="00C37408">
      <w:pPr>
        <w:spacing w:after="0"/>
        <w:rPr>
          <w:rFonts w:ascii="Times New Roman" w:hAnsi="Times New Roman" w:cs="Times New Roman"/>
          <w:b/>
        </w:rPr>
      </w:pPr>
      <w:r w:rsidRPr="00655E7C">
        <w:rPr>
          <w:rFonts w:ascii="Times New Roman" w:hAnsi="Times New Roman" w:cs="Times New Roman"/>
          <w:b/>
        </w:rPr>
        <w:t>Nodal Protocol and Guides Resolution Task Force Report</w:t>
      </w:r>
      <w:r>
        <w:rPr>
          <w:rFonts w:ascii="Times New Roman" w:hAnsi="Times New Roman" w:cs="Times New Roman"/>
          <w:b/>
        </w:rPr>
        <w:t xml:space="preserve"> – </w:t>
      </w:r>
    </w:p>
    <w:p w:rsidR="00655E7C" w:rsidRDefault="003C7453" w:rsidP="00C61410">
      <w:pPr>
        <w:pStyle w:val="ListParagraph"/>
        <w:numPr>
          <w:ilvl w:val="0"/>
          <w:numId w:val="2"/>
        </w:numPr>
        <w:spacing w:after="0"/>
      </w:pPr>
      <w:r>
        <w:t xml:space="preserve">Frank Owens stated that the NPGRTF </w:t>
      </w:r>
      <w:r w:rsidR="006350A2">
        <w:t>did not meet.</w:t>
      </w:r>
    </w:p>
    <w:p w:rsidR="00AD65B2" w:rsidRPr="00C61410" w:rsidRDefault="00AD65B2" w:rsidP="00AD65B2">
      <w:pPr>
        <w:pStyle w:val="ListParagraph"/>
        <w:spacing w:after="0"/>
        <w:ind w:left="1080"/>
      </w:pPr>
    </w:p>
    <w:p w:rsidR="00655E7C" w:rsidRDefault="006350A2" w:rsidP="00C61410">
      <w:pPr>
        <w:spacing w:after="0"/>
        <w:rPr>
          <w:rFonts w:ascii="Times New Roman" w:hAnsi="Times New Roman" w:cs="Times New Roman"/>
          <w:b/>
        </w:rPr>
      </w:pPr>
      <w:r w:rsidRPr="006350A2">
        <w:rPr>
          <w:rFonts w:ascii="Times New Roman" w:hAnsi="Times New Roman" w:cs="Times New Roman"/>
          <w:b/>
        </w:rPr>
        <w:t>Seminar Task Force Report</w:t>
      </w:r>
    </w:p>
    <w:p w:rsidR="006350A2" w:rsidRDefault="00AD65B2" w:rsidP="00AD65B2">
      <w:pPr>
        <w:pStyle w:val="ListParagraph"/>
        <w:numPr>
          <w:ilvl w:val="0"/>
          <w:numId w:val="2"/>
        </w:numPr>
        <w:spacing w:after="0"/>
        <w:rPr>
          <w:rFonts w:ascii="Times New Roman" w:hAnsi="Times New Roman" w:cs="Times New Roman"/>
        </w:rPr>
      </w:pPr>
      <w:r w:rsidRPr="00AD65B2">
        <w:rPr>
          <w:rFonts w:ascii="Times New Roman" w:hAnsi="Times New Roman" w:cs="Times New Roman"/>
        </w:rPr>
        <w:t>Alan provided the updates. He mentioned that the task force met twice and discussed the agenda for future meetings. He presented an overview of topics that will be covered in the 2013 Operations seminar and also listed the presenters for the different topics. He needs a volunteer (experienced generation personnel) for plant weatherization presentation.</w:t>
      </w:r>
    </w:p>
    <w:p w:rsidR="00AD65B2" w:rsidRPr="00AD65B2" w:rsidRDefault="00AD65B2" w:rsidP="00AD65B2">
      <w:pPr>
        <w:pStyle w:val="ListParagraph"/>
        <w:spacing w:after="0"/>
        <w:ind w:left="1080"/>
        <w:rPr>
          <w:rFonts w:ascii="Times New Roman" w:hAnsi="Times New Roman" w:cs="Times New Roman"/>
        </w:rPr>
      </w:pPr>
    </w:p>
    <w:p w:rsidR="00672302" w:rsidRPr="009B6AA6" w:rsidRDefault="00FB0BBC" w:rsidP="000F2B8B">
      <w:pPr>
        <w:spacing w:after="0"/>
        <w:rPr>
          <w:rFonts w:ascii="Times New Roman" w:hAnsi="Times New Roman" w:cs="Times New Roman"/>
          <w:b/>
          <w:sz w:val="24"/>
        </w:rPr>
      </w:pPr>
      <w:r w:rsidRPr="009B6AA6">
        <w:rPr>
          <w:rFonts w:ascii="Times New Roman" w:hAnsi="Times New Roman" w:cs="Times New Roman"/>
          <w:b/>
          <w:sz w:val="24"/>
        </w:rPr>
        <w:t>TRE Update</w:t>
      </w:r>
      <w:r w:rsidR="000F2B8B" w:rsidRPr="009B6AA6">
        <w:rPr>
          <w:rFonts w:ascii="Times New Roman" w:hAnsi="Times New Roman" w:cs="Times New Roman"/>
          <w:b/>
          <w:sz w:val="24"/>
        </w:rPr>
        <w:t xml:space="preserve"> Report – </w:t>
      </w:r>
    </w:p>
    <w:p w:rsidR="00AD65B2" w:rsidRPr="00AD65B2" w:rsidRDefault="00AD65B2" w:rsidP="00AD65B2">
      <w:pPr>
        <w:pStyle w:val="ListParagraph"/>
        <w:spacing w:after="0"/>
        <w:ind w:left="1080"/>
        <w:rPr>
          <w:rFonts w:ascii="Times New Roman" w:hAnsi="Times New Roman" w:cs="Times New Roman"/>
        </w:rPr>
      </w:pPr>
      <w:r w:rsidRPr="00AD65B2">
        <w:rPr>
          <w:rFonts w:ascii="Times New Roman" w:hAnsi="Times New Roman" w:cs="Times New Roman"/>
        </w:rPr>
        <w:t>Mark discussed the San Diego event and wanted to get OWG’s input on the clarity and adequacy of Operating Guides and other documents related to the items below, as well as consistency of practices associated with such documents</w:t>
      </w:r>
    </w:p>
    <w:p w:rsidR="00AD65B2" w:rsidRPr="00AD65B2" w:rsidRDefault="00AD65B2" w:rsidP="00AD65B2">
      <w:pPr>
        <w:pStyle w:val="ListParagraph"/>
        <w:numPr>
          <w:ilvl w:val="0"/>
          <w:numId w:val="11"/>
        </w:numPr>
        <w:spacing w:after="0"/>
        <w:rPr>
          <w:rFonts w:ascii="Times New Roman" w:hAnsi="Times New Roman" w:cs="Times New Roman"/>
        </w:rPr>
      </w:pPr>
      <w:r w:rsidRPr="00AD65B2">
        <w:rPr>
          <w:rFonts w:ascii="Times New Roman" w:hAnsi="Times New Roman" w:cs="Times New Roman"/>
        </w:rPr>
        <w:t>Coordination of relay settings in ratings, particularly when these are most limiting series elements</w:t>
      </w:r>
    </w:p>
    <w:p w:rsidR="00AD65B2" w:rsidRPr="00AD65B2" w:rsidRDefault="00AD65B2" w:rsidP="00AD65B2">
      <w:pPr>
        <w:pStyle w:val="ListParagraph"/>
        <w:numPr>
          <w:ilvl w:val="0"/>
          <w:numId w:val="11"/>
        </w:numPr>
        <w:spacing w:after="0"/>
        <w:rPr>
          <w:rFonts w:ascii="Times New Roman" w:hAnsi="Times New Roman" w:cs="Times New Roman"/>
        </w:rPr>
      </w:pPr>
      <w:r w:rsidRPr="00AD65B2">
        <w:rPr>
          <w:rFonts w:ascii="Times New Roman" w:hAnsi="Times New Roman" w:cs="Times New Roman"/>
        </w:rPr>
        <w:t>Operational use of facility owner ratings when different values are not available for continuous, 2 hours, and 15 minute capability</w:t>
      </w:r>
    </w:p>
    <w:p w:rsidR="00AD65B2" w:rsidRPr="00AD65B2" w:rsidRDefault="00AD65B2" w:rsidP="00AD65B2">
      <w:pPr>
        <w:pStyle w:val="ListParagraph"/>
        <w:numPr>
          <w:ilvl w:val="0"/>
          <w:numId w:val="11"/>
        </w:numPr>
        <w:spacing w:after="0"/>
        <w:rPr>
          <w:rFonts w:ascii="Times New Roman" w:hAnsi="Times New Roman" w:cs="Times New Roman"/>
        </w:rPr>
      </w:pPr>
      <w:r w:rsidRPr="00AD65B2">
        <w:rPr>
          <w:rFonts w:ascii="Times New Roman" w:hAnsi="Times New Roman" w:cs="Times New Roman"/>
        </w:rPr>
        <w:t>Consideration of overload relay trip times when establishing post-contingency mitigation plans</w:t>
      </w:r>
    </w:p>
    <w:p w:rsidR="00AD65B2" w:rsidRPr="00AD65B2" w:rsidRDefault="00AD65B2" w:rsidP="00AD65B2">
      <w:pPr>
        <w:pStyle w:val="ListParagraph"/>
        <w:numPr>
          <w:ilvl w:val="0"/>
          <w:numId w:val="11"/>
        </w:numPr>
        <w:spacing w:after="0"/>
        <w:rPr>
          <w:rFonts w:ascii="Times New Roman" w:hAnsi="Times New Roman" w:cs="Times New Roman"/>
        </w:rPr>
      </w:pPr>
      <w:r w:rsidRPr="00AD65B2">
        <w:rPr>
          <w:rFonts w:ascii="Times New Roman" w:hAnsi="Times New Roman" w:cs="Times New Roman"/>
        </w:rPr>
        <w:t xml:space="preserve">Use of Mitigation Plans </w:t>
      </w:r>
      <w:proofErr w:type="spellStart"/>
      <w:r w:rsidRPr="00AD65B2">
        <w:rPr>
          <w:rFonts w:ascii="Times New Roman" w:hAnsi="Times New Roman" w:cs="Times New Roman"/>
        </w:rPr>
        <w:t>vs</w:t>
      </w:r>
      <w:proofErr w:type="spellEnd"/>
      <w:r w:rsidRPr="00AD65B2">
        <w:rPr>
          <w:rFonts w:ascii="Times New Roman" w:hAnsi="Times New Roman" w:cs="Times New Roman"/>
        </w:rPr>
        <w:t xml:space="preserve"> TOAPs versus RAPS and consistency of definitions and practices associated with these plans</w:t>
      </w:r>
    </w:p>
    <w:p w:rsidR="00AD65B2" w:rsidRPr="00AD65B2" w:rsidRDefault="00AD65B2" w:rsidP="00AD65B2">
      <w:pPr>
        <w:pStyle w:val="ListParagraph"/>
        <w:numPr>
          <w:ilvl w:val="0"/>
          <w:numId w:val="11"/>
        </w:numPr>
        <w:spacing w:after="0"/>
        <w:rPr>
          <w:rFonts w:ascii="Times New Roman" w:hAnsi="Times New Roman" w:cs="Times New Roman"/>
        </w:rPr>
      </w:pPr>
      <w:r w:rsidRPr="00AD65B2">
        <w:rPr>
          <w:rFonts w:ascii="Times New Roman" w:hAnsi="Times New Roman" w:cs="Times New Roman"/>
        </w:rPr>
        <w:t>Review process for coordination of SPS and UVLS with other protection schemes</w:t>
      </w:r>
    </w:p>
    <w:p w:rsidR="00AD65B2" w:rsidRPr="00AD65B2" w:rsidRDefault="00AD65B2" w:rsidP="00AD65B2">
      <w:pPr>
        <w:pStyle w:val="ListParagraph"/>
        <w:numPr>
          <w:ilvl w:val="0"/>
          <w:numId w:val="11"/>
        </w:numPr>
        <w:spacing w:after="0"/>
        <w:rPr>
          <w:rFonts w:ascii="Times New Roman" w:hAnsi="Times New Roman" w:cs="Times New Roman"/>
        </w:rPr>
      </w:pPr>
      <w:r w:rsidRPr="00AD65B2">
        <w:rPr>
          <w:rFonts w:ascii="Times New Roman" w:hAnsi="Times New Roman" w:cs="Times New Roman"/>
        </w:rPr>
        <w:t>Procedural documents related to System Operating Limits (SOLs) and ratings.</w:t>
      </w:r>
    </w:p>
    <w:p w:rsidR="00AD65B2" w:rsidRPr="00AD65B2" w:rsidRDefault="00AD65B2" w:rsidP="00AD65B2">
      <w:pPr>
        <w:pStyle w:val="ListParagraph"/>
        <w:spacing w:after="0"/>
        <w:ind w:left="1080"/>
        <w:rPr>
          <w:rFonts w:ascii="Times New Roman" w:hAnsi="Times New Roman" w:cs="Times New Roman"/>
        </w:rPr>
      </w:pPr>
    </w:p>
    <w:p w:rsidR="00C61410" w:rsidRDefault="00AD65B2" w:rsidP="00AD65B2">
      <w:pPr>
        <w:pStyle w:val="ListParagraph"/>
        <w:spacing w:after="0"/>
        <w:ind w:left="1080"/>
        <w:rPr>
          <w:rFonts w:ascii="Times New Roman" w:hAnsi="Times New Roman" w:cs="Times New Roman"/>
        </w:rPr>
      </w:pPr>
      <w:r w:rsidRPr="00AD65B2">
        <w:rPr>
          <w:rFonts w:ascii="Times New Roman" w:hAnsi="Times New Roman" w:cs="Times New Roman"/>
        </w:rPr>
        <w:t>Mark also mentioned that there are Protocol and Operating Guide audits coming up.  OWG requested that Paula Muller come talk to the group.</w:t>
      </w:r>
    </w:p>
    <w:p w:rsidR="00606352" w:rsidRPr="00C61410" w:rsidRDefault="00606352" w:rsidP="00606352">
      <w:pPr>
        <w:pStyle w:val="ListParagraph"/>
        <w:spacing w:after="0"/>
        <w:ind w:left="1080"/>
        <w:rPr>
          <w:rFonts w:ascii="Times New Roman" w:hAnsi="Times New Roman" w:cs="Times New Roman"/>
        </w:rPr>
      </w:pPr>
    </w:p>
    <w:p w:rsidR="00672302" w:rsidRPr="009B6AA6" w:rsidRDefault="000F2B8B" w:rsidP="00C37408">
      <w:pPr>
        <w:spacing w:after="0"/>
        <w:rPr>
          <w:rFonts w:ascii="Times New Roman" w:hAnsi="Times New Roman" w:cs="Times New Roman"/>
          <w:b/>
          <w:sz w:val="24"/>
        </w:rPr>
      </w:pPr>
      <w:r w:rsidRPr="009B6AA6">
        <w:rPr>
          <w:rFonts w:ascii="Times New Roman" w:hAnsi="Times New Roman" w:cs="Times New Roman"/>
          <w:b/>
          <w:sz w:val="24"/>
        </w:rPr>
        <w:t xml:space="preserve">System Operations Report – </w:t>
      </w:r>
    </w:p>
    <w:p w:rsidR="00F3274F" w:rsidRDefault="00AD65B2" w:rsidP="00AD65B2">
      <w:pPr>
        <w:spacing w:after="0"/>
        <w:ind w:left="720"/>
        <w:rPr>
          <w:rFonts w:ascii="Times New Roman" w:hAnsi="Times New Roman" w:cs="Times New Roman"/>
        </w:rPr>
      </w:pPr>
      <w:r w:rsidRPr="00AD65B2">
        <w:rPr>
          <w:rFonts w:ascii="Times New Roman" w:hAnsi="Times New Roman" w:cs="Times New Roman"/>
        </w:rPr>
        <w:t>Colleen stated that there were no new ERCOT procedures to review.   She did mention that the Time Error correction was changing on November 1</w:t>
      </w:r>
      <w:r w:rsidRPr="00AD65B2">
        <w:rPr>
          <w:rFonts w:ascii="Times New Roman" w:hAnsi="Times New Roman" w:cs="Times New Roman"/>
          <w:vertAlign w:val="superscript"/>
        </w:rPr>
        <w:t>st</w:t>
      </w:r>
      <w:r w:rsidRPr="00AD65B2">
        <w:rPr>
          <w:rFonts w:ascii="Times New Roman" w:hAnsi="Times New Roman" w:cs="Times New Roman"/>
        </w:rPr>
        <w:t xml:space="preserve"> from 3 seconds to 30 seconds.</w:t>
      </w:r>
    </w:p>
    <w:p w:rsidR="00AD65B2" w:rsidRPr="009B6AA6" w:rsidRDefault="00AD65B2" w:rsidP="00AD65B2">
      <w:pPr>
        <w:spacing w:after="0"/>
        <w:ind w:left="720"/>
        <w:rPr>
          <w:rFonts w:ascii="Times New Roman" w:hAnsi="Times New Roman" w:cs="Times New Roman"/>
        </w:rPr>
      </w:pPr>
    </w:p>
    <w:p w:rsidR="00672302" w:rsidRDefault="00672302" w:rsidP="000F2B8B">
      <w:pPr>
        <w:spacing w:after="0"/>
        <w:rPr>
          <w:rFonts w:ascii="Times New Roman" w:hAnsi="Times New Roman" w:cs="Times New Roman"/>
          <w:b/>
          <w:sz w:val="24"/>
        </w:rPr>
      </w:pPr>
      <w:r w:rsidRPr="009B6AA6">
        <w:rPr>
          <w:rFonts w:ascii="Times New Roman" w:hAnsi="Times New Roman" w:cs="Times New Roman"/>
          <w:b/>
          <w:sz w:val="24"/>
        </w:rPr>
        <w:t xml:space="preserve">Other – </w:t>
      </w:r>
    </w:p>
    <w:p w:rsidR="00AD65B2" w:rsidRPr="00AD65B2" w:rsidRDefault="00AD65B2" w:rsidP="00AD65B2">
      <w:pPr>
        <w:spacing w:after="0"/>
        <w:ind w:left="720"/>
        <w:rPr>
          <w:rFonts w:ascii="Times New Roman" w:hAnsi="Times New Roman" w:cs="Times New Roman"/>
          <w:b/>
          <w:sz w:val="24"/>
        </w:rPr>
      </w:pPr>
      <w:r w:rsidRPr="00AD65B2">
        <w:rPr>
          <w:rFonts w:ascii="Times New Roman" w:hAnsi="Times New Roman" w:cs="Times New Roman"/>
          <w:b/>
          <w:sz w:val="24"/>
        </w:rPr>
        <w:t>NPRR 219</w:t>
      </w:r>
    </w:p>
    <w:p w:rsidR="00AD65B2" w:rsidRPr="008543AC" w:rsidRDefault="00AD65B2" w:rsidP="00AD65B2">
      <w:pPr>
        <w:spacing w:after="0"/>
        <w:ind w:left="720"/>
        <w:rPr>
          <w:rFonts w:ascii="Times New Roman" w:hAnsi="Times New Roman" w:cs="Times New Roman"/>
          <w:sz w:val="24"/>
        </w:rPr>
      </w:pPr>
      <w:r w:rsidRPr="008543AC">
        <w:rPr>
          <w:rFonts w:ascii="Times New Roman" w:hAnsi="Times New Roman" w:cs="Times New Roman"/>
          <w:sz w:val="24"/>
        </w:rPr>
        <w:t xml:space="preserve">ERCOT suggested that the 3 gray boxes (related to ERCOT submitting the transmission outage information for the generators) be removed. Cost benefit analysis shows that it is cost effective to follow the current process (generator calls ERCOT outage scheduler who enters the outages for the generator). </w:t>
      </w:r>
    </w:p>
    <w:p w:rsidR="00AD65B2" w:rsidRPr="008543AC" w:rsidRDefault="00AD65B2" w:rsidP="00AD65B2">
      <w:pPr>
        <w:spacing w:after="0"/>
        <w:ind w:left="720"/>
        <w:rPr>
          <w:rFonts w:ascii="Times New Roman" w:hAnsi="Times New Roman" w:cs="Times New Roman"/>
          <w:sz w:val="24"/>
        </w:rPr>
      </w:pPr>
    </w:p>
    <w:p w:rsidR="00AD65B2" w:rsidRDefault="00AD65B2" w:rsidP="00AD65B2">
      <w:pPr>
        <w:spacing w:after="0"/>
        <w:ind w:left="720"/>
        <w:rPr>
          <w:rFonts w:ascii="Times New Roman" w:hAnsi="Times New Roman" w:cs="Times New Roman"/>
          <w:sz w:val="24"/>
        </w:rPr>
      </w:pPr>
      <w:r w:rsidRPr="008543AC">
        <w:rPr>
          <w:rFonts w:ascii="Times New Roman" w:hAnsi="Times New Roman" w:cs="Times New Roman"/>
          <w:sz w:val="24"/>
        </w:rPr>
        <w:t>After much discussion, OWG Recommendation: Do not remove the gray boxes. Discuss project priorities at ROS and pursue the project to update the Outage scheduler so the generators can enter the outages.</w:t>
      </w:r>
    </w:p>
    <w:p w:rsidR="00EE6C8A" w:rsidRDefault="00EE6C8A" w:rsidP="00AD65B2">
      <w:pPr>
        <w:spacing w:after="0"/>
        <w:ind w:left="720"/>
        <w:rPr>
          <w:rFonts w:ascii="Times New Roman" w:hAnsi="Times New Roman" w:cs="Times New Roman"/>
          <w:sz w:val="24"/>
        </w:rPr>
      </w:pPr>
    </w:p>
    <w:p w:rsidR="00A5128D" w:rsidRPr="00A5128D" w:rsidRDefault="00EE6C8A" w:rsidP="00A5128D">
      <w:pPr>
        <w:ind w:left="720"/>
      </w:pPr>
      <w:r>
        <w:rPr>
          <w:rFonts w:ascii="Times New Roman" w:hAnsi="Times New Roman" w:cs="Times New Roman"/>
          <w:sz w:val="24"/>
        </w:rPr>
        <w:t xml:space="preserve">Joint meeting between OWG and NDSWG </w:t>
      </w:r>
      <w:r w:rsidR="00AA12E4">
        <w:rPr>
          <w:rFonts w:ascii="Times New Roman" w:hAnsi="Times New Roman" w:cs="Times New Roman"/>
          <w:sz w:val="24"/>
        </w:rPr>
        <w:t xml:space="preserve">to address ROS directive </w:t>
      </w:r>
      <w:r w:rsidR="00A5128D">
        <w:t xml:space="preserve">Work with ERCOT </w:t>
      </w:r>
      <w:r w:rsidR="00A5128D" w:rsidRPr="00A5128D">
        <w:t>to revise the Nodal Operating Guides</w:t>
      </w:r>
      <w:r w:rsidR="00A5128D" w:rsidRPr="00A5128D">
        <w:rPr>
          <w:rFonts w:ascii="Times New Roman" w:hAnsi="Times New Roman" w:cs="Times New Roman"/>
          <w:sz w:val="24"/>
        </w:rPr>
        <w:t xml:space="preserve"> </w:t>
      </w:r>
      <w:r w:rsidR="00A5128D" w:rsidRPr="00A5128D">
        <w:t xml:space="preserve">is planned for January 16, 2013 </w:t>
      </w:r>
      <w:r w:rsidR="00A5128D">
        <w:t>at the ERCOT Met Center room168</w:t>
      </w:r>
      <w:r w:rsidR="00A5128D" w:rsidRPr="00A5128D">
        <w:t>:</w:t>
      </w:r>
    </w:p>
    <w:p w:rsidR="00000000" w:rsidRPr="00A5128D" w:rsidRDefault="00AF4DA6" w:rsidP="00A5128D">
      <w:pPr>
        <w:numPr>
          <w:ilvl w:val="0"/>
          <w:numId w:val="12"/>
        </w:numPr>
        <w:spacing w:after="0"/>
        <w:rPr>
          <w:rFonts w:ascii="Times New Roman" w:hAnsi="Times New Roman" w:cs="Times New Roman"/>
          <w:sz w:val="24"/>
        </w:rPr>
      </w:pPr>
      <w:r w:rsidRPr="00A5128D">
        <w:rPr>
          <w:rFonts w:ascii="Times New Roman" w:hAnsi="Times New Roman" w:cs="Times New Roman"/>
          <w:sz w:val="24"/>
        </w:rPr>
        <w:t>Modify the definition of Credible Single Contingency for Operations Planning to accurately state the continge</w:t>
      </w:r>
      <w:r w:rsidRPr="00A5128D">
        <w:rPr>
          <w:rFonts w:ascii="Times New Roman" w:hAnsi="Times New Roman" w:cs="Times New Roman"/>
          <w:sz w:val="24"/>
        </w:rPr>
        <w:t>ncies.  Consider changing the defined term from Credible Single Contingency… to Credible Contingencies… or Operations Contingencies.</w:t>
      </w:r>
    </w:p>
    <w:p w:rsidR="00000000" w:rsidRPr="00A5128D" w:rsidRDefault="00AF4DA6" w:rsidP="00A5128D">
      <w:pPr>
        <w:numPr>
          <w:ilvl w:val="0"/>
          <w:numId w:val="12"/>
        </w:numPr>
        <w:spacing w:after="0"/>
        <w:rPr>
          <w:rFonts w:ascii="Times New Roman" w:hAnsi="Times New Roman" w:cs="Times New Roman"/>
          <w:sz w:val="24"/>
        </w:rPr>
      </w:pPr>
      <w:r w:rsidRPr="00A5128D">
        <w:rPr>
          <w:rFonts w:ascii="Times New Roman" w:hAnsi="Times New Roman" w:cs="Times New Roman"/>
          <w:sz w:val="24"/>
        </w:rPr>
        <w:t>Explicitly state applicable operations studies or analyse</w:t>
      </w:r>
      <w:r w:rsidRPr="00A5128D">
        <w:rPr>
          <w:rFonts w:ascii="Times New Roman" w:hAnsi="Times New Roman" w:cs="Times New Roman"/>
          <w:sz w:val="24"/>
        </w:rPr>
        <w:t>s.  Consider use of defined terms.  Also consider revising applicable sections of the Nodal Protocols for consistency.</w:t>
      </w:r>
    </w:p>
    <w:p w:rsidR="00000000" w:rsidRPr="00A5128D" w:rsidRDefault="00AF4DA6" w:rsidP="00A5128D">
      <w:pPr>
        <w:numPr>
          <w:ilvl w:val="0"/>
          <w:numId w:val="12"/>
        </w:numPr>
        <w:spacing w:after="0"/>
        <w:rPr>
          <w:rFonts w:ascii="Times New Roman" w:hAnsi="Times New Roman" w:cs="Times New Roman"/>
          <w:sz w:val="24"/>
        </w:rPr>
      </w:pPr>
      <w:r w:rsidRPr="00A5128D">
        <w:rPr>
          <w:rFonts w:ascii="Times New Roman" w:hAnsi="Times New Roman" w:cs="Times New Roman"/>
          <w:sz w:val="24"/>
        </w:rPr>
        <w:t>Explicitly state applicable operations contingencies or use newly defin</w:t>
      </w:r>
      <w:r w:rsidRPr="00A5128D">
        <w:rPr>
          <w:rFonts w:ascii="Times New Roman" w:hAnsi="Times New Roman" w:cs="Times New Roman"/>
          <w:sz w:val="24"/>
        </w:rPr>
        <w:t>ed Credible Single Contingency term.  Also consider revising applicable sections of the Nodal Protocols for consistency.</w:t>
      </w:r>
    </w:p>
    <w:p w:rsidR="00000000" w:rsidRPr="00A5128D" w:rsidRDefault="00AF4DA6" w:rsidP="00A5128D">
      <w:pPr>
        <w:numPr>
          <w:ilvl w:val="0"/>
          <w:numId w:val="12"/>
        </w:numPr>
        <w:spacing w:after="0"/>
        <w:rPr>
          <w:rFonts w:ascii="Times New Roman" w:hAnsi="Times New Roman" w:cs="Times New Roman"/>
          <w:sz w:val="24"/>
        </w:rPr>
      </w:pPr>
      <w:r w:rsidRPr="00A5128D">
        <w:rPr>
          <w:rFonts w:ascii="Times New Roman" w:hAnsi="Times New Roman" w:cs="Times New Roman"/>
          <w:sz w:val="24"/>
        </w:rPr>
        <w:t>Explicitly state applicable reliability criteria or reference Section</w:t>
      </w:r>
      <w:r w:rsidRPr="00A5128D">
        <w:rPr>
          <w:rFonts w:ascii="Times New Roman" w:hAnsi="Times New Roman" w:cs="Times New Roman"/>
          <w:sz w:val="24"/>
        </w:rPr>
        <w:t xml:space="preserve"> 2.2.2 – Security Criteria.  Also consider revising applicable sections of the Nodal Protocols for consistency.</w:t>
      </w:r>
    </w:p>
    <w:p w:rsidR="00000000" w:rsidRPr="00A5128D" w:rsidRDefault="00AF4DA6" w:rsidP="00A5128D">
      <w:pPr>
        <w:numPr>
          <w:ilvl w:val="0"/>
          <w:numId w:val="12"/>
        </w:numPr>
        <w:spacing w:after="0"/>
        <w:rPr>
          <w:rFonts w:ascii="Times New Roman" w:hAnsi="Times New Roman" w:cs="Times New Roman"/>
          <w:sz w:val="24"/>
        </w:rPr>
      </w:pPr>
      <w:r w:rsidRPr="00A5128D">
        <w:rPr>
          <w:rFonts w:ascii="Times New Roman" w:hAnsi="Times New Roman" w:cs="Times New Roman"/>
          <w:sz w:val="24"/>
        </w:rPr>
        <w:t>Consider removing the redundantly stated security criteria in Section 4.3 – Op</w:t>
      </w:r>
      <w:r w:rsidRPr="00A5128D">
        <w:rPr>
          <w:rFonts w:ascii="Times New Roman" w:hAnsi="Times New Roman" w:cs="Times New Roman"/>
          <w:sz w:val="24"/>
        </w:rPr>
        <w:t xml:space="preserve">eration to </w:t>
      </w:r>
      <w:proofErr w:type="gramStart"/>
      <w:r w:rsidRPr="00A5128D">
        <w:rPr>
          <w:rFonts w:ascii="Times New Roman" w:hAnsi="Times New Roman" w:cs="Times New Roman"/>
          <w:sz w:val="24"/>
        </w:rPr>
        <w:t>Maintain  Transmission</w:t>
      </w:r>
      <w:proofErr w:type="gramEnd"/>
      <w:r w:rsidRPr="00A5128D">
        <w:rPr>
          <w:rFonts w:ascii="Times New Roman" w:hAnsi="Times New Roman" w:cs="Times New Roman"/>
          <w:sz w:val="24"/>
        </w:rPr>
        <w:t xml:space="preserve"> System Security.</w:t>
      </w:r>
    </w:p>
    <w:p w:rsidR="00000000" w:rsidRPr="00A5128D" w:rsidRDefault="00AF4DA6" w:rsidP="00A5128D">
      <w:pPr>
        <w:numPr>
          <w:ilvl w:val="0"/>
          <w:numId w:val="12"/>
        </w:numPr>
        <w:spacing w:after="0"/>
        <w:rPr>
          <w:rFonts w:ascii="Times New Roman" w:hAnsi="Times New Roman" w:cs="Times New Roman"/>
          <w:sz w:val="24"/>
        </w:rPr>
      </w:pPr>
      <w:r w:rsidRPr="00A5128D">
        <w:rPr>
          <w:rFonts w:ascii="Times New Roman" w:hAnsi="Times New Roman" w:cs="Times New Roman"/>
          <w:sz w:val="24"/>
        </w:rPr>
        <w:t>Consider expansion of Section 2.4 – Outage Coordination to provide guidance/requirements for outage studies.</w:t>
      </w:r>
    </w:p>
    <w:p w:rsidR="00000000" w:rsidRPr="00A5128D" w:rsidRDefault="00AF4DA6" w:rsidP="00A5128D">
      <w:pPr>
        <w:numPr>
          <w:ilvl w:val="0"/>
          <w:numId w:val="12"/>
        </w:numPr>
        <w:spacing w:after="0"/>
        <w:rPr>
          <w:rFonts w:ascii="Times New Roman" w:hAnsi="Times New Roman" w:cs="Times New Roman"/>
          <w:sz w:val="24"/>
        </w:rPr>
      </w:pPr>
      <w:r w:rsidRPr="00A5128D">
        <w:rPr>
          <w:rFonts w:ascii="Times New Roman" w:hAnsi="Times New Roman" w:cs="Times New Roman"/>
          <w:sz w:val="24"/>
        </w:rPr>
        <w:t>Consider addition of requirements for TSP provision of contingencies in Section 5.1 – System Modeling Information.</w:t>
      </w:r>
    </w:p>
    <w:p w:rsidR="00A5128D" w:rsidRPr="00A5128D" w:rsidRDefault="00A5128D" w:rsidP="00A5128D">
      <w:pPr>
        <w:spacing w:after="0"/>
        <w:ind w:left="720"/>
        <w:rPr>
          <w:rFonts w:ascii="Times New Roman" w:hAnsi="Times New Roman" w:cs="Times New Roman"/>
          <w:sz w:val="24"/>
        </w:rPr>
      </w:pPr>
      <w:r w:rsidRPr="00A5128D">
        <w:rPr>
          <w:rFonts w:ascii="Times New Roman" w:hAnsi="Times New Roman" w:cs="Times New Roman"/>
          <w:sz w:val="24"/>
        </w:rPr>
        <w:t>Only substantive changes to reflect current practices should be included.</w:t>
      </w:r>
    </w:p>
    <w:p w:rsidR="00EE6C8A" w:rsidRDefault="00A5128D" w:rsidP="00AD65B2">
      <w:pPr>
        <w:spacing w:after="0"/>
        <w:ind w:left="720"/>
        <w:rPr>
          <w:rFonts w:ascii="Times New Roman" w:hAnsi="Times New Roman" w:cs="Times New Roman"/>
          <w:sz w:val="24"/>
        </w:rPr>
      </w:pPr>
      <w:r>
        <w:rPr>
          <w:rFonts w:ascii="Times New Roman" w:hAnsi="Times New Roman" w:cs="Times New Roman"/>
          <w:sz w:val="24"/>
        </w:rPr>
        <w:t xml:space="preserve"> </w:t>
      </w:r>
    </w:p>
    <w:p w:rsidR="00A5128D" w:rsidRPr="008543AC" w:rsidRDefault="00A5128D" w:rsidP="00AD65B2">
      <w:pPr>
        <w:spacing w:after="0"/>
        <w:ind w:left="720"/>
        <w:rPr>
          <w:rFonts w:ascii="Times New Roman" w:hAnsi="Times New Roman" w:cs="Times New Roman"/>
          <w:sz w:val="24"/>
        </w:rPr>
      </w:pPr>
    </w:p>
    <w:p w:rsidR="00AD65B2" w:rsidRDefault="00AD65B2" w:rsidP="00AD65B2">
      <w:pPr>
        <w:spacing w:after="0"/>
        <w:ind w:left="720"/>
        <w:rPr>
          <w:rFonts w:ascii="Times New Roman" w:hAnsi="Times New Roman" w:cs="Times New Roman"/>
          <w:b/>
          <w:sz w:val="24"/>
        </w:rPr>
      </w:pPr>
    </w:p>
    <w:p w:rsidR="00A5128D" w:rsidRPr="008543AC" w:rsidRDefault="008543AC" w:rsidP="008543AC">
      <w:pPr>
        <w:spacing w:after="0"/>
        <w:rPr>
          <w:rFonts w:ascii="Times New Roman" w:hAnsi="Times New Roman" w:cs="Times New Roman"/>
          <w:b/>
        </w:rPr>
      </w:pPr>
      <w:r w:rsidRPr="008543AC">
        <w:rPr>
          <w:rFonts w:ascii="Times New Roman" w:hAnsi="Times New Roman" w:cs="Times New Roman"/>
          <w:b/>
        </w:rPr>
        <w:lastRenderedPageBreak/>
        <w:t>Biennial Reactive test data in NDCRC</w:t>
      </w:r>
    </w:p>
    <w:p w:rsidR="008543AC" w:rsidRPr="008543AC" w:rsidRDefault="008543AC" w:rsidP="008543AC">
      <w:pPr>
        <w:spacing w:after="0"/>
        <w:ind w:left="720"/>
        <w:rPr>
          <w:rFonts w:ascii="Times New Roman" w:hAnsi="Times New Roman" w:cs="Times New Roman"/>
        </w:rPr>
      </w:pPr>
      <w:r w:rsidRPr="008543AC">
        <w:rPr>
          <w:rFonts w:ascii="Times New Roman" w:hAnsi="Times New Roman" w:cs="Times New Roman"/>
        </w:rPr>
        <w:t>Ross Owen mentioned that there are a lot of units that did not perform the 2 year reactive testing. It is important for all the units to perform and provide the latest test results on NDCRC website so the TOs can easily access the information to perform reliability studies.</w:t>
      </w:r>
    </w:p>
    <w:p w:rsidR="008543AC" w:rsidRPr="008543AC" w:rsidRDefault="008543AC" w:rsidP="008543AC">
      <w:pPr>
        <w:spacing w:after="0"/>
        <w:rPr>
          <w:rFonts w:ascii="Times New Roman" w:hAnsi="Times New Roman" w:cs="Times New Roman"/>
        </w:rPr>
      </w:pPr>
    </w:p>
    <w:p w:rsidR="008543AC" w:rsidRDefault="008543AC" w:rsidP="008543AC">
      <w:pPr>
        <w:spacing w:after="0"/>
        <w:ind w:left="720"/>
        <w:rPr>
          <w:rFonts w:ascii="Times New Roman" w:hAnsi="Times New Roman" w:cs="Times New Roman"/>
        </w:rPr>
      </w:pPr>
      <w:r w:rsidRPr="008543AC">
        <w:rPr>
          <w:rFonts w:ascii="Times New Roman" w:hAnsi="Times New Roman" w:cs="Times New Roman"/>
        </w:rPr>
        <w:t xml:space="preserve">Isabel Flores said that a market notice was sent out to the generators to perform their tests as required. There was a lot of response and many Resources have completed their tests.  A few extensions were given to wind Resources.   </w:t>
      </w:r>
    </w:p>
    <w:p w:rsidR="00A5128D" w:rsidRPr="008543AC" w:rsidRDefault="00A5128D" w:rsidP="008543AC">
      <w:pPr>
        <w:spacing w:after="0"/>
        <w:ind w:left="720"/>
        <w:rPr>
          <w:rFonts w:ascii="Times New Roman" w:hAnsi="Times New Roman" w:cs="Times New Roman"/>
        </w:rPr>
      </w:pPr>
    </w:p>
    <w:p w:rsidR="00364ED7" w:rsidRPr="009B6AA6" w:rsidRDefault="00364ED7" w:rsidP="000F2B8B">
      <w:pPr>
        <w:spacing w:after="0"/>
        <w:rPr>
          <w:rFonts w:ascii="Times New Roman" w:hAnsi="Times New Roman" w:cs="Times New Roman"/>
          <w:b/>
          <w:sz w:val="24"/>
        </w:rPr>
      </w:pPr>
      <w:r w:rsidRPr="009B6AA6">
        <w:rPr>
          <w:rFonts w:ascii="Times New Roman" w:hAnsi="Times New Roman" w:cs="Times New Roman"/>
          <w:b/>
          <w:sz w:val="24"/>
        </w:rPr>
        <w:t xml:space="preserve">Future Meeting Dates – </w:t>
      </w:r>
    </w:p>
    <w:p w:rsidR="0047273C" w:rsidRPr="007C6C5F" w:rsidRDefault="008543AC" w:rsidP="00A0788C">
      <w:pPr>
        <w:spacing w:after="0"/>
        <w:rPr>
          <w:rFonts w:ascii="Georgia" w:hAnsi="Georgia"/>
        </w:rPr>
      </w:pPr>
      <w:r>
        <w:rPr>
          <w:rFonts w:ascii="Times New Roman" w:hAnsi="Times New Roman" w:cs="Times New Roman"/>
        </w:rPr>
        <w:t>November</w:t>
      </w:r>
      <w:r w:rsidR="00C37408">
        <w:rPr>
          <w:rFonts w:ascii="Times New Roman" w:hAnsi="Times New Roman" w:cs="Times New Roman"/>
        </w:rPr>
        <w:t xml:space="preserve"> 1</w:t>
      </w:r>
      <w:r>
        <w:rPr>
          <w:rFonts w:ascii="Times New Roman" w:hAnsi="Times New Roman" w:cs="Times New Roman"/>
        </w:rPr>
        <w:t>4</w:t>
      </w:r>
      <w:r w:rsidR="007C6C5F">
        <w:rPr>
          <w:rFonts w:ascii="Georgia" w:hAnsi="Georgia"/>
        </w:rPr>
        <w:t>th, 2012</w:t>
      </w:r>
    </w:p>
    <w:sectPr w:rsidR="0047273C" w:rsidRPr="007C6C5F" w:rsidSect="00CE22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611CC"/>
    <w:multiLevelType w:val="hybridMultilevel"/>
    <w:tmpl w:val="C37AB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7C1DD3"/>
    <w:multiLevelType w:val="hybridMultilevel"/>
    <w:tmpl w:val="B5F0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F64793"/>
    <w:multiLevelType w:val="hybridMultilevel"/>
    <w:tmpl w:val="51883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FF23AC"/>
    <w:multiLevelType w:val="hybridMultilevel"/>
    <w:tmpl w:val="64F69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F909B0"/>
    <w:multiLevelType w:val="hybridMultilevel"/>
    <w:tmpl w:val="CE4835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8AB3AB3"/>
    <w:multiLevelType w:val="hybridMultilevel"/>
    <w:tmpl w:val="31EA6B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4464A67"/>
    <w:multiLevelType w:val="hybridMultilevel"/>
    <w:tmpl w:val="124AF5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D5B3495"/>
    <w:multiLevelType w:val="hybridMultilevel"/>
    <w:tmpl w:val="27FE8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01F6301"/>
    <w:multiLevelType w:val="hybridMultilevel"/>
    <w:tmpl w:val="BEA2C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4B714FF"/>
    <w:multiLevelType w:val="hybridMultilevel"/>
    <w:tmpl w:val="7A14D22E"/>
    <w:lvl w:ilvl="0" w:tplc="BB58CAD4">
      <w:start w:val="1"/>
      <w:numFmt w:val="bullet"/>
      <w:lvlText w:val="•"/>
      <w:lvlJc w:val="left"/>
      <w:pPr>
        <w:tabs>
          <w:tab w:val="num" w:pos="720"/>
        </w:tabs>
        <w:ind w:left="720" w:hanging="360"/>
      </w:pPr>
      <w:rPr>
        <w:rFonts w:ascii="Arial" w:hAnsi="Arial" w:hint="default"/>
      </w:rPr>
    </w:lvl>
    <w:lvl w:ilvl="1" w:tplc="CD7A3D10" w:tentative="1">
      <w:start w:val="1"/>
      <w:numFmt w:val="bullet"/>
      <w:lvlText w:val="•"/>
      <w:lvlJc w:val="left"/>
      <w:pPr>
        <w:tabs>
          <w:tab w:val="num" w:pos="1440"/>
        </w:tabs>
        <w:ind w:left="1440" w:hanging="360"/>
      </w:pPr>
      <w:rPr>
        <w:rFonts w:ascii="Arial" w:hAnsi="Arial" w:hint="default"/>
      </w:rPr>
    </w:lvl>
    <w:lvl w:ilvl="2" w:tplc="1DA4804C" w:tentative="1">
      <w:start w:val="1"/>
      <w:numFmt w:val="bullet"/>
      <w:lvlText w:val="•"/>
      <w:lvlJc w:val="left"/>
      <w:pPr>
        <w:tabs>
          <w:tab w:val="num" w:pos="2160"/>
        </w:tabs>
        <w:ind w:left="2160" w:hanging="360"/>
      </w:pPr>
      <w:rPr>
        <w:rFonts w:ascii="Arial" w:hAnsi="Arial" w:hint="default"/>
      </w:rPr>
    </w:lvl>
    <w:lvl w:ilvl="3" w:tplc="466C0E70" w:tentative="1">
      <w:start w:val="1"/>
      <w:numFmt w:val="bullet"/>
      <w:lvlText w:val="•"/>
      <w:lvlJc w:val="left"/>
      <w:pPr>
        <w:tabs>
          <w:tab w:val="num" w:pos="2880"/>
        </w:tabs>
        <w:ind w:left="2880" w:hanging="360"/>
      </w:pPr>
      <w:rPr>
        <w:rFonts w:ascii="Arial" w:hAnsi="Arial" w:hint="default"/>
      </w:rPr>
    </w:lvl>
    <w:lvl w:ilvl="4" w:tplc="2AD0ED86" w:tentative="1">
      <w:start w:val="1"/>
      <w:numFmt w:val="bullet"/>
      <w:lvlText w:val="•"/>
      <w:lvlJc w:val="left"/>
      <w:pPr>
        <w:tabs>
          <w:tab w:val="num" w:pos="3600"/>
        </w:tabs>
        <w:ind w:left="3600" w:hanging="360"/>
      </w:pPr>
      <w:rPr>
        <w:rFonts w:ascii="Arial" w:hAnsi="Arial" w:hint="default"/>
      </w:rPr>
    </w:lvl>
    <w:lvl w:ilvl="5" w:tplc="B0262B28" w:tentative="1">
      <w:start w:val="1"/>
      <w:numFmt w:val="bullet"/>
      <w:lvlText w:val="•"/>
      <w:lvlJc w:val="left"/>
      <w:pPr>
        <w:tabs>
          <w:tab w:val="num" w:pos="4320"/>
        </w:tabs>
        <w:ind w:left="4320" w:hanging="360"/>
      </w:pPr>
      <w:rPr>
        <w:rFonts w:ascii="Arial" w:hAnsi="Arial" w:hint="default"/>
      </w:rPr>
    </w:lvl>
    <w:lvl w:ilvl="6" w:tplc="FAD2CF08" w:tentative="1">
      <w:start w:val="1"/>
      <w:numFmt w:val="bullet"/>
      <w:lvlText w:val="•"/>
      <w:lvlJc w:val="left"/>
      <w:pPr>
        <w:tabs>
          <w:tab w:val="num" w:pos="5040"/>
        </w:tabs>
        <w:ind w:left="5040" w:hanging="360"/>
      </w:pPr>
      <w:rPr>
        <w:rFonts w:ascii="Arial" w:hAnsi="Arial" w:hint="default"/>
      </w:rPr>
    </w:lvl>
    <w:lvl w:ilvl="7" w:tplc="0596B118" w:tentative="1">
      <w:start w:val="1"/>
      <w:numFmt w:val="bullet"/>
      <w:lvlText w:val="•"/>
      <w:lvlJc w:val="left"/>
      <w:pPr>
        <w:tabs>
          <w:tab w:val="num" w:pos="5760"/>
        </w:tabs>
        <w:ind w:left="5760" w:hanging="360"/>
      </w:pPr>
      <w:rPr>
        <w:rFonts w:ascii="Arial" w:hAnsi="Arial" w:hint="default"/>
      </w:rPr>
    </w:lvl>
    <w:lvl w:ilvl="8" w:tplc="776263F2" w:tentative="1">
      <w:start w:val="1"/>
      <w:numFmt w:val="bullet"/>
      <w:lvlText w:val="•"/>
      <w:lvlJc w:val="left"/>
      <w:pPr>
        <w:tabs>
          <w:tab w:val="num" w:pos="6480"/>
        </w:tabs>
        <w:ind w:left="6480" w:hanging="360"/>
      </w:pPr>
      <w:rPr>
        <w:rFonts w:ascii="Arial" w:hAnsi="Arial" w:hint="default"/>
      </w:rPr>
    </w:lvl>
  </w:abstractNum>
  <w:abstractNum w:abstractNumId="10">
    <w:nsid w:val="68B005A1"/>
    <w:multiLevelType w:val="hybridMultilevel"/>
    <w:tmpl w:val="C9B26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181127"/>
    <w:multiLevelType w:val="hybridMultilevel"/>
    <w:tmpl w:val="32E298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1"/>
  </w:num>
  <w:num w:numId="3">
    <w:abstractNumId w:val="5"/>
  </w:num>
  <w:num w:numId="4">
    <w:abstractNumId w:val="8"/>
  </w:num>
  <w:num w:numId="5">
    <w:abstractNumId w:val="3"/>
  </w:num>
  <w:num w:numId="6">
    <w:abstractNumId w:val="0"/>
  </w:num>
  <w:num w:numId="7">
    <w:abstractNumId w:val="10"/>
  </w:num>
  <w:num w:numId="8">
    <w:abstractNumId w:val="2"/>
  </w:num>
  <w:num w:numId="9">
    <w:abstractNumId w:val="1"/>
  </w:num>
  <w:num w:numId="10">
    <w:abstractNumId w:val="4"/>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88C"/>
    <w:rsid w:val="00013694"/>
    <w:rsid w:val="0006701A"/>
    <w:rsid w:val="000704FA"/>
    <w:rsid w:val="000B118E"/>
    <w:rsid w:val="000D191E"/>
    <w:rsid w:val="000F2B8B"/>
    <w:rsid w:val="000F5DF9"/>
    <w:rsid w:val="001020AB"/>
    <w:rsid w:val="00127C45"/>
    <w:rsid w:val="001300F3"/>
    <w:rsid w:val="001401BB"/>
    <w:rsid w:val="00177504"/>
    <w:rsid w:val="001E353E"/>
    <w:rsid w:val="00256EDE"/>
    <w:rsid w:val="00263CEA"/>
    <w:rsid w:val="002A23C9"/>
    <w:rsid w:val="002A4A9E"/>
    <w:rsid w:val="002E0064"/>
    <w:rsid w:val="00331489"/>
    <w:rsid w:val="003600B6"/>
    <w:rsid w:val="00364ED7"/>
    <w:rsid w:val="00370EC3"/>
    <w:rsid w:val="003966CC"/>
    <w:rsid w:val="00396E23"/>
    <w:rsid w:val="003B2C22"/>
    <w:rsid w:val="003C7453"/>
    <w:rsid w:val="003D516B"/>
    <w:rsid w:val="003D5246"/>
    <w:rsid w:val="004308AD"/>
    <w:rsid w:val="00435944"/>
    <w:rsid w:val="00447403"/>
    <w:rsid w:val="00462E30"/>
    <w:rsid w:val="004666B1"/>
    <w:rsid w:val="0047273C"/>
    <w:rsid w:val="004805AC"/>
    <w:rsid w:val="0048327C"/>
    <w:rsid w:val="00485E20"/>
    <w:rsid w:val="004A2211"/>
    <w:rsid w:val="004A571E"/>
    <w:rsid w:val="004B3967"/>
    <w:rsid w:val="004D5166"/>
    <w:rsid w:val="004E6C24"/>
    <w:rsid w:val="00504A51"/>
    <w:rsid w:val="005178A8"/>
    <w:rsid w:val="00521C01"/>
    <w:rsid w:val="00527D2D"/>
    <w:rsid w:val="0053172D"/>
    <w:rsid w:val="00541DA5"/>
    <w:rsid w:val="00583676"/>
    <w:rsid w:val="00590BB0"/>
    <w:rsid w:val="00592401"/>
    <w:rsid w:val="005A4A3C"/>
    <w:rsid w:val="005B14A9"/>
    <w:rsid w:val="00606352"/>
    <w:rsid w:val="00621007"/>
    <w:rsid w:val="006350A2"/>
    <w:rsid w:val="00637621"/>
    <w:rsid w:val="00655E7C"/>
    <w:rsid w:val="00655F35"/>
    <w:rsid w:val="00662858"/>
    <w:rsid w:val="00672302"/>
    <w:rsid w:val="00693A65"/>
    <w:rsid w:val="006A48A1"/>
    <w:rsid w:val="006B2C72"/>
    <w:rsid w:val="006C45FD"/>
    <w:rsid w:val="006D7ADC"/>
    <w:rsid w:val="006E6E77"/>
    <w:rsid w:val="007173AE"/>
    <w:rsid w:val="00734CA7"/>
    <w:rsid w:val="00740FF4"/>
    <w:rsid w:val="007A4B0F"/>
    <w:rsid w:val="007B1481"/>
    <w:rsid w:val="007C6C5F"/>
    <w:rsid w:val="007D1DD3"/>
    <w:rsid w:val="007E783C"/>
    <w:rsid w:val="00812757"/>
    <w:rsid w:val="008317DF"/>
    <w:rsid w:val="00834E79"/>
    <w:rsid w:val="00836DCA"/>
    <w:rsid w:val="008543AC"/>
    <w:rsid w:val="0086111A"/>
    <w:rsid w:val="0086459D"/>
    <w:rsid w:val="00884B84"/>
    <w:rsid w:val="008B4377"/>
    <w:rsid w:val="008B7149"/>
    <w:rsid w:val="00902B74"/>
    <w:rsid w:val="00904754"/>
    <w:rsid w:val="00914FA4"/>
    <w:rsid w:val="00956025"/>
    <w:rsid w:val="00960EB9"/>
    <w:rsid w:val="00992EBA"/>
    <w:rsid w:val="009B232B"/>
    <w:rsid w:val="009B2471"/>
    <w:rsid w:val="009B6AA6"/>
    <w:rsid w:val="00A0788C"/>
    <w:rsid w:val="00A16300"/>
    <w:rsid w:val="00A35D8B"/>
    <w:rsid w:val="00A5083E"/>
    <w:rsid w:val="00A5128D"/>
    <w:rsid w:val="00A61108"/>
    <w:rsid w:val="00A64492"/>
    <w:rsid w:val="00A90817"/>
    <w:rsid w:val="00AA12E4"/>
    <w:rsid w:val="00AB0D6A"/>
    <w:rsid w:val="00AC05C3"/>
    <w:rsid w:val="00AC57E7"/>
    <w:rsid w:val="00AC7B9F"/>
    <w:rsid w:val="00AD180D"/>
    <w:rsid w:val="00AD65B2"/>
    <w:rsid w:val="00AF4DA6"/>
    <w:rsid w:val="00AF711E"/>
    <w:rsid w:val="00B01D88"/>
    <w:rsid w:val="00B1501A"/>
    <w:rsid w:val="00B32C21"/>
    <w:rsid w:val="00B33277"/>
    <w:rsid w:val="00B52FEA"/>
    <w:rsid w:val="00B62AF1"/>
    <w:rsid w:val="00B648B1"/>
    <w:rsid w:val="00B66BCE"/>
    <w:rsid w:val="00B86D5C"/>
    <w:rsid w:val="00BA3F5E"/>
    <w:rsid w:val="00BC3EC5"/>
    <w:rsid w:val="00BD145D"/>
    <w:rsid w:val="00BD3F7D"/>
    <w:rsid w:val="00BF17E4"/>
    <w:rsid w:val="00C23097"/>
    <w:rsid w:val="00C37408"/>
    <w:rsid w:val="00C46AA0"/>
    <w:rsid w:val="00C61410"/>
    <w:rsid w:val="00C802BB"/>
    <w:rsid w:val="00CE2266"/>
    <w:rsid w:val="00CF22F6"/>
    <w:rsid w:val="00D229AE"/>
    <w:rsid w:val="00D51E3F"/>
    <w:rsid w:val="00D63E5E"/>
    <w:rsid w:val="00D94ABD"/>
    <w:rsid w:val="00DA136F"/>
    <w:rsid w:val="00DB285C"/>
    <w:rsid w:val="00DC08A7"/>
    <w:rsid w:val="00DC685A"/>
    <w:rsid w:val="00DE221D"/>
    <w:rsid w:val="00E54337"/>
    <w:rsid w:val="00E573DB"/>
    <w:rsid w:val="00E6058A"/>
    <w:rsid w:val="00E850B4"/>
    <w:rsid w:val="00EE2055"/>
    <w:rsid w:val="00EE6C8A"/>
    <w:rsid w:val="00F12322"/>
    <w:rsid w:val="00F15C5B"/>
    <w:rsid w:val="00F3274F"/>
    <w:rsid w:val="00F624F4"/>
    <w:rsid w:val="00F83EC9"/>
    <w:rsid w:val="00F926A6"/>
    <w:rsid w:val="00FB0BBC"/>
    <w:rsid w:val="00FB0D09"/>
    <w:rsid w:val="00FC25F5"/>
    <w:rsid w:val="00FC5F97"/>
    <w:rsid w:val="00FD20DE"/>
    <w:rsid w:val="00FF0BD2"/>
    <w:rsid w:val="00FF4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2220">
      <w:bodyDiv w:val="1"/>
      <w:marLeft w:val="0"/>
      <w:marRight w:val="0"/>
      <w:marTop w:val="0"/>
      <w:marBottom w:val="0"/>
      <w:divBdr>
        <w:top w:val="none" w:sz="0" w:space="0" w:color="auto"/>
        <w:left w:val="none" w:sz="0" w:space="0" w:color="auto"/>
        <w:bottom w:val="none" w:sz="0" w:space="0" w:color="auto"/>
        <w:right w:val="none" w:sz="0" w:space="0" w:color="auto"/>
      </w:divBdr>
      <w:divsChild>
        <w:div w:id="2137094509">
          <w:marLeft w:val="0"/>
          <w:marRight w:val="0"/>
          <w:marTop w:val="0"/>
          <w:marBottom w:val="0"/>
          <w:divBdr>
            <w:top w:val="none" w:sz="0" w:space="0" w:color="auto"/>
            <w:left w:val="none" w:sz="0" w:space="0" w:color="auto"/>
            <w:bottom w:val="none" w:sz="0" w:space="0" w:color="auto"/>
            <w:right w:val="none" w:sz="0" w:space="0" w:color="auto"/>
          </w:divBdr>
          <w:divsChild>
            <w:div w:id="2070111506">
              <w:marLeft w:val="0"/>
              <w:marRight w:val="0"/>
              <w:marTop w:val="0"/>
              <w:marBottom w:val="0"/>
              <w:divBdr>
                <w:top w:val="none" w:sz="0" w:space="0" w:color="auto"/>
                <w:left w:val="none" w:sz="0" w:space="0" w:color="auto"/>
                <w:bottom w:val="none" w:sz="0" w:space="0" w:color="auto"/>
                <w:right w:val="none" w:sz="0" w:space="0" w:color="auto"/>
              </w:divBdr>
              <w:divsChild>
                <w:div w:id="142510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684118">
      <w:bodyDiv w:val="1"/>
      <w:marLeft w:val="0"/>
      <w:marRight w:val="0"/>
      <w:marTop w:val="0"/>
      <w:marBottom w:val="0"/>
      <w:divBdr>
        <w:top w:val="none" w:sz="0" w:space="0" w:color="auto"/>
        <w:left w:val="none" w:sz="0" w:space="0" w:color="auto"/>
        <w:bottom w:val="none" w:sz="0" w:space="0" w:color="auto"/>
        <w:right w:val="none" w:sz="0" w:space="0" w:color="auto"/>
      </w:divBdr>
      <w:divsChild>
        <w:div w:id="2003578663">
          <w:marLeft w:val="547"/>
          <w:marRight w:val="0"/>
          <w:marTop w:val="91"/>
          <w:marBottom w:val="0"/>
          <w:divBdr>
            <w:top w:val="none" w:sz="0" w:space="0" w:color="auto"/>
            <w:left w:val="none" w:sz="0" w:space="0" w:color="auto"/>
            <w:bottom w:val="none" w:sz="0" w:space="0" w:color="auto"/>
            <w:right w:val="none" w:sz="0" w:space="0" w:color="auto"/>
          </w:divBdr>
        </w:div>
        <w:div w:id="1321538111">
          <w:marLeft w:val="547"/>
          <w:marRight w:val="0"/>
          <w:marTop w:val="91"/>
          <w:marBottom w:val="0"/>
          <w:divBdr>
            <w:top w:val="none" w:sz="0" w:space="0" w:color="auto"/>
            <w:left w:val="none" w:sz="0" w:space="0" w:color="auto"/>
            <w:bottom w:val="none" w:sz="0" w:space="0" w:color="auto"/>
            <w:right w:val="none" w:sz="0" w:space="0" w:color="auto"/>
          </w:divBdr>
        </w:div>
        <w:div w:id="664089412">
          <w:marLeft w:val="547"/>
          <w:marRight w:val="0"/>
          <w:marTop w:val="91"/>
          <w:marBottom w:val="0"/>
          <w:divBdr>
            <w:top w:val="none" w:sz="0" w:space="0" w:color="auto"/>
            <w:left w:val="none" w:sz="0" w:space="0" w:color="auto"/>
            <w:bottom w:val="none" w:sz="0" w:space="0" w:color="auto"/>
            <w:right w:val="none" w:sz="0" w:space="0" w:color="auto"/>
          </w:divBdr>
        </w:div>
        <w:div w:id="1873883848">
          <w:marLeft w:val="547"/>
          <w:marRight w:val="0"/>
          <w:marTop w:val="91"/>
          <w:marBottom w:val="0"/>
          <w:divBdr>
            <w:top w:val="none" w:sz="0" w:space="0" w:color="auto"/>
            <w:left w:val="none" w:sz="0" w:space="0" w:color="auto"/>
            <w:bottom w:val="none" w:sz="0" w:space="0" w:color="auto"/>
            <w:right w:val="none" w:sz="0" w:space="0" w:color="auto"/>
          </w:divBdr>
        </w:div>
        <w:div w:id="1976641394">
          <w:marLeft w:val="547"/>
          <w:marRight w:val="0"/>
          <w:marTop w:val="91"/>
          <w:marBottom w:val="0"/>
          <w:divBdr>
            <w:top w:val="none" w:sz="0" w:space="0" w:color="auto"/>
            <w:left w:val="none" w:sz="0" w:space="0" w:color="auto"/>
            <w:bottom w:val="none" w:sz="0" w:space="0" w:color="auto"/>
            <w:right w:val="none" w:sz="0" w:space="0" w:color="auto"/>
          </w:divBdr>
        </w:div>
        <w:div w:id="1219512429">
          <w:marLeft w:val="547"/>
          <w:marRight w:val="0"/>
          <w:marTop w:val="91"/>
          <w:marBottom w:val="0"/>
          <w:divBdr>
            <w:top w:val="none" w:sz="0" w:space="0" w:color="auto"/>
            <w:left w:val="none" w:sz="0" w:space="0" w:color="auto"/>
            <w:bottom w:val="none" w:sz="0" w:space="0" w:color="auto"/>
            <w:right w:val="none" w:sz="0" w:space="0" w:color="auto"/>
          </w:divBdr>
        </w:div>
        <w:div w:id="62727832">
          <w:marLeft w:val="547"/>
          <w:marRight w:val="0"/>
          <w:marTop w:val="91"/>
          <w:marBottom w:val="0"/>
          <w:divBdr>
            <w:top w:val="none" w:sz="0" w:space="0" w:color="auto"/>
            <w:left w:val="none" w:sz="0" w:space="0" w:color="auto"/>
            <w:bottom w:val="none" w:sz="0" w:space="0" w:color="auto"/>
            <w:right w:val="none" w:sz="0" w:space="0" w:color="auto"/>
          </w:divBdr>
        </w:div>
      </w:divsChild>
    </w:div>
    <w:div w:id="1822454944">
      <w:bodyDiv w:val="1"/>
      <w:marLeft w:val="0"/>
      <w:marRight w:val="0"/>
      <w:marTop w:val="0"/>
      <w:marBottom w:val="0"/>
      <w:divBdr>
        <w:top w:val="none" w:sz="0" w:space="0" w:color="auto"/>
        <w:left w:val="none" w:sz="0" w:space="0" w:color="auto"/>
        <w:bottom w:val="none" w:sz="0" w:space="0" w:color="auto"/>
        <w:right w:val="none" w:sz="0" w:space="0" w:color="auto"/>
      </w:divBdr>
      <w:divsChild>
        <w:div w:id="1675573545">
          <w:marLeft w:val="0"/>
          <w:marRight w:val="0"/>
          <w:marTop w:val="0"/>
          <w:marBottom w:val="0"/>
          <w:divBdr>
            <w:top w:val="single" w:sz="2" w:space="0" w:color="FFFFFF"/>
            <w:left w:val="single" w:sz="48" w:space="0" w:color="FCFBF5"/>
            <w:bottom w:val="single" w:sz="2" w:space="0" w:color="FFFFFF"/>
            <w:right w:val="single" w:sz="2" w:space="0" w:color="FFFFFF"/>
          </w:divBdr>
          <w:divsChild>
            <w:div w:id="1148478710">
              <w:marLeft w:val="0"/>
              <w:marRight w:val="0"/>
              <w:marTop w:val="0"/>
              <w:marBottom w:val="0"/>
              <w:divBdr>
                <w:top w:val="none" w:sz="0" w:space="0" w:color="auto"/>
                <w:left w:val="none" w:sz="0" w:space="0" w:color="auto"/>
                <w:bottom w:val="none" w:sz="0" w:space="0" w:color="auto"/>
                <w:right w:val="none" w:sz="0" w:space="0" w:color="auto"/>
              </w:divBdr>
              <w:divsChild>
                <w:div w:id="1385521681">
                  <w:marLeft w:val="-18"/>
                  <w:marRight w:val="-74"/>
                  <w:marTop w:val="0"/>
                  <w:marBottom w:val="0"/>
                  <w:divBdr>
                    <w:top w:val="none" w:sz="0" w:space="0" w:color="auto"/>
                    <w:left w:val="none" w:sz="0" w:space="0" w:color="auto"/>
                    <w:bottom w:val="none" w:sz="0" w:space="0" w:color="auto"/>
                    <w:right w:val="none" w:sz="0" w:space="0" w:color="auto"/>
                  </w:divBdr>
                  <w:divsChild>
                    <w:div w:id="761990794">
                      <w:marLeft w:val="0"/>
                      <w:marRight w:val="0"/>
                      <w:marTop w:val="0"/>
                      <w:marBottom w:val="0"/>
                      <w:divBdr>
                        <w:top w:val="none" w:sz="0" w:space="0" w:color="auto"/>
                        <w:left w:val="none" w:sz="0" w:space="0" w:color="auto"/>
                        <w:bottom w:val="none" w:sz="0" w:space="0" w:color="auto"/>
                        <w:right w:val="none" w:sz="0" w:space="0" w:color="auto"/>
                      </w:divBdr>
                      <w:divsChild>
                        <w:div w:id="2144689273">
                          <w:marLeft w:val="-138"/>
                          <w:marRight w:val="-138"/>
                          <w:marTop w:val="0"/>
                          <w:marBottom w:val="0"/>
                          <w:divBdr>
                            <w:top w:val="none" w:sz="0" w:space="0" w:color="auto"/>
                            <w:left w:val="none" w:sz="0" w:space="0" w:color="auto"/>
                            <w:bottom w:val="none" w:sz="0" w:space="0" w:color="auto"/>
                            <w:right w:val="none" w:sz="0" w:space="0" w:color="auto"/>
                          </w:divBdr>
                          <w:divsChild>
                            <w:div w:id="169523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CE4F11-1171-4DA9-8E10-02046BFC4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972</Words>
  <Characters>5543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OWG Report February 2012</vt:lpstr>
    </vt:vector>
  </TitlesOfParts>
  <Company>CenterPoint Energy</Company>
  <LinksUpToDate>false</LinksUpToDate>
  <CharactersWithSpaces>6502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OWG Report February 2012</dc:title>
  <dc:creator>Brad Calhoun</dc:creator>
  <cp:lastModifiedBy>Frank Owens</cp:lastModifiedBy>
  <cp:revision>4</cp:revision>
  <dcterms:created xsi:type="dcterms:W3CDTF">2012-10-31T03:29:00Z</dcterms:created>
  <dcterms:modified xsi:type="dcterms:W3CDTF">2012-10-31T04:08:00Z</dcterms:modified>
</cp:coreProperties>
</file>