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87971" w:rsidRPr="005C090B" w:rsidRDefault="00736DEB" w:rsidP="00002163">
      <w:pPr>
        <w:jc w:val="right"/>
      </w:pPr>
      <w:r>
        <w:rPr>
          <w:noProof/>
        </w:rPr>
        <w:drawing>
          <wp:anchor distT="0" distB="0" distL="114300" distR="114300" simplePos="0" relativeHeight="251662848" behindDoc="0" locked="0" layoutInCell="1" allowOverlap="1" wp14:anchorId="31D9E4CA" wp14:editId="0F2AE13E">
            <wp:simplePos x="5829300" y="866775"/>
            <wp:positionH relativeFrom="column">
              <wp:posOffset>4919345</wp:posOffset>
            </wp:positionH>
            <wp:positionV relativeFrom="margin">
              <wp:align>top</wp:align>
            </wp:positionV>
            <wp:extent cx="1033272" cy="393192"/>
            <wp:effectExtent l="0" t="0" r="0" b="6985"/>
            <wp:wrapTopAndBottom/>
            <wp:docPr id="1" name="Picture 1" descr="logoColor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ColorSm"/>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33272" cy="39319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387971" w:rsidRPr="005C090B" w:rsidRDefault="009F0179" w:rsidP="001A131B">
      <w:pPr>
        <w:pStyle w:val="spacer"/>
        <w:spacing w:before="8000"/>
        <w:jc w:val="right"/>
        <w:rPr>
          <w:b/>
          <w:sz w:val="18"/>
          <w:szCs w:val="18"/>
        </w:rPr>
      </w:pPr>
      <w:r w:rsidRPr="005C090B">
        <w:rPr>
          <w:b/>
          <w:sz w:val="28"/>
          <w:szCs w:val="28"/>
        </w:rPr>
        <w:br/>
      </w:r>
    </w:p>
    <w:p w:rsidR="00AE70F7" w:rsidRPr="00E7281E" w:rsidRDefault="00D815DB" w:rsidP="00AE70F7">
      <w:pPr>
        <w:widowControl w:val="0"/>
        <w:jc w:val="right"/>
        <w:rPr>
          <w:rFonts w:cs="Arial"/>
          <w:b/>
          <w:bCs/>
          <w:sz w:val="28"/>
          <w:szCs w:val="36"/>
          <w:lang w:val="it-IT"/>
        </w:rPr>
      </w:pPr>
      <w:r>
        <w:rPr>
          <w:b/>
          <w:sz w:val="28"/>
          <w:szCs w:val="28"/>
          <w:lang w:val="it-IT"/>
        </w:rPr>
        <w:t xml:space="preserve">Karnes </w:t>
      </w:r>
      <w:r w:rsidR="00031EF3">
        <w:rPr>
          <w:b/>
          <w:sz w:val="28"/>
          <w:szCs w:val="28"/>
          <w:lang w:val="it-IT"/>
        </w:rPr>
        <w:t>Electric Cooperative</w:t>
      </w:r>
      <w:r w:rsidR="004C73E1">
        <w:rPr>
          <w:b/>
          <w:sz w:val="28"/>
          <w:szCs w:val="28"/>
          <w:lang w:val="it-IT"/>
        </w:rPr>
        <w:t xml:space="preserve"> (KEC) </w:t>
      </w:r>
      <w:r w:rsidR="0053534F">
        <w:rPr>
          <w:b/>
          <w:sz w:val="28"/>
          <w:szCs w:val="28"/>
          <w:lang w:val="it-IT"/>
        </w:rPr>
        <w:t xml:space="preserve">and Medina </w:t>
      </w:r>
      <w:r>
        <w:rPr>
          <w:b/>
          <w:sz w:val="28"/>
          <w:szCs w:val="28"/>
          <w:lang w:val="it-IT"/>
        </w:rPr>
        <w:t>Electric Cooperative</w:t>
      </w:r>
      <w:r w:rsidR="006C5737">
        <w:rPr>
          <w:b/>
          <w:sz w:val="28"/>
          <w:szCs w:val="28"/>
          <w:lang w:val="it-IT"/>
        </w:rPr>
        <w:t xml:space="preserve"> </w:t>
      </w:r>
      <w:r w:rsidR="004C73E1">
        <w:rPr>
          <w:b/>
          <w:sz w:val="28"/>
          <w:szCs w:val="28"/>
          <w:lang w:val="it-IT"/>
        </w:rPr>
        <w:t xml:space="preserve">(MEC) </w:t>
      </w:r>
      <w:r w:rsidR="00317CB1">
        <w:rPr>
          <w:b/>
          <w:sz w:val="28"/>
          <w:szCs w:val="28"/>
          <w:lang w:val="it-IT"/>
        </w:rPr>
        <w:t>L</w:t>
      </w:r>
      <w:r w:rsidR="006C5737">
        <w:rPr>
          <w:b/>
          <w:sz w:val="28"/>
          <w:szCs w:val="28"/>
          <w:lang w:val="it-IT"/>
        </w:rPr>
        <w:t xml:space="preserve">oad </w:t>
      </w:r>
      <w:r w:rsidR="00317CB1">
        <w:rPr>
          <w:b/>
          <w:sz w:val="28"/>
          <w:szCs w:val="28"/>
          <w:lang w:val="it-IT"/>
        </w:rPr>
        <w:t>A</w:t>
      </w:r>
      <w:r w:rsidR="006C5737">
        <w:rPr>
          <w:b/>
          <w:sz w:val="28"/>
          <w:szCs w:val="28"/>
          <w:lang w:val="it-IT"/>
        </w:rPr>
        <w:t>ddtion</w:t>
      </w:r>
      <w:r>
        <w:rPr>
          <w:b/>
          <w:sz w:val="28"/>
          <w:szCs w:val="28"/>
          <w:lang w:val="it-IT"/>
        </w:rPr>
        <w:t xml:space="preserve"> </w:t>
      </w:r>
      <w:r w:rsidR="006E181F">
        <w:rPr>
          <w:b/>
          <w:sz w:val="28"/>
          <w:szCs w:val="28"/>
          <w:lang w:val="it-IT"/>
        </w:rPr>
        <w:t>Project</w:t>
      </w:r>
    </w:p>
    <w:p w:rsidR="00AE70F7" w:rsidRPr="005C090B" w:rsidRDefault="002129A3" w:rsidP="00AE70F7">
      <w:pPr>
        <w:pStyle w:val="spacer"/>
        <w:widowControl w:val="0"/>
        <w:spacing w:before="240"/>
        <w:jc w:val="right"/>
        <w:rPr>
          <w:b/>
          <w:sz w:val="24"/>
          <w:szCs w:val="24"/>
        </w:rPr>
      </w:pPr>
      <w:r w:rsidRPr="005C090B">
        <w:rPr>
          <w:b/>
          <w:sz w:val="24"/>
          <w:szCs w:val="24"/>
        </w:rPr>
        <w:t>Version</w:t>
      </w:r>
      <w:r w:rsidR="0024365D">
        <w:rPr>
          <w:b/>
          <w:sz w:val="24"/>
          <w:szCs w:val="24"/>
        </w:rPr>
        <w:t xml:space="preserve"> </w:t>
      </w:r>
      <w:r w:rsidR="00DA0D5A">
        <w:rPr>
          <w:b/>
          <w:sz w:val="24"/>
          <w:szCs w:val="24"/>
        </w:rPr>
        <w:t>1</w:t>
      </w:r>
      <w:r w:rsidR="00761376">
        <w:rPr>
          <w:b/>
          <w:sz w:val="24"/>
          <w:szCs w:val="24"/>
        </w:rPr>
        <w:t>.0</w:t>
      </w:r>
    </w:p>
    <w:p w:rsidR="00AE70F7" w:rsidRPr="005C090B" w:rsidRDefault="00AE70F7" w:rsidP="00AE70F7">
      <w:pPr>
        <w:pStyle w:val="spacer"/>
        <w:widowControl w:val="0"/>
        <w:spacing w:before="240"/>
        <w:jc w:val="right"/>
        <w:rPr>
          <w:sz w:val="24"/>
          <w:szCs w:val="24"/>
        </w:rPr>
      </w:pPr>
      <w:bookmarkStart w:id="0" w:name="_GoBack"/>
      <w:bookmarkEnd w:id="0"/>
    </w:p>
    <w:p w:rsidR="003C5767" w:rsidRPr="005C090B" w:rsidRDefault="003C5767" w:rsidP="00400806">
      <w:pPr>
        <w:pStyle w:val="TOCHead"/>
        <w:sectPr w:rsidR="003C5767" w:rsidRPr="005C090B" w:rsidSect="00164EF3">
          <w:headerReference w:type="default" r:id="rId10"/>
          <w:footerReference w:type="default" r:id="rId11"/>
          <w:headerReference w:type="first" r:id="rId12"/>
          <w:footerReference w:type="first" r:id="rId13"/>
          <w:pgSz w:w="12240" w:h="15840"/>
          <w:pgMar w:top="1440" w:right="1440" w:bottom="1440" w:left="1440" w:header="720" w:footer="720" w:gutter="0"/>
          <w:pgNumType w:start="1"/>
          <w:cols w:space="720"/>
          <w:titlePg/>
          <w:docGrid w:linePitch="360"/>
        </w:sectPr>
      </w:pPr>
    </w:p>
    <w:p w:rsidR="00B0784A" w:rsidRPr="005C090B" w:rsidRDefault="001A131B" w:rsidP="00400806">
      <w:pPr>
        <w:pStyle w:val="TOCHead"/>
      </w:pPr>
      <w:r w:rsidRPr="005C090B">
        <w:lastRenderedPageBreak/>
        <w:t>Document Revisions</w:t>
      </w:r>
    </w:p>
    <w:tbl>
      <w:tblPr>
        <w:tblW w:w="88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1777"/>
        <w:gridCol w:w="2894"/>
        <w:gridCol w:w="2132"/>
      </w:tblGrid>
      <w:tr w:rsidR="0017100B" w:rsidRPr="005C090B" w:rsidTr="00177B76">
        <w:tc>
          <w:tcPr>
            <w:tcW w:w="2017" w:type="dxa"/>
            <w:shd w:val="clear" w:color="auto" w:fill="E6E6E6"/>
            <w:vAlign w:val="center"/>
          </w:tcPr>
          <w:p w:rsidR="0017100B" w:rsidRPr="005C090B" w:rsidRDefault="00177B76" w:rsidP="00177B76">
            <w:pPr>
              <w:pStyle w:val="tablehead"/>
              <w:ind w:left="0"/>
            </w:pPr>
            <w:r>
              <w:t xml:space="preserve">             </w:t>
            </w:r>
            <w:r w:rsidR="0017100B" w:rsidRPr="005C090B">
              <w:t>Date</w:t>
            </w:r>
          </w:p>
        </w:tc>
        <w:tc>
          <w:tcPr>
            <w:tcW w:w="1777" w:type="dxa"/>
            <w:shd w:val="clear" w:color="auto" w:fill="E6E6E6"/>
            <w:vAlign w:val="center"/>
          </w:tcPr>
          <w:p w:rsidR="0017100B" w:rsidRPr="005C090B" w:rsidRDefault="00177B76" w:rsidP="00177B76">
            <w:pPr>
              <w:pStyle w:val="tablehead"/>
              <w:ind w:left="0"/>
            </w:pPr>
            <w:r>
              <w:t xml:space="preserve">        </w:t>
            </w:r>
            <w:r w:rsidR="0017100B" w:rsidRPr="005C090B">
              <w:t>Version</w:t>
            </w:r>
          </w:p>
        </w:tc>
        <w:tc>
          <w:tcPr>
            <w:tcW w:w="2894" w:type="dxa"/>
            <w:shd w:val="clear" w:color="auto" w:fill="E6E6E6"/>
            <w:vAlign w:val="center"/>
          </w:tcPr>
          <w:p w:rsidR="0017100B" w:rsidRPr="005C090B" w:rsidRDefault="0017100B" w:rsidP="00177B76">
            <w:pPr>
              <w:pStyle w:val="tablehead"/>
              <w:ind w:left="0"/>
              <w:jc w:val="center"/>
            </w:pPr>
            <w:r w:rsidRPr="005C090B">
              <w:t>Description</w:t>
            </w:r>
          </w:p>
        </w:tc>
        <w:tc>
          <w:tcPr>
            <w:tcW w:w="2132" w:type="dxa"/>
            <w:shd w:val="clear" w:color="auto" w:fill="E6E6E6"/>
            <w:vAlign w:val="center"/>
          </w:tcPr>
          <w:p w:rsidR="0017100B" w:rsidRPr="005C090B" w:rsidRDefault="0017100B" w:rsidP="00177B76">
            <w:pPr>
              <w:pStyle w:val="tablehead"/>
              <w:ind w:left="0"/>
              <w:jc w:val="center"/>
            </w:pPr>
            <w:r w:rsidRPr="005C090B">
              <w:t>Author(s)</w:t>
            </w:r>
          </w:p>
        </w:tc>
      </w:tr>
    </w:tbl>
    <w:tbl>
      <w:tblPr>
        <w:tblW w:w="88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1777"/>
        <w:gridCol w:w="2894"/>
        <w:gridCol w:w="2132"/>
      </w:tblGrid>
      <w:tr w:rsidR="0017100B" w:rsidRPr="005C090B" w:rsidTr="00177B76">
        <w:tc>
          <w:tcPr>
            <w:tcW w:w="2017" w:type="dxa"/>
            <w:vAlign w:val="center"/>
          </w:tcPr>
          <w:p w:rsidR="0017100B" w:rsidRPr="005C090B" w:rsidRDefault="00177B76" w:rsidP="00F154FC">
            <w:pPr>
              <w:pStyle w:val="NormalinTable"/>
              <w:framePr w:wrap="notBeside"/>
            </w:pPr>
            <w:r>
              <w:t xml:space="preserve">      </w:t>
            </w:r>
            <w:r w:rsidR="0053534F">
              <w:t>08</w:t>
            </w:r>
            <w:r w:rsidR="00D815DB">
              <w:t>/</w:t>
            </w:r>
            <w:r w:rsidR="00F154FC">
              <w:t>30</w:t>
            </w:r>
            <w:r w:rsidR="00761376">
              <w:t>/20</w:t>
            </w:r>
            <w:r w:rsidR="00062DE9">
              <w:t>1</w:t>
            </w:r>
            <w:r w:rsidR="005816FE">
              <w:t>2</w:t>
            </w:r>
          </w:p>
        </w:tc>
        <w:tc>
          <w:tcPr>
            <w:tcW w:w="1777" w:type="dxa"/>
            <w:vAlign w:val="center"/>
          </w:tcPr>
          <w:p w:rsidR="0017100B" w:rsidRPr="005C090B" w:rsidRDefault="00177B76" w:rsidP="00E7281E">
            <w:pPr>
              <w:pStyle w:val="NormalinTable"/>
              <w:framePr w:wrap="notBeside"/>
            </w:pPr>
            <w:r>
              <w:t xml:space="preserve">           </w:t>
            </w:r>
            <w:r w:rsidR="00D90557">
              <w:t>1</w:t>
            </w:r>
            <w:r w:rsidR="006E489C" w:rsidRPr="005C090B">
              <w:t>.0</w:t>
            </w:r>
          </w:p>
        </w:tc>
        <w:tc>
          <w:tcPr>
            <w:tcW w:w="2894" w:type="dxa"/>
            <w:vAlign w:val="center"/>
          </w:tcPr>
          <w:p w:rsidR="0017100B" w:rsidRPr="005C090B" w:rsidRDefault="00FB7AEB" w:rsidP="00F154FC">
            <w:pPr>
              <w:pStyle w:val="NormalinTable"/>
              <w:framePr w:wrap="notBeside"/>
            </w:pPr>
            <w:r>
              <w:t xml:space="preserve">Final </w:t>
            </w:r>
          </w:p>
        </w:tc>
        <w:tc>
          <w:tcPr>
            <w:tcW w:w="2132" w:type="dxa"/>
            <w:vAlign w:val="center"/>
          </w:tcPr>
          <w:p w:rsidR="0017100B" w:rsidRPr="005C090B" w:rsidRDefault="009B3C47" w:rsidP="00E7281E">
            <w:pPr>
              <w:pStyle w:val="NormalinTable"/>
              <w:framePr w:wrap="notBeside"/>
            </w:pPr>
            <w:r>
              <w:t>Ehsan Ur Rehman</w:t>
            </w:r>
          </w:p>
        </w:tc>
      </w:tr>
    </w:tbl>
    <w:p w:rsidR="00761376" w:rsidRDefault="00761376" w:rsidP="00B86072">
      <w:pPr>
        <w:pStyle w:val="TOCHead"/>
      </w:pPr>
      <w:bookmarkStart w:id="1" w:name="_Toc85269770"/>
    </w:p>
    <w:p w:rsidR="00C14165" w:rsidRPr="005C090B" w:rsidRDefault="00761376" w:rsidP="00B86072">
      <w:pPr>
        <w:pStyle w:val="TOCHead"/>
      </w:pPr>
      <w:r>
        <w:br w:type="page"/>
      </w:r>
      <w:r w:rsidR="00B0784A" w:rsidRPr="005C090B">
        <w:lastRenderedPageBreak/>
        <w:t>Table of Contents</w:t>
      </w:r>
      <w:bookmarkEnd w:id="1"/>
    </w:p>
    <w:p w:rsidR="00FD1194" w:rsidRDefault="00990D5C">
      <w:pPr>
        <w:pStyle w:val="TOC1"/>
        <w:tabs>
          <w:tab w:val="left" w:pos="1320"/>
        </w:tabs>
        <w:rPr>
          <w:rFonts w:asciiTheme="minorHAnsi" w:eastAsiaTheme="minorEastAsia" w:hAnsiTheme="minorHAnsi" w:cstheme="minorBidi"/>
          <w:iCs w:val="0"/>
          <w:noProof/>
          <w:sz w:val="22"/>
          <w:szCs w:val="22"/>
        </w:rPr>
      </w:pPr>
      <w:r w:rsidRPr="005C090B">
        <w:fldChar w:fldCharType="begin"/>
      </w:r>
      <w:r w:rsidR="00AC4F79" w:rsidRPr="005C090B">
        <w:instrText xml:space="preserve"> TOC \o "1-3" \h \z \u </w:instrText>
      </w:r>
      <w:r w:rsidRPr="005C090B">
        <w:fldChar w:fldCharType="separate"/>
      </w:r>
      <w:hyperlink w:anchor="_Toc333567253" w:history="1">
        <w:r w:rsidR="00FD1194" w:rsidRPr="007F119F">
          <w:rPr>
            <w:rStyle w:val="Hyperlink"/>
            <w:noProof/>
          </w:rPr>
          <w:t>1.</w:t>
        </w:r>
        <w:r w:rsidR="00FD1194">
          <w:rPr>
            <w:rFonts w:asciiTheme="minorHAnsi" w:eastAsiaTheme="minorEastAsia" w:hAnsiTheme="minorHAnsi" w:cstheme="minorBidi"/>
            <w:iCs w:val="0"/>
            <w:noProof/>
            <w:sz w:val="22"/>
            <w:szCs w:val="22"/>
          </w:rPr>
          <w:tab/>
        </w:r>
        <w:r w:rsidR="00FD1194" w:rsidRPr="007F119F">
          <w:rPr>
            <w:rStyle w:val="Hyperlink"/>
            <w:noProof/>
          </w:rPr>
          <w:t>Introduction</w:t>
        </w:r>
        <w:r w:rsidR="00FD1194">
          <w:rPr>
            <w:noProof/>
            <w:webHidden/>
          </w:rPr>
          <w:tab/>
        </w:r>
        <w:r w:rsidR="00FD1194">
          <w:rPr>
            <w:noProof/>
            <w:webHidden/>
          </w:rPr>
          <w:fldChar w:fldCharType="begin"/>
        </w:r>
        <w:r w:rsidR="00FD1194">
          <w:rPr>
            <w:noProof/>
            <w:webHidden/>
          </w:rPr>
          <w:instrText xml:space="preserve"> PAGEREF _Toc333567253 \h </w:instrText>
        </w:r>
        <w:r w:rsidR="00FD1194">
          <w:rPr>
            <w:noProof/>
            <w:webHidden/>
          </w:rPr>
        </w:r>
        <w:r w:rsidR="00FD1194">
          <w:rPr>
            <w:noProof/>
            <w:webHidden/>
          </w:rPr>
          <w:fldChar w:fldCharType="separate"/>
        </w:r>
        <w:r w:rsidR="00FD1194">
          <w:rPr>
            <w:noProof/>
            <w:webHidden/>
          </w:rPr>
          <w:t>1</w:t>
        </w:r>
        <w:r w:rsidR="00FD1194">
          <w:rPr>
            <w:noProof/>
            <w:webHidden/>
          </w:rPr>
          <w:fldChar w:fldCharType="end"/>
        </w:r>
      </w:hyperlink>
    </w:p>
    <w:p w:rsidR="00FD1194" w:rsidRDefault="000340DF">
      <w:pPr>
        <w:pStyle w:val="TOC1"/>
        <w:tabs>
          <w:tab w:val="left" w:pos="1320"/>
        </w:tabs>
        <w:rPr>
          <w:rFonts w:asciiTheme="minorHAnsi" w:eastAsiaTheme="minorEastAsia" w:hAnsiTheme="minorHAnsi" w:cstheme="minorBidi"/>
          <w:iCs w:val="0"/>
          <w:noProof/>
          <w:sz w:val="22"/>
          <w:szCs w:val="22"/>
        </w:rPr>
      </w:pPr>
      <w:hyperlink w:anchor="_Toc333567254" w:history="1">
        <w:r w:rsidR="00FD1194" w:rsidRPr="007F119F">
          <w:rPr>
            <w:rStyle w:val="Hyperlink"/>
            <w:noProof/>
          </w:rPr>
          <w:t>2.</w:t>
        </w:r>
        <w:r w:rsidR="00FD1194">
          <w:rPr>
            <w:rFonts w:asciiTheme="minorHAnsi" w:eastAsiaTheme="minorEastAsia" w:hAnsiTheme="minorHAnsi" w:cstheme="minorBidi"/>
            <w:iCs w:val="0"/>
            <w:noProof/>
            <w:sz w:val="22"/>
            <w:szCs w:val="22"/>
          </w:rPr>
          <w:tab/>
        </w:r>
        <w:r w:rsidR="00FD1194" w:rsidRPr="007F119F">
          <w:rPr>
            <w:rStyle w:val="Hyperlink"/>
            <w:noProof/>
          </w:rPr>
          <w:t>Reliability Analysis</w:t>
        </w:r>
        <w:r w:rsidR="00FD1194">
          <w:rPr>
            <w:noProof/>
            <w:webHidden/>
          </w:rPr>
          <w:tab/>
        </w:r>
        <w:r w:rsidR="00FD1194">
          <w:rPr>
            <w:noProof/>
            <w:webHidden/>
          </w:rPr>
          <w:fldChar w:fldCharType="begin"/>
        </w:r>
        <w:r w:rsidR="00FD1194">
          <w:rPr>
            <w:noProof/>
            <w:webHidden/>
          </w:rPr>
          <w:instrText xml:space="preserve"> PAGEREF _Toc333567254 \h </w:instrText>
        </w:r>
        <w:r w:rsidR="00FD1194">
          <w:rPr>
            <w:noProof/>
            <w:webHidden/>
          </w:rPr>
        </w:r>
        <w:r w:rsidR="00FD1194">
          <w:rPr>
            <w:noProof/>
            <w:webHidden/>
          </w:rPr>
          <w:fldChar w:fldCharType="separate"/>
        </w:r>
        <w:r w:rsidR="00FD1194">
          <w:rPr>
            <w:noProof/>
            <w:webHidden/>
          </w:rPr>
          <w:t>4</w:t>
        </w:r>
        <w:r w:rsidR="00FD1194">
          <w:rPr>
            <w:noProof/>
            <w:webHidden/>
          </w:rPr>
          <w:fldChar w:fldCharType="end"/>
        </w:r>
      </w:hyperlink>
    </w:p>
    <w:p w:rsidR="00FD1194" w:rsidRDefault="000340DF">
      <w:pPr>
        <w:pStyle w:val="TOC1"/>
        <w:tabs>
          <w:tab w:val="left" w:pos="1320"/>
        </w:tabs>
        <w:rPr>
          <w:rFonts w:asciiTheme="minorHAnsi" w:eastAsiaTheme="minorEastAsia" w:hAnsiTheme="minorHAnsi" w:cstheme="minorBidi"/>
          <w:iCs w:val="0"/>
          <w:noProof/>
          <w:sz w:val="22"/>
          <w:szCs w:val="22"/>
        </w:rPr>
      </w:pPr>
      <w:hyperlink w:anchor="_Toc333567255" w:history="1">
        <w:r w:rsidR="00FD1194" w:rsidRPr="007F119F">
          <w:rPr>
            <w:rStyle w:val="Hyperlink"/>
            <w:noProof/>
          </w:rPr>
          <w:t>3.</w:t>
        </w:r>
        <w:r w:rsidR="00FD1194">
          <w:rPr>
            <w:rFonts w:asciiTheme="minorHAnsi" w:eastAsiaTheme="minorEastAsia" w:hAnsiTheme="minorHAnsi" w:cstheme="minorBidi"/>
            <w:iCs w:val="0"/>
            <w:noProof/>
            <w:sz w:val="22"/>
            <w:szCs w:val="22"/>
          </w:rPr>
          <w:tab/>
        </w:r>
        <w:r w:rsidR="00FD1194" w:rsidRPr="007F119F">
          <w:rPr>
            <w:rStyle w:val="Hyperlink"/>
            <w:noProof/>
          </w:rPr>
          <w:t>Project Options</w:t>
        </w:r>
        <w:r w:rsidR="00FD1194">
          <w:rPr>
            <w:noProof/>
            <w:webHidden/>
          </w:rPr>
          <w:tab/>
        </w:r>
        <w:r w:rsidR="00FD1194">
          <w:rPr>
            <w:noProof/>
            <w:webHidden/>
          </w:rPr>
          <w:fldChar w:fldCharType="begin"/>
        </w:r>
        <w:r w:rsidR="00FD1194">
          <w:rPr>
            <w:noProof/>
            <w:webHidden/>
          </w:rPr>
          <w:instrText xml:space="preserve"> PAGEREF _Toc333567255 \h </w:instrText>
        </w:r>
        <w:r w:rsidR="00FD1194">
          <w:rPr>
            <w:noProof/>
            <w:webHidden/>
          </w:rPr>
        </w:r>
        <w:r w:rsidR="00FD1194">
          <w:rPr>
            <w:noProof/>
            <w:webHidden/>
          </w:rPr>
          <w:fldChar w:fldCharType="separate"/>
        </w:r>
        <w:r w:rsidR="00FD1194">
          <w:rPr>
            <w:noProof/>
            <w:webHidden/>
          </w:rPr>
          <w:t>4</w:t>
        </w:r>
        <w:r w:rsidR="00FD1194">
          <w:rPr>
            <w:noProof/>
            <w:webHidden/>
          </w:rPr>
          <w:fldChar w:fldCharType="end"/>
        </w:r>
      </w:hyperlink>
    </w:p>
    <w:p w:rsidR="00FD1194" w:rsidRDefault="000340DF">
      <w:pPr>
        <w:pStyle w:val="TOC1"/>
        <w:tabs>
          <w:tab w:val="left" w:pos="1320"/>
        </w:tabs>
        <w:rPr>
          <w:rFonts w:asciiTheme="minorHAnsi" w:eastAsiaTheme="minorEastAsia" w:hAnsiTheme="minorHAnsi" w:cstheme="minorBidi"/>
          <w:iCs w:val="0"/>
          <w:noProof/>
          <w:sz w:val="22"/>
          <w:szCs w:val="22"/>
        </w:rPr>
      </w:pPr>
      <w:hyperlink w:anchor="_Toc333567256" w:history="1">
        <w:r w:rsidR="00FD1194" w:rsidRPr="007F119F">
          <w:rPr>
            <w:rStyle w:val="Hyperlink"/>
            <w:noProof/>
          </w:rPr>
          <w:t>4.</w:t>
        </w:r>
        <w:r w:rsidR="00FD1194">
          <w:rPr>
            <w:rFonts w:asciiTheme="minorHAnsi" w:eastAsiaTheme="minorEastAsia" w:hAnsiTheme="minorHAnsi" w:cstheme="minorBidi"/>
            <w:iCs w:val="0"/>
            <w:noProof/>
            <w:sz w:val="22"/>
            <w:szCs w:val="22"/>
          </w:rPr>
          <w:tab/>
        </w:r>
        <w:r w:rsidR="00FD1194" w:rsidRPr="007F119F">
          <w:rPr>
            <w:rStyle w:val="Hyperlink"/>
            <w:noProof/>
          </w:rPr>
          <w:t>G-1 and N-1 Analysis</w:t>
        </w:r>
        <w:r w:rsidR="00FD1194">
          <w:rPr>
            <w:noProof/>
            <w:webHidden/>
          </w:rPr>
          <w:tab/>
        </w:r>
        <w:r w:rsidR="00FD1194">
          <w:rPr>
            <w:noProof/>
            <w:webHidden/>
          </w:rPr>
          <w:fldChar w:fldCharType="begin"/>
        </w:r>
        <w:r w:rsidR="00FD1194">
          <w:rPr>
            <w:noProof/>
            <w:webHidden/>
          </w:rPr>
          <w:instrText xml:space="preserve"> PAGEREF _Toc333567256 \h </w:instrText>
        </w:r>
        <w:r w:rsidR="00FD1194">
          <w:rPr>
            <w:noProof/>
            <w:webHidden/>
          </w:rPr>
        </w:r>
        <w:r w:rsidR="00FD1194">
          <w:rPr>
            <w:noProof/>
            <w:webHidden/>
          </w:rPr>
          <w:fldChar w:fldCharType="separate"/>
        </w:r>
        <w:r w:rsidR="00FD1194">
          <w:rPr>
            <w:noProof/>
            <w:webHidden/>
          </w:rPr>
          <w:t>10</w:t>
        </w:r>
        <w:r w:rsidR="00FD1194">
          <w:rPr>
            <w:noProof/>
            <w:webHidden/>
          </w:rPr>
          <w:fldChar w:fldCharType="end"/>
        </w:r>
      </w:hyperlink>
    </w:p>
    <w:p w:rsidR="00FD1194" w:rsidRDefault="000340DF">
      <w:pPr>
        <w:pStyle w:val="TOC1"/>
        <w:tabs>
          <w:tab w:val="left" w:pos="1320"/>
        </w:tabs>
        <w:rPr>
          <w:rFonts w:asciiTheme="minorHAnsi" w:eastAsiaTheme="minorEastAsia" w:hAnsiTheme="minorHAnsi" w:cstheme="minorBidi"/>
          <w:iCs w:val="0"/>
          <w:noProof/>
          <w:sz w:val="22"/>
          <w:szCs w:val="22"/>
        </w:rPr>
      </w:pPr>
      <w:hyperlink w:anchor="_Toc333567258" w:history="1">
        <w:r w:rsidR="00FD1194" w:rsidRPr="007F119F">
          <w:rPr>
            <w:rStyle w:val="Hyperlink"/>
            <w:noProof/>
          </w:rPr>
          <w:t>5.</w:t>
        </w:r>
        <w:r w:rsidR="00FD1194">
          <w:rPr>
            <w:rFonts w:asciiTheme="minorHAnsi" w:eastAsiaTheme="minorEastAsia" w:hAnsiTheme="minorHAnsi" w:cstheme="minorBidi"/>
            <w:iCs w:val="0"/>
            <w:noProof/>
            <w:sz w:val="22"/>
            <w:szCs w:val="22"/>
          </w:rPr>
          <w:tab/>
        </w:r>
        <w:r w:rsidR="00FD1194" w:rsidRPr="007F119F">
          <w:rPr>
            <w:rStyle w:val="Hyperlink"/>
            <w:noProof/>
          </w:rPr>
          <w:t>Load Growth Scenario</w:t>
        </w:r>
        <w:r w:rsidR="00FD1194">
          <w:rPr>
            <w:noProof/>
            <w:webHidden/>
          </w:rPr>
          <w:tab/>
        </w:r>
        <w:r w:rsidR="00FD1194">
          <w:rPr>
            <w:noProof/>
            <w:webHidden/>
          </w:rPr>
          <w:fldChar w:fldCharType="begin"/>
        </w:r>
        <w:r w:rsidR="00FD1194">
          <w:rPr>
            <w:noProof/>
            <w:webHidden/>
          </w:rPr>
          <w:instrText xml:space="preserve"> PAGEREF _Toc333567258 \h </w:instrText>
        </w:r>
        <w:r w:rsidR="00FD1194">
          <w:rPr>
            <w:noProof/>
            <w:webHidden/>
          </w:rPr>
        </w:r>
        <w:r w:rsidR="00FD1194">
          <w:rPr>
            <w:noProof/>
            <w:webHidden/>
          </w:rPr>
          <w:fldChar w:fldCharType="separate"/>
        </w:r>
        <w:r w:rsidR="00FD1194">
          <w:rPr>
            <w:noProof/>
            <w:webHidden/>
          </w:rPr>
          <w:t>11</w:t>
        </w:r>
        <w:r w:rsidR="00FD1194">
          <w:rPr>
            <w:noProof/>
            <w:webHidden/>
          </w:rPr>
          <w:fldChar w:fldCharType="end"/>
        </w:r>
      </w:hyperlink>
    </w:p>
    <w:p w:rsidR="00FD1194" w:rsidRDefault="000340DF">
      <w:pPr>
        <w:pStyle w:val="TOC1"/>
        <w:tabs>
          <w:tab w:val="left" w:pos="1320"/>
        </w:tabs>
        <w:rPr>
          <w:rFonts w:asciiTheme="minorHAnsi" w:eastAsiaTheme="minorEastAsia" w:hAnsiTheme="minorHAnsi" w:cstheme="minorBidi"/>
          <w:iCs w:val="0"/>
          <w:noProof/>
          <w:sz w:val="22"/>
          <w:szCs w:val="22"/>
        </w:rPr>
      </w:pPr>
      <w:hyperlink w:anchor="_Toc333567260" w:history="1">
        <w:r w:rsidR="00FD1194" w:rsidRPr="007F119F">
          <w:rPr>
            <w:rStyle w:val="Hyperlink"/>
            <w:noProof/>
          </w:rPr>
          <w:t>6.</w:t>
        </w:r>
        <w:r w:rsidR="00FD1194">
          <w:rPr>
            <w:rFonts w:asciiTheme="minorHAnsi" w:eastAsiaTheme="minorEastAsia" w:hAnsiTheme="minorHAnsi" w:cstheme="minorBidi"/>
            <w:iCs w:val="0"/>
            <w:noProof/>
            <w:sz w:val="22"/>
            <w:szCs w:val="22"/>
          </w:rPr>
          <w:tab/>
        </w:r>
        <w:r w:rsidR="00FD1194" w:rsidRPr="007F119F">
          <w:rPr>
            <w:rStyle w:val="Hyperlink"/>
            <w:noProof/>
          </w:rPr>
          <w:t>Conclusion</w:t>
        </w:r>
        <w:r w:rsidR="00FD1194">
          <w:rPr>
            <w:noProof/>
            <w:webHidden/>
          </w:rPr>
          <w:tab/>
        </w:r>
        <w:r w:rsidR="00FD1194">
          <w:rPr>
            <w:noProof/>
            <w:webHidden/>
          </w:rPr>
          <w:fldChar w:fldCharType="begin"/>
        </w:r>
        <w:r w:rsidR="00FD1194">
          <w:rPr>
            <w:noProof/>
            <w:webHidden/>
          </w:rPr>
          <w:instrText xml:space="preserve"> PAGEREF _Toc333567260 \h </w:instrText>
        </w:r>
        <w:r w:rsidR="00FD1194">
          <w:rPr>
            <w:noProof/>
            <w:webHidden/>
          </w:rPr>
        </w:r>
        <w:r w:rsidR="00FD1194">
          <w:rPr>
            <w:noProof/>
            <w:webHidden/>
          </w:rPr>
          <w:fldChar w:fldCharType="separate"/>
        </w:r>
        <w:r w:rsidR="00FD1194">
          <w:rPr>
            <w:noProof/>
            <w:webHidden/>
          </w:rPr>
          <w:t>11</w:t>
        </w:r>
        <w:r w:rsidR="00FD1194">
          <w:rPr>
            <w:noProof/>
            <w:webHidden/>
          </w:rPr>
          <w:fldChar w:fldCharType="end"/>
        </w:r>
      </w:hyperlink>
    </w:p>
    <w:p w:rsidR="00FD1194" w:rsidRDefault="000340DF">
      <w:pPr>
        <w:pStyle w:val="TOC1"/>
        <w:tabs>
          <w:tab w:val="left" w:pos="1320"/>
        </w:tabs>
        <w:rPr>
          <w:rFonts w:asciiTheme="minorHAnsi" w:eastAsiaTheme="minorEastAsia" w:hAnsiTheme="minorHAnsi" w:cstheme="minorBidi"/>
          <w:iCs w:val="0"/>
          <w:noProof/>
          <w:sz w:val="22"/>
          <w:szCs w:val="22"/>
        </w:rPr>
      </w:pPr>
      <w:hyperlink w:anchor="_Toc333567262" w:history="1">
        <w:r w:rsidR="00FD1194" w:rsidRPr="007F119F">
          <w:rPr>
            <w:rStyle w:val="Hyperlink"/>
            <w:noProof/>
          </w:rPr>
          <w:t>7.</w:t>
        </w:r>
        <w:r w:rsidR="00FD1194">
          <w:rPr>
            <w:rFonts w:asciiTheme="minorHAnsi" w:eastAsiaTheme="minorEastAsia" w:hAnsiTheme="minorHAnsi" w:cstheme="minorBidi"/>
            <w:iCs w:val="0"/>
            <w:noProof/>
            <w:sz w:val="22"/>
            <w:szCs w:val="22"/>
          </w:rPr>
          <w:tab/>
        </w:r>
        <w:r w:rsidR="00FD1194" w:rsidRPr="007F119F">
          <w:rPr>
            <w:rStyle w:val="Hyperlink"/>
            <w:noProof/>
          </w:rPr>
          <w:t>Designated Providers of Transmission Facilities</w:t>
        </w:r>
        <w:r w:rsidR="00FD1194">
          <w:rPr>
            <w:noProof/>
            <w:webHidden/>
          </w:rPr>
          <w:tab/>
        </w:r>
        <w:r w:rsidR="00FD1194">
          <w:rPr>
            <w:noProof/>
            <w:webHidden/>
          </w:rPr>
          <w:fldChar w:fldCharType="begin"/>
        </w:r>
        <w:r w:rsidR="00FD1194">
          <w:rPr>
            <w:noProof/>
            <w:webHidden/>
          </w:rPr>
          <w:instrText xml:space="preserve"> PAGEREF _Toc333567262 \h </w:instrText>
        </w:r>
        <w:r w:rsidR="00FD1194">
          <w:rPr>
            <w:noProof/>
            <w:webHidden/>
          </w:rPr>
        </w:r>
        <w:r w:rsidR="00FD1194">
          <w:rPr>
            <w:noProof/>
            <w:webHidden/>
          </w:rPr>
          <w:fldChar w:fldCharType="separate"/>
        </w:r>
        <w:r w:rsidR="00FD1194">
          <w:rPr>
            <w:noProof/>
            <w:webHidden/>
          </w:rPr>
          <w:t>11</w:t>
        </w:r>
        <w:r w:rsidR="00FD1194">
          <w:rPr>
            <w:noProof/>
            <w:webHidden/>
          </w:rPr>
          <w:fldChar w:fldCharType="end"/>
        </w:r>
      </w:hyperlink>
    </w:p>
    <w:p w:rsidR="00FD1194" w:rsidRDefault="000340DF">
      <w:pPr>
        <w:pStyle w:val="TOC1"/>
        <w:tabs>
          <w:tab w:val="left" w:pos="1320"/>
        </w:tabs>
        <w:rPr>
          <w:rFonts w:asciiTheme="minorHAnsi" w:eastAsiaTheme="minorEastAsia" w:hAnsiTheme="minorHAnsi" w:cstheme="minorBidi"/>
          <w:iCs w:val="0"/>
          <w:noProof/>
          <w:sz w:val="22"/>
          <w:szCs w:val="22"/>
        </w:rPr>
      </w:pPr>
      <w:hyperlink w:anchor="_Toc333567263" w:history="1">
        <w:r w:rsidR="00FD1194" w:rsidRPr="007F119F">
          <w:rPr>
            <w:rStyle w:val="Hyperlink"/>
            <w:noProof/>
          </w:rPr>
          <w:t>8.</w:t>
        </w:r>
        <w:r w:rsidR="00FD1194">
          <w:rPr>
            <w:rFonts w:asciiTheme="minorHAnsi" w:eastAsiaTheme="minorEastAsia" w:hAnsiTheme="minorHAnsi" w:cstheme="minorBidi"/>
            <w:iCs w:val="0"/>
            <w:noProof/>
            <w:sz w:val="22"/>
            <w:szCs w:val="22"/>
          </w:rPr>
          <w:tab/>
        </w:r>
        <w:r w:rsidR="00FD1194" w:rsidRPr="007F119F">
          <w:rPr>
            <w:rStyle w:val="Hyperlink"/>
            <w:noProof/>
          </w:rPr>
          <w:t>Appendices</w:t>
        </w:r>
        <w:r w:rsidR="00FD1194">
          <w:rPr>
            <w:noProof/>
            <w:webHidden/>
          </w:rPr>
          <w:tab/>
        </w:r>
        <w:r w:rsidR="00FD1194">
          <w:rPr>
            <w:noProof/>
            <w:webHidden/>
          </w:rPr>
          <w:fldChar w:fldCharType="begin"/>
        </w:r>
        <w:r w:rsidR="00FD1194">
          <w:rPr>
            <w:noProof/>
            <w:webHidden/>
          </w:rPr>
          <w:instrText xml:space="preserve"> PAGEREF _Toc333567263 \h </w:instrText>
        </w:r>
        <w:r w:rsidR="00FD1194">
          <w:rPr>
            <w:noProof/>
            <w:webHidden/>
          </w:rPr>
        </w:r>
        <w:r w:rsidR="00FD1194">
          <w:rPr>
            <w:noProof/>
            <w:webHidden/>
          </w:rPr>
          <w:fldChar w:fldCharType="separate"/>
        </w:r>
        <w:r w:rsidR="00FD1194">
          <w:rPr>
            <w:noProof/>
            <w:webHidden/>
          </w:rPr>
          <w:t>12</w:t>
        </w:r>
        <w:r w:rsidR="00FD1194">
          <w:rPr>
            <w:noProof/>
            <w:webHidden/>
          </w:rPr>
          <w:fldChar w:fldCharType="end"/>
        </w:r>
      </w:hyperlink>
    </w:p>
    <w:p w:rsidR="001F7C8D" w:rsidRPr="005C090B" w:rsidRDefault="00990D5C" w:rsidP="00E7281E">
      <w:pPr>
        <w:sectPr w:rsidR="001F7C8D" w:rsidRPr="005C090B" w:rsidSect="00164EF3">
          <w:headerReference w:type="even" r:id="rId14"/>
          <w:footerReference w:type="default" r:id="rId15"/>
          <w:headerReference w:type="first" r:id="rId16"/>
          <w:pgSz w:w="12240" w:h="15840"/>
          <w:pgMar w:top="1440" w:right="1440" w:bottom="1440" w:left="1440" w:header="720" w:footer="720" w:gutter="0"/>
          <w:pgNumType w:fmt="lowerRoman" w:start="1"/>
          <w:cols w:space="720"/>
          <w:docGrid w:linePitch="360"/>
        </w:sectPr>
      </w:pPr>
      <w:r w:rsidRPr="005C090B">
        <w:fldChar w:fldCharType="end"/>
      </w:r>
    </w:p>
    <w:p w:rsidR="00B471D5" w:rsidRPr="00F8176D" w:rsidRDefault="00B471D5" w:rsidP="00B471D5">
      <w:pPr>
        <w:pStyle w:val="Heading1"/>
      </w:pPr>
      <w:bookmarkStart w:id="2" w:name="_Toc85343426"/>
      <w:bookmarkStart w:id="3" w:name="_Toc85343436"/>
      <w:bookmarkStart w:id="4" w:name="_Toc85343437"/>
      <w:bookmarkStart w:id="5" w:name="_Toc85343438"/>
      <w:bookmarkStart w:id="6" w:name="_Toc85343439"/>
      <w:bookmarkStart w:id="7" w:name="_Toc85343440"/>
      <w:bookmarkStart w:id="8" w:name="_Toc85343441"/>
      <w:bookmarkStart w:id="9" w:name="_Toc85343442"/>
      <w:bookmarkStart w:id="10" w:name="_Toc85343444"/>
      <w:bookmarkStart w:id="11" w:name="_Toc85343445"/>
      <w:bookmarkStart w:id="12" w:name="_Toc85343448"/>
      <w:bookmarkStart w:id="13" w:name="_Toc85343449"/>
      <w:bookmarkStart w:id="14" w:name="_Toc85343454"/>
      <w:bookmarkStart w:id="15" w:name="_Toc85343459"/>
      <w:bookmarkStart w:id="16" w:name="_Toc85343460"/>
      <w:bookmarkStart w:id="17" w:name="_Toc85343461"/>
      <w:bookmarkStart w:id="18" w:name="_Toc85343463"/>
      <w:bookmarkStart w:id="19" w:name="_Toc85343464"/>
      <w:bookmarkStart w:id="20" w:name="_Toc85343465"/>
      <w:bookmarkStart w:id="21" w:name="_Toc85343466"/>
      <w:bookmarkStart w:id="22" w:name="_Toc85343467"/>
      <w:bookmarkStart w:id="23" w:name="_Toc85343468"/>
      <w:bookmarkStart w:id="24" w:name="_Toc85343469"/>
      <w:bookmarkStart w:id="25" w:name="_Toc85343471"/>
      <w:bookmarkStart w:id="26" w:name="_Toc85343474"/>
      <w:bookmarkStart w:id="27" w:name="_Toc85343479"/>
      <w:bookmarkStart w:id="28" w:name="_Toc85343483"/>
      <w:bookmarkStart w:id="29" w:name="_Toc85343485"/>
      <w:bookmarkStart w:id="30" w:name="_Toc85343487"/>
      <w:bookmarkStart w:id="31" w:name="_Toc85343488"/>
      <w:bookmarkStart w:id="32" w:name="_Toc85343493"/>
      <w:bookmarkStart w:id="33" w:name="_Toc85343494"/>
      <w:bookmarkStart w:id="34" w:name="_Toc85343512"/>
      <w:bookmarkStart w:id="35" w:name="_Toc85343519"/>
      <w:bookmarkStart w:id="36" w:name="_Toc85343522"/>
      <w:bookmarkStart w:id="37" w:name="_Toc85343525"/>
      <w:bookmarkStart w:id="38" w:name="_Toc85343526"/>
      <w:bookmarkStart w:id="39" w:name="_Toc85343527"/>
      <w:bookmarkStart w:id="40" w:name="_Toc85343528"/>
      <w:bookmarkStart w:id="41" w:name="_Toc85343536"/>
      <w:bookmarkStart w:id="42" w:name="_Toc85343538"/>
      <w:bookmarkStart w:id="43" w:name="_Toc85343539"/>
      <w:bookmarkStart w:id="44" w:name="_Toc85343540"/>
      <w:bookmarkStart w:id="45" w:name="_Toc85343542"/>
      <w:bookmarkStart w:id="46" w:name="_Toc85343543"/>
      <w:bookmarkStart w:id="47" w:name="_Toc85343544"/>
      <w:bookmarkStart w:id="48" w:name="_Toc85343554"/>
      <w:bookmarkStart w:id="49" w:name="_Toc85343555"/>
      <w:bookmarkStart w:id="50" w:name="_Toc85343559"/>
      <w:bookmarkStart w:id="51" w:name="_Toc85343560"/>
      <w:bookmarkStart w:id="52" w:name="_Toc85343561"/>
      <w:bookmarkStart w:id="53" w:name="_Toc85343562"/>
      <w:bookmarkStart w:id="54" w:name="_Toc85343564"/>
      <w:bookmarkStart w:id="55" w:name="_Toc85343565"/>
      <w:bookmarkStart w:id="56" w:name="_Toc85343566"/>
      <w:bookmarkStart w:id="57" w:name="_Toc85343567"/>
      <w:bookmarkStart w:id="58" w:name="_Toc85343569"/>
      <w:bookmarkStart w:id="59" w:name="_Toc85343570"/>
      <w:bookmarkStart w:id="60" w:name="_Toc85343571"/>
      <w:bookmarkStart w:id="61" w:name="_Toc85343572"/>
      <w:bookmarkStart w:id="62" w:name="_Toc85343574"/>
      <w:bookmarkStart w:id="63" w:name="_Toc85343575"/>
      <w:bookmarkStart w:id="64" w:name="_Toc85343576"/>
      <w:bookmarkStart w:id="65" w:name="_Toc85343577"/>
      <w:bookmarkStart w:id="66" w:name="_Toc85343593"/>
      <w:bookmarkStart w:id="67" w:name="_Toc85343609"/>
      <w:bookmarkStart w:id="68" w:name="_Toc85343626"/>
      <w:bookmarkStart w:id="69" w:name="_Toc85343643"/>
      <w:bookmarkStart w:id="70" w:name="_Toc85343645"/>
      <w:bookmarkStart w:id="71" w:name="_Toc85343647"/>
      <w:bookmarkStart w:id="72" w:name="_Toc85343652"/>
      <w:bookmarkStart w:id="73" w:name="_Toc85343656"/>
      <w:bookmarkStart w:id="74" w:name="_Toc85343662"/>
      <w:bookmarkStart w:id="75" w:name="_Toc85343664"/>
      <w:bookmarkStart w:id="76" w:name="_Toc85343665"/>
      <w:bookmarkStart w:id="77" w:name="_Toc85343666"/>
      <w:bookmarkStart w:id="78" w:name="_Toc85343669"/>
      <w:bookmarkStart w:id="79" w:name="_Toc85343670"/>
      <w:bookmarkStart w:id="80" w:name="_Toc85343671"/>
      <w:bookmarkStart w:id="81" w:name="_Toc85343673"/>
      <w:bookmarkStart w:id="82" w:name="_Toc85343674"/>
      <w:bookmarkStart w:id="83" w:name="_Toc85343676"/>
      <w:bookmarkStart w:id="84" w:name="_Toc85343677"/>
      <w:bookmarkStart w:id="85" w:name="_Toc85343680"/>
      <w:bookmarkStart w:id="86" w:name="_Toc85343681"/>
      <w:bookmarkStart w:id="87" w:name="_Toc85343682"/>
      <w:bookmarkStart w:id="88" w:name="_Toc85343683"/>
      <w:bookmarkStart w:id="89" w:name="_Toc85343686"/>
      <w:bookmarkStart w:id="90" w:name="_Toc85343691"/>
      <w:bookmarkStart w:id="91" w:name="_Toc85343693"/>
      <w:bookmarkStart w:id="92" w:name="_Toc85343694"/>
      <w:bookmarkStart w:id="93" w:name="_Toc85343696"/>
      <w:bookmarkStart w:id="94" w:name="_Toc85343710"/>
      <w:bookmarkStart w:id="95" w:name="_Toc85343719"/>
      <w:bookmarkStart w:id="96" w:name="_Toc85343763"/>
      <w:bookmarkStart w:id="97" w:name="_Toc85343764"/>
      <w:bookmarkStart w:id="98" w:name="_Toc85343765"/>
      <w:bookmarkStart w:id="99" w:name="_Toc85343812"/>
      <w:bookmarkStart w:id="100" w:name="_Toc85343829"/>
      <w:bookmarkStart w:id="101" w:name="_Toc85343846"/>
      <w:bookmarkStart w:id="102" w:name="_Toc85343863"/>
      <w:bookmarkStart w:id="103" w:name="_Toc85343904"/>
      <w:bookmarkStart w:id="104" w:name="_Toc85343914"/>
      <w:bookmarkStart w:id="105" w:name="_Toc85343930"/>
      <w:bookmarkStart w:id="106" w:name="_Toc85343958"/>
      <w:bookmarkStart w:id="107" w:name="_Toc85343963"/>
      <w:bookmarkStart w:id="108" w:name="_Toc85343968"/>
      <w:bookmarkStart w:id="109" w:name="_Toc85343973"/>
      <w:bookmarkStart w:id="110" w:name="_Toc85343978"/>
      <w:bookmarkStart w:id="111" w:name="_Toc85344012"/>
      <w:bookmarkStart w:id="112" w:name="_Toc85344025"/>
      <w:bookmarkStart w:id="113" w:name="_Toc85344029"/>
      <w:bookmarkStart w:id="114" w:name="_Toc85344040"/>
      <w:bookmarkStart w:id="115" w:name="_Toc85344068"/>
      <w:bookmarkStart w:id="116" w:name="_Toc85344084"/>
      <w:bookmarkStart w:id="117" w:name="_Toc85344089"/>
      <w:bookmarkStart w:id="118" w:name="_Toc85344094"/>
      <w:bookmarkStart w:id="119" w:name="_Toc85344099"/>
      <w:bookmarkStart w:id="120" w:name="_Toc85344104"/>
      <w:bookmarkStart w:id="121" w:name="_Toc85344137"/>
      <w:bookmarkStart w:id="122" w:name="_Toc85344150"/>
      <w:bookmarkStart w:id="123" w:name="_Toc85344154"/>
      <w:bookmarkStart w:id="124" w:name="_Toc85344157"/>
      <w:bookmarkStart w:id="125" w:name="_Toc85344189"/>
      <w:bookmarkStart w:id="126" w:name="_Toc85344202"/>
      <w:bookmarkStart w:id="127" w:name="_Toc85344206"/>
      <w:bookmarkStart w:id="128" w:name="_Toc85344210"/>
      <w:bookmarkStart w:id="129" w:name="_Toc85344214"/>
      <w:bookmarkStart w:id="130" w:name="_Toc85344218"/>
      <w:bookmarkStart w:id="131" w:name="_Toc85344223"/>
      <w:bookmarkStart w:id="132" w:name="_Toc85344224"/>
      <w:bookmarkStart w:id="133" w:name="_Toc85344226"/>
      <w:bookmarkStart w:id="134" w:name="_Toc85344234"/>
      <w:bookmarkStart w:id="135" w:name="_Toc85344264"/>
      <w:bookmarkStart w:id="136" w:name="_Toc85344270"/>
      <w:bookmarkStart w:id="137" w:name="_Toc85344280"/>
      <w:bookmarkStart w:id="138" w:name="_Toc85344290"/>
      <w:bookmarkStart w:id="139" w:name="_Toc85344306"/>
      <w:bookmarkStart w:id="140" w:name="_Toc85344307"/>
      <w:bookmarkStart w:id="141" w:name="_Toc85344308"/>
      <w:bookmarkStart w:id="142" w:name="_Toc85344309"/>
      <w:bookmarkStart w:id="143" w:name="_Toc85344310"/>
      <w:bookmarkStart w:id="144" w:name="_Toc85344311"/>
      <w:bookmarkStart w:id="145" w:name="_Toc85344312"/>
      <w:bookmarkStart w:id="146" w:name="_Toc85344313"/>
      <w:bookmarkStart w:id="147" w:name="_Toc85344315"/>
      <w:bookmarkStart w:id="148" w:name="_Toc85344316"/>
      <w:bookmarkStart w:id="149" w:name="_Toc85344324"/>
      <w:bookmarkStart w:id="150" w:name="_Toc85344329"/>
      <w:bookmarkStart w:id="151" w:name="_Toc85344330"/>
      <w:bookmarkStart w:id="152" w:name="_Toc85344331"/>
      <w:bookmarkStart w:id="153" w:name="_Toc85344342"/>
      <w:bookmarkStart w:id="154" w:name="_Toc85344350"/>
      <w:bookmarkStart w:id="155" w:name="_Toc85344376"/>
      <w:bookmarkStart w:id="156" w:name="_Toc85344382"/>
      <w:bookmarkStart w:id="157" w:name="_Toc85344386"/>
      <w:bookmarkStart w:id="158" w:name="_Toc85344387"/>
      <w:bookmarkStart w:id="159" w:name="_Toc85344388"/>
      <w:bookmarkStart w:id="160" w:name="_Toc85344389"/>
      <w:bookmarkStart w:id="161" w:name="_Toc85344391"/>
      <w:bookmarkStart w:id="162" w:name="_Toc85344406"/>
      <w:bookmarkStart w:id="163" w:name="_Toc85344409"/>
      <w:bookmarkStart w:id="164" w:name="_Toc85344412"/>
      <w:bookmarkStart w:id="165" w:name="_Toc85344413"/>
      <w:bookmarkStart w:id="166" w:name="_Toc85344419"/>
      <w:bookmarkStart w:id="167" w:name="_Toc85344421"/>
      <w:bookmarkStart w:id="168" w:name="_Toc85344447"/>
      <w:bookmarkStart w:id="169" w:name="_Toc85344453"/>
      <w:bookmarkStart w:id="170" w:name="_Toc85344457"/>
      <w:bookmarkStart w:id="171" w:name="_Toc85344459"/>
      <w:bookmarkStart w:id="172" w:name="_Toc85344476"/>
      <w:bookmarkStart w:id="173" w:name="_Toc85344480"/>
      <w:bookmarkStart w:id="174" w:name="_Toc85344487"/>
      <w:bookmarkStart w:id="175" w:name="_Toc85344492"/>
      <w:bookmarkStart w:id="176" w:name="_Toc85344494"/>
      <w:bookmarkStart w:id="177" w:name="_Toc85344495"/>
      <w:bookmarkStart w:id="178" w:name="_Toc85344497"/>
      <w:bookmarkStart w:id="179" w:name="_Toc85344498"/>
      <w:bookmarkStart w:id="180" w:name="_Toc85344501"/>
      <w:bookmarkStart w:id="181" w:name="_Toc85344502"/>
      <w:bookmarkStart w:id="182" w:name="_Toc85344503"/>
      <w:bookmarkStart w:id="183" w:name="_Toc85344504"/>
      <w:bookmarkStart w:id="184" w:name="_Toc85344507"/>
      <w:bookmarkStart w:id="185" w:name="_Toc85344508"/>
      <w:bookmarkStart w:id="186" w:name="_Toc85344509"/>
      <w:bookmarkStart w:id="187" w:name="_Toc85344512"/>
      <w:bookmarkStart w:id="188" w:name="_Toc85344530"/>
      <w:bookmarkStart w:id="189" w:name="_Toc85344543"/>
      <w:bookmarkStart w:id="190" w:name="_Toc85344546"/>
      <w:bookmarkStart w:id="191" w:name="_Toc85344547"/>
      <w:bookmarkStart w:id="192" w:name="_Toc85344548"/>
      <w:bookmarkStart w:id="193" w:name="_Toc85344562"/>
      <w:bookmarkStart w:id="194" w:name="_Toc85344576"/>
      <w:bookmarkStart w:id="195" w:name="_Toc85344577"/>
      <w:bookmarkStart w:id="196" w:name="_Toc85344578"/>
      <w:bookmarkStart w:id="197" w:name="_Toc85344580"/>
      <w:bookmarkStart w:id="198" w:name="_Toc85344581"/>
      <w:bookmarkStart w:id="199" w:name="_Toc85344583"/>
      <w:bookmarkStart w:id="200" w:name="_Toc85344588"/>
      <w:bookmarkStart w:id="201" w:name="_Toc85344592"/>
      <w:bookmarkStart w:id="202" w:name="_Toc85344593"/>
      <w:bookmarkStart w:id="203" w:name="_Toc85344605"/>
      <w:bookmarkStart w:id="204" w:name="_Toc85344606"/>
      <w:bookmarkStart w:id="205" w:name="_Toc85344608"/>
      <w:bookmarkStart w:id="206" w:name="_Toc85344609"/>
      <w:bookmarkStart w:id="207" w:name="_Toc85344610"/>
      <w:bookmarkStart w:id="208" w:name="_Toc85344622"/>
      <w:bookmarkStart w:id="209" w:name="_Toc85344623"/>
      <w:bookmarkStart w:id="210" w:name="_Toc85344624"/>
      <w:bookmarkStart w:id="211" w:name="_Toc85344633"/>
      <w:bookmarkStart w:id="212" w:name="_Toc85344634"/>
      <w:bookmarkStart w:id="213" w:name="_Toc85344647"/>
      <w:bookmarkStart w:id="214" w:name="_Toc85344658"/>
      <w:bookmarkStart w:id="215" w:name="_Toc85344660"/>
      <w:bookmarkStart w:id="216" w:name="_Toc85344661"/>
      <w:bookmarkStart w:id="217" w:name="_Toc85344662"/>
      <w:bookmarkStart w:id="218" w:name="_Toc85344667"/>
      <w:bookmarkStart w:id="219" w:name="_Toc85344668"/>
      <w:bookmarkStart w:id="220" w:name="_Toc85344679"/>
      <w:bookmarkStart w:id="221" w:name="_Toc85344681"/>
      <w:bookmarkStart w:id="222" w:name="_Toc85344682"/>
      <w:bookmarkStart w:id="223" w:name="_Toc85344715"/>
      <w:bookmarkStart w:id="224" w:name="_Toc85344716"/>
      <w:bookmarkStart w:id="225" w:name="_Toc85344735"/>
      <w:bookmarkStart w:id="226" w:name="_Toc85344749"/>
      <w:bookmarkStart w:id="227" w:name="_Toc85344750"/>
      <w:bookmarkStart w:id="228" w:name="_Toc85344769"/>
      <w:bookmarkStart w:id="229" w:name="_Toc85344781"/>
      <w:bookmarkStart w:id="230" w:name="_Toc85344786"/>
      <w:bookmarkStart w:id="231" w:name="_Toc85344788"/>
      <w:bookmarkStart w:id="232" w:name="_Toc85344790"/>
      <w:bookmarkStart w:id="233" w:name="_Toc85344793"/>
      <w:bookmarkStart w:id="234" w:name="_Toc85344811"/>
      <w:bookmarkStart w:id="235" w:name="_Toc85344825"/>
      <w:bookmarkStart w:id="236" w:name="_Toc85344836"/>
      <w:bookmarkStart w:id="237" w:name="_Toc85344865"/>
      <w:bookmarkStart w:id="238" w:name="_Toc85344866"/>
      <w:bookmarkStart w:id="239" w:name="_Toc85344880"/>
      <w:bookmarkStart w:id="240" w:name="_Toc85344884"/>
      <w:bookmarkStart w:id="241" w:name="_Toc85344888"/>
      <w:bookmarkStart w:id="242" w:name="_Toc85344892"/>
      <w:bookmarkStart w:id="243" w:name="_Toc85344900"/>
      <w:bookmarkStart w:id="244" w:name="_Toc85344904"/>
      <w:bookmarkStart w:id="245" w:name="_Toc85344908"/>
      <w:bookmarkStart w:id="246" w:name="_Toc85344916"/>
      <w:bookmarkStart w:id="247" w:name="_Toc85344924"/>
      <w:bookmarkStart w:id="248" w:name="_Toc85344932"/>
      <w:bookmarkStart w:id="249" w:name="_Toc333567253"/>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r>
        <w:lastRenderedPageBreak/>
        <w:t>Introduction</w:t>
      </w:r>
      <w:bookmarkEnd w:id="249"/>
    </w:p>
    <w:p w:rsidR="003816B8" w:rsidRPr="0095736D" w:rsidRDefault="004C3243" w:rsidP="00E7281E">
      <w:r w:rsidRPr="0095736D">
        <w:t>Eagle Ford Shale oil and natural gas exploration</w:t>
      </w:r>
      <w:r w:rsidR="00EA3CB7" w:rsidRPr="0095736D">
        <w:t>,</w:t>
      </w:r>
      <w:r w:rsidRPr="0095736D">
        <w:t xml:space="preserve"> located in multiple counties in South Texas, </w:t>
      </w:r>
      <w:r w:rsidR="004D3FE5" w:rsidRPr="0095736D">
        <w:t xml:space="preserve">stretches from </w:t>
      </w:r>
      <w:r w:rsidR="00604EAA" w:rsidRPr="0095736D">
        <w:t xml:space="preserve">the </w:t>
      </w:r>
      <w:r w:rsidR="004D3FE5" w:rsidRPr="0095736D">
        <w:t>Laredo area</w:t>
      </w:r>
      <w:r w:rsidRPr="0095736D">
        <w:t xml:space="preserve">, bounded by Maverick and Webb </w:t>
      </w:r>
      <w:r w:rsidR="00EA3CB7" w:rsidRPr="0095736D">
        <w:t>C</w:t>
      </w:r>
      <w:r w:rsidRPr="0095736D">
        <w:t xml:space="preserve">ounties, northeast to Gonzalez and DeWitt counties, and beyond. </w:t>
      </w:r>
      <w:r w:rsidR="004D3FE5" w:rsidRPr="0095736D">
        <w:t>Electric load rel</w:t>
      </w:r>
      <w:r w:rsidR="00703C0A" w:rsidRPr="0095736D">
        <w:t>ated to oil and gas exploration</w:t>
      </w:r>
      <w:r w:rsidR="004D3FE5" w:rsidRPr="0095736D">
        <w:t xml:space="preserve"> is developing in and around </w:t>
      </w:r>
      <w:r w:rsidR="004A004D" w:rsidRPr="0095736D">
        <w:t>this area</w:t>
      </w:r>
      <w:r w:rsidR="004D3FE5" w:rsidRPr="0095736D">
        <w:t xml:space="preserve">. </w:t>
      </w:r>
      <w:r w:rsidR="004A004D" w:rsidRPr="0095736D">
        <w:t>South Texas Electric Coo</w:t>
      </w:r>
      <w:r w:rsidR="00FB7AEB" w:rsidRPr="0095736D">
        <w:t>p</w:t>
      </w:r>
      <w:r w:rsidR="004A004D" w:rsidRPr="0095736D">
        <w:t>erative (STEC) projects</w:t>
      </w:r>
      <w:r w:rsidR="004D3FE5" w:rsidRPr="0095736D">
        <w:t xml:space="preserve"> a </w:t>
      </w:r>
      <w:r w:rsidR="003816B8" w:rsidRPr="0095736D">
        <w:t xml:space="preserve">load </w:t>
      </w:r>
      <w:r w:rsidR="004A004D" w:rsidRPr="0095736D">
        <w:t xml:space="preserve">increase in the </w:t>
      </w:r>
      <w:r w:rsidR="0053534F" w:rsidRPr="0095736D">
        <w:t>Dimmit, L</w:t>
      </w:r>
      <w:r w:rsidR="009A3F6C">
        <w:t>a</w:t>
      </w:r>
      <w:r w:rsidR="0053534F" w:rsidRPr="0095736D">
        <w:t xml:space="preserve"> Salle</w:t>
      </w:r>
      <w:r w:rsidR="00317CB1" w:rsidRPr="0095736D">
        <w:t xml:space="preserve"> and </w:t>
      </w:r>
      <w:proofErr w:type="gramStart"/>
      <w:r w:rsidR="0053534F" w:rsidRPr="0095736D">
        <w:t>McMullen</w:t>
      </w:r>
      <w:r w:rsidR="00317CB1" w:rsidRPr="0095736D">
        <w:t xml:space="preserve"> Counties</w:t>
      </w:r>
      <w:proofErr w:type="gramEnd"/>
      <w:r w:rsidR="00317CB1" w:rsidRPr="0095736D">
        <w:t xml:space="preserve"> </w:t>
      </w:r>
      <w:r w:rsidR="004A004D" w:rsidRPr="0095736D">
        <w:t xml:space="preserve">area </w:t>
      </w:r>
      <w:r w:rsidR="003816B8" w:rsidRPr="0095736D">
        <w:t xml:space="preserve">of </w:t>
      </w:r>
      <w:r w:rsidR="004A004D" w:rsidRPr="0095736D">
        <w:t xml:space="preserve">approximately </w:t>
      </w:r>
      <w:r w:rsidR="00E24A92" w:rsidRPr="0095736D">
        <w:t>247 MW</w:t>
      </w:r>
      <w:r w:rsidR="004A004D" w:rsidRPr="0095736D">
        <w:t xml:space="preserve"> </w:t>
      </w:r>
      <w:r w:rsidR="003816B8" w:rsidRPr="0095736D">
        <w:t xml:space="preserve">which will be served through </w:t>
      </w:r>
      <w:r w:rsidR="004A004D" w:rsidRPr="0095736D">
        <w:t xml:space="preserve">the </w:t>
      </w:r>
      <w:r w:rsidR="003816B8" w:rsidRPr="0095736D">
        <w:t xml:space="preserve">ERCOT </w:t>
      </w:r>
      <w:r w:rsidR="00EA3CB7" w:rsidRPr="0095736D">
        <w:t>R</w:t>
      </w:r>
      <w:r w:rsidR="004A004D" w:rsidRPr="0095736D">
        <w:t xml:space="preserve">egion </w:t>
      </w:r>
      <w:r w:rsidR="0053534F" w:rsidRPr="0095736D">
        <w:t>transmission system by the year 2017</w:t>
      </w:r>
      <w:r w:rsidR="003816B8" w:rsidRPr="0095736D">
        <w:t>.</w:t>
      </w:r>
    </w:p>
    <w:p w:rsidR="004A004D" w:rsidRPr="0095736D" w:rsidRDefault="0053534F" w:rsidP="00E7281E">
      <w:r w:rsidRPr="0095736D">
        <w:t xml:space="preserve">Either there is no transmission </w:t>
      </w:r>
      <w:r w:rsidR="00DB49D9" w:rsidRPr="0095736D">
        <w:t xml:space="preserve">in the area </w:t>
      </w:r>
      <w:r w:rsidRPr="0095736D">
        <w:t>to serve the growing load or t</w:t>
      </w:r>
      <w:r w:rsidR="003816B8" w:rsidRPr="0095736D">
        <w:t xml:space="preserve">he existing </w:t>
      </w:r>
      <w:r w:rsidR="00317CB1" w:rsidRPr="0095736D">
        <w:t xml:space="preserve">69 kV </w:t>
      </w:r>
      <w:r w:rsidR="003816B8" w:rsidRPr="0095736D">
        <w:t xml:space="preserve">transmission system in </w:t>
      </w:r>
      <w:r w:rsidR="004A004D" w:rsidRPr="0095736D">
        <w:t>the area</w:t>
      </w:r>
      <w:r w:rsidR="003816B8" w:rsidRPr="0095736D">
        <w:t xml:space="preserve"> is composed of 4/0 ACSR conductor</w:t>
      </w:r>
      <w:r w:rsidR="00C068D1" w:rsidRPr="0095736D">
        <w:t xml:space="preserve"> having a rating (circuit R</w:t>
      </w:r>
      <w:r w:rsidR="00963622" w:rsidRPr="0095736D">
        <w:t>ate</w:t>
      </w:r>
      <w:r w:rsidRPr="0095736D">
        <w:t xml:space="preserve"> B) of 40</w:t>
      </w:r>
      <w:r w:rsidR="00C068D1" w:rsidRPr="0095736D">
        <w:t xml:space="preserve"> MVA. </w:t>
      </w:r>
      <w:r w:rsidR="00D815DB" w:rsidRPr="0095736D">
        <w:t>Most of t</w:t>
      </w:r>
      <w:r w:rsidR="00C068D1" w:rsidRPr="0095736D">
        <w:t xml:space="preserve">he </w:t>
      </w:r>
      <w:r w:rsidR="00D815DB" w:rsidRPr="0095736D">
        <w:t xml:space="preserve">system </w:t>
      </w:r>
      <w:r w:rsidR="00317CB1" w:rsidRPr="0095736D">
        <w:t xml:space="preserve">has </w:t>
      </w:r>
      <w:r w:rsidR="00D815DB" w:rsidRPr="0095736D">
        <w:t xml:space="preserve">almost reached </w:t>
      </w:r>
      <w:r w:rsidR="00317CB1" w:rsidRPr="0095736D">
        <w:t xml:space="preserve">its </w:t>
      </w:r>
      <w:r w:rsidR="00D815DB" w:rsidRPr="0095736D">
        <w:t xml:space="preserve">capacity limit and thus </w:t>
      </w:r>
      <w:r w:rsidR="00C068D1" w:rsidRPr="0095736D">
        <w:t xml:space="preserve">cannot support </w:t>
      </w:r>
      <w:r w:rsidR="004C3243" w:rsidRPr="0095736D">
        <w:t xml:space="preserve">the proposed </w:t>
      </w:r>
      <w:r w:rsidR="00C068D1" w:rsidRPr="0095736D">
        <w:t>load addition</w:t>
      </w:r>
      <w:r w:rsidR="004A004D" w:rsidRPr="0095736D">
        <w:t>s</w:t>
      </w:r>
      <w:r w:rsidR="00C068D1" w:rsidRPr="0095736D">
        <w:t xml:space="preserve"> without </w:t>
      </w:r>
      <w:r w:rsidR="004A004D" w:rsidRPr="0095736D">
        <w:t xml:space="preserve">transmission </w:t>
      </w:r>
      <w:r w:rsidR="00317CB1" w:rsidRPr="0095736D">
        <w:t>system improvements</w:t>
      </w:r>
      <w:r w:rsidR="00C068D1" w:rsidRPr="0095736D">
        <w:t>.</w:t>
      </w:r>
    </w:p>
    <w:p w:rsidR="006A7DB2" w:rsidRPr="0095736D" w:rsidRDefault="0053534F" w:rsidP="00E7281E">
      <w:r w:rsidRPr="0095736D">
        <w:t xml:space="preserve">As a part of </w:t>
      </w:r>
      <w:r w:rsidR="00EA3CB7" w:rsidRPr="0095736D">
        <w:t>its Regional Planning Group (</w:t>
      </w:r>
      <w:r w:rsidR="00D22150" w:rsidRPr="0095736D">
        <w:t>RPG</w:t>
      </w:r>
      <w:r w:rsidR="00EA3CB7" w:rsidRPr="0095736D">
        <w:t>)</w:t>
      </w:r>
      <w:r w:rsidR="00D22150" w:rsidRPr="0095736D">
        <w:t xml:space="preserve"> </w:t>
      </w:r>
      <w:r w:rsidRPr="0095736D">
        <w:t xml:space="preserve">submittal, </w:t>
      </w:r>
      <w:r w:rsidR="00CE3E9B" w:rsidRPr="0095736D">
        <w:t xml:space="preserve">STEC proposed the following transmission improvements </w:t>
      </w:r>
      <w:r w:rsidR="00D22150" w:rsidRPr="0095736D">
        <w:t xml:space="preserve">as their preferred option </w:t>
      </w:r>
      <w:r w:rsidR="00CE3E9B" w:rsidRPr="0095736D">
        <w:t xml:space="preserve">to support the </w:t>
      </w:r>
      <w:r w:rsidR="00D22150" w:rsidRPr="0095736D">
        <w:t>Karnes and Medina Electric Cooperatives Load Addition</w:t>
      </w:r>
      <w:r w:rsidR="00CE3E9B" w:rsidRPr="0095736D">
        <w:t>:</w:t>
      </w:r>
    </w:p>
    <w:p w:rsidR="004947AD" w:rsidRPr="00E7281E" w:rsidRDefault="004947AD" w:rsidP="00E7281E">
      <w:pPr>
        <w:pStyle w:val="NormalwithBullets"/>
      </w:pPr>
      <w:r w:rsidRPr="0095736D">
        <w:t xml:space="preserve">Construct an </w:t>
      </w:r>
      <w:r w:rsidRPr="00FD1194">
        <w:t>approximately 47 mile 138 kV circuit on double circuit capable structures from Tilden to Reveille</w:t>
      </w:r>
      <w:r w:rsidR="0095736D" w:rsidRPr="00A77CF0">
        <w:t>.</w:t>
      </w:r>
    </w:p>
    <w:p w:rsidR="004947AD" w:rsidRPr="00E7281E" w:rsidRDefault="004947AD" w:rsidP="00E7281E">
      <w:pPr>
        <w:pStyle w:val="NormalwithBullets"/>
      </w:pPr>
      <w:r w:rsidRPr="00E7281E">
        <w:t>Construct a 138 kV substation with a 69/138 kV auto transformer at STEC’s 69 kV Cotulla substation. AEP’s line from Cotulla to Jardin will be looped into the new 138 kV station</w:t>
      </w:r>
      <w:r w:rsidR="0095736D" w:rsidRPr="00E7281E">
        <w:t>.</w:t>
      </w:r>
    </w:p>
    <w:p w:rsidR="004947AD" w:rsidRPr="00E7281E" w:rsidRDefault="004947AD" w:rsidP="00E7281E">
      <w:pPr>
        <w:pStyle w:val="NormalwithBullets"/>
      </w:pPr>
      <w:r w:rsidRPr="00E7281E">
        <w:t xml:space="preserve">Construct a 69/138 kV autotransformer station near where STEC’s Carrizo Springs to West Crystal City 69 kV circuit crosses LCRA’s </w:t>
      </w:r>
      <w:proofErr w:type="spellStart"/>
      <w:r w:rsidRPr="00E7281E">
        <w:t>Asherton</w:t>
      </w:r>
      <w:proofErr w:type="spellEnd"/>
      <w:r w:rsidRPr="00E7281E">
        <w:t xml:space="preserve"> to Conoco </w:t>
      </w:r>
      <w:proofErr w:type="spellStart"/>
      <w:r w:rsidR="00B31D41">
        <w:t>Chittam</w:t>
      </w:r>
      <w:proofErr w:type="spellEnd"/>
      <w:r w:rsidR="00B31D41">
        <w:t xml:space="preserve"> Tap</w:t>
      </w:r>
      <w:r w:rsidR="009A3F6C">
        <w:t>138 kV circuit</w:t>
      </w:r>
      <w:r w:rsidRPr="00E7281E">
        <w:t xml:space="preserve">. This station is referred </w:t>
      </w:r>
      <w:r w:rsidR="0095736D" w:rsidRPr="00E7281E">
        <w:t xml:space="preserve">to </w:t>
      </w:r>
      <w:r w:rsidRPr="00E7281E">
        <w:t>as BEVO in this report</w:t>
      </w:r>
      <w:r w:rsidR="0095736D" w:rsidRPr="00E7281E">
        <w:t>.</w:t>
      </w:r>
    </w:p>
    <w:p w:rsidR="004947AD" w:rsidRPr="00E7281E" w:rsidRDefault="004947AD" w:rsidP="00E7281E">
      <w:pPr>
        <w:pStyle w:val="NormalwithBullets"/>
      </w:pPr>
      <w:r w:rsidRPr="00E7281E">
        <w:t>Rebuild the 3.3 mile AEP Turtle Creek to Crystal City 69 kV line. This line</w:t>
      </w:r>
      <w:r w:rsidR="009D6375" w:rsidRPr="00E7281E">
        <w:t xml:space="preserve"> </w:t>
      </w:r>
      <w:r w:rsidRPr="00E7281E">
        <w:t>rebuild is in ERCOT’s 2011 5 year plan so the costs were not included in this regional project submittal</w:t>
      </w:r>
      <w:r w:rsidR="0095736D" w:rsidRPr="00E7281E">
        <w:t>.</w:t>
      </w:r>
    </w:p>
    <w:p w:rsidR="00BB51DA" w:rsidRPr="0095736D" w:rsidRDefault="00BB51DA" w:rsidP="00E7281E">
      <w:pPr>
        <w:pStyle w:val="NormalwithBullets"/>
      </w:pPr>
      <w:r w:rsidRPr="00E7281E">
        <w:t>Add a 14.4 MVAR capacitor</w:t>
      </w:r>
      <w:r w:rsidRPr="0095736D">
        <w:t xml:space="preserve"> at </w:t>
      </w:r>
      <w:r w:rsidR="00092C4B" w:rsidRPr="0095736D">
        <w:t xml:space="preserve">the </w:t>
      </w:r>
      <w:r w:rsidRPr="0095736D">
        <w:t>STEC Carrizo Springs</w:t>
      </w:r>
      <w:r w:rsidR="00092C4B" w:rsidRPr="0095736D">
        <w:t xml:space="preserve"> substation</w:t>
      </w:r>
      <w:r w:rsidR="004171BC">
        <w:t>.</w:t>
      </w:r>
    </w:p>
    <w:p w:rsidR="006A7DB2" w:rsidRPr="0095736D" w:rsidRDefault="00D22150" w:rsidP="00E7281E">
      <w:r w:rsidRPr="0095736D">
        <w:t>The above project</w:t>
      </w:r>
      <w:r w:rsidR="00584A2B" w:rsidRPr="0095736D">
        <w:t xml:space="preserve"> option</w:t>
      </w:r>
      <w:r w:rsidRPr="0095736D">
        <w:t xml:space="preserve"> was submitted as a Tier </w:t>
      </w:r>
      <w:r w:rsidR="00092C4B" w:rsidRPr="0095736D">
        <w:t>2</w:t>
      </w:r>
      <w:r w:rsidRPr="0095736D">
        <w:t xml:space="preserve"> project with an estimated cost of </w:t>
      </w:r>
      <w:r w:rsidR="00EF58F5" w:rsidRPr="0095736D">
        <w:t xml:space="preserve">approximately </w:t>
      </w:r>
      <w:r w:rsidRPr="0095736D">
        <w:t>$ 48.4 million.</w:t>
      </w:r>
    </w:p>
    <w:p w:rsidR="007F0D29" w:rsidRPr="0095736D" w:rsidRDefault="00963622" w:rsidP="00E7281E">
      <w:r w:rsidRPr="0095736D">
        <w:t xml:space="preserve">Figure </w:t>
      </w:r>
      <w:r w:rsidR="00BB51DA" w:rsidRPr="0095736D">
        <w:t xml:space="preserve">I below shows the map of the </w:t>
      </w:r>
      <w:r w:rsidR="009D6375" w:rsidRPr="0095736D">
        <w:t>areas</w:t>
      </w:r>
      <w:r w:rsidR="00D22150" w:rsidRPr="0095736D">
        <w:t xml:space="preserve"> </w:t>
      </w:r>
      <w:r w:rsidR="00BB51DA" w:rsidRPr="0095736D">
        <w:t xml:space="preserve">surrounding Dimmit, La </w:t>
      </w:r>
      <w:r w:rsidR="00333FA6" w:rsidRPr="0095736D">
        <w:t>S</w:t>
      </w:r>
      <w:r w:rsidR="00BB51DA" w:rsidRPr="0095736D">
        <w:t>a</w:t>
      </w:r>
      <w:r w:rsidR="00092C4B" w:rsidRPr="0095736D">
        <w:t>l</w:t>
      </w:r>
      <w:r w:rsidR="00BB51DA" w:rsidRPr="0095736D">
        <w:t>le and McMullen</w:t>
      </w:r>
      <w:r w:rsidR="004B4043" w:rsidRPr="0095736D">
        <w:t xml:space="preserve"> Counties</w:t>
      </w:r>
      <w:r w:rsidR="00EA6045">
        <w:t>.</w:t>
      </w:r>
    </w:p>
    <w:p w:rsidR="00B2112B" w:rsidRDefault="00C95634" w:rsidP="00C95634">
      <w:pPr>
        <w:pStyle w:val="BodyText"/>
        <w:ind w:hanging="900"/>
      </w:pPr>
      <w:r>
        <w:rPr>
          <w:noProof/>
        </w:rPr>
        <w:lastRenderedPageBreak/>
        <w:drawing>
          <wp:anchor distT="0" distB="0" distL="114300" distR="114300" simplePos="0" relativeHeight="251661824" behindDoc="0" locked="0" layoutInCell="1" allowOverlap="1" wp14:anchorId="4495305F" wp14:editId="2A6D7AAA">
            <wp:simplePos x="0" y="0"/>
            <wp:positionH relativeFrom="column">
              <wp:posOffset>568960</wp:posOffset>
            </wp:positionH>
            <wp:positionV relativeFrom="margin">
              <wp:align>top</wp:align>
            </wp:positionV>
            <wp:extent cx="5321808" cy="3767328"/>
            <wp:effectExtent l="0" t="0" r="0" b="508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EA MAP1.jpg"/>
                    <pic:cNvPicPr/>
                  </pic:nvPicPr>
                  <pic:blipFill>
                    <a:blip r:embed="rId17">
                      <a:extLst>
                        <a:ext uri="{28A0092B-C50C-407E-A947-70E740481C1C}">
                          <a14:useLocalDpi xmlns:a14="http://schemas.microsoft.com/office/drawing/2010/main" val="0"/>
                        </a:ext>
                      </a:extLst>
                    </a:blip>
                    <a:stretch>
                      <a:fillRect/>
                    </a:stretch>
                  </pic:blipFill>
                  <pic:spPr>
                    <a:xfrm>
                      <a:off x="0" y="0"/>
                      <a:ext cx="5321808" cy="3767328"/>
                    </a:xfrm>
                    <a:prstGeom prst="rect">
                      <a:avLst/>
                    </a:prstGeom>
                  </pic:spPr>
                </pic:pic>
              </a:graphicData>
            </a:graphic>
            <wp14:sizeRelH relativeFrom="page">
              <wp14:pctWidth>0</wp14:pctWidth>
            </wp14:sizeRelH>
            <wp14:sizeRelV relativeFrom="page">
              <wp14:pctHeight>0</wp14:pctHeight>
            </wp14:sizeRelV>
          </wp:anchor>
        </w:drawing>
      </w:r>
    </w:p>
    <w:p w:rsidR="00B471D5" w:rsidRPr="00E7281E" w:rsidRDefault="00C63208" w:rsidP="00E7281E">
      <w:pPr>
        <w:pStyle w:val="NormalCenter"/>
      </w:pPr>
      <w:r w:rsidRPr="00FD1194">
        <w:t xml:space="preserve">Figure I:  </w:t>
      </w:r>
      <w:r w:rsidR="009D6375" w:rsidRPr="00A77CF0">
        <w:t>Map of the area of concern</w:t>
      </w:r>
    </w:p>
    <w:p w:rsidR="00C63208" w:rsidRDefault="00C63208" w:rsidP="00E7281E"/>
    <w:p w:rsidR="00FB22BE" w:rsidRPr="00E7281E" w:rsidRDefault="00D12A53" w:rsidP="00E7281E">
      <w:r w:rsidRPr="004171BC">
        <w:t>The an</w:t>
      </w:r>
      <w:r w:rsidR="00553624" w:rsidRPr="004171BC">
        <w:t>alysis</w:t>
      </w:r>
      <w:r w:rsidRPr="004171BC">
        <w:t xml:space="preserve"> </w:t>
      </w:r>
      <w:r w:rsidR="001446BF" w:rsidRPr="004171BC">
        <w:t xml:space="preserve">of the </w:t>
      </w:r>
      <w:r w:rsidR="004A004D" w:rsidRPr="004171BC">
        <w:t>system needs</w:t>
      </w:r>
      <w:r w:rsidR="001446BF" w:rsidRPr="004171BC">
        <w:t xml:space="preserve"> </w:t>
      </w:r>
      <w:r w:rsidRPr="004171BC">
        <w:t xml:space="preserve">primarily focused on </w:t>
      </w:r>
      <w:r w:rsidR="00C27252" w:rsidRPr="004171BC">
        <w:t xml:space="preserve">steady-state </w:t>
      </w:r>
      <w:r w:rsidRPr="004171BC">
        <w:t>the</w:t>
      </w:r>
      <w:r w:rsidR="00FB22BE" w:rsidRPr="004171BC">
        <w:t>rmal and voltage</w:t>
      </w:r>
      <w:r w:rsidRPr="004171BC">
        <w:t xml:space="preserve"> </w:t>
      </w:r>
      <w:r w:rsidR="00FB22BE" w:rsidRPr="004171BC">
        <w:t>reliability of</w:t>
      </w:r>
      <w:r w:rsidR="00C27252" w:rsidRPr="004171BC">
        <w:t xml:space="preserve"> the</w:t>
      </w:r>
      <w:r w:rsidR="00FB22BE" w:rsidRPr="004171BC">
        <w:t xml:space="preserve"> ERCOT </w:t>
      </w:r>
      <w:r w:rsidR="00C27252" w:rsidRPr="004171BC">
        <w:t xml:space="preserve">transmission </w:t>
      </w:r>
      <w:r w:rsidR="00AA145E" w:rsidRPr="004171BC">
        <w:t xml:space="preserve">system </w:t>
      </w:r>
      <w:r w:rsidR="00FB22BE" w:rsidRPr="00FD1194">
        <w:t xml:space="preserve">upon interconnecting </w:t>
      </w:r>
      <w:r w:rsidR="00AA145E" w:rsidRPr="00A77CF0">
        <w:t>the</w:t>
      </w:r>
      <w:r w:rsidR="00FB22BE" w:rsidRPr="00E7281E">
        <w:t xml:space="preserve"> </w:t>
      </w:r>
      <w:r w:rsidR="00E07AAE" w:rsidRPr="00E7281E">
        <w:t xml:space="preserve">new </w:t>
      </w:r>
      <w:r w:rsidR="00FB22BE" w:rsidRPr="00E7281E">
        <w:t>load</w:t>
      </w:r>
      <w:r w:rsidR="00AA145E" w:rsidRPr="00E7281E">
        <w:t>.</w:t>
      </w:r>
    </w:p>
    <w:p w:rsidR="001D7EA4" w:rsidRPr="00E7281E" w:rsidRDefault="00E07AAE" w:rsidP="00E7281E">
      <w:r w:rsidRPr="00E7281E">
        <w:t>The 2011</w:t>
      </w:r>
      <w:r w:rsidR="001446BF" w:rsidRPr="00E7281E">
        <w:t xml:space="preserve"> Five-Year Transmission Plan model for the yea</w:t>
      </w:r>
      <w:r w:rsidR="0079077B" w:rsidRPr="00E7281E">
        <w:t>r</w:t>
      </w:r>
      <w:r w:rsidR="006C2CDA" w:rsidRPr="00E7281E">
        <w:t xml:space="preserve"> </w:t>
      </w:r>
      <w:r w:rsidRPr="00E7281E">
        <w:t>2016</w:t>
      </w:r>
      <w:r w:rsidR="006C2CDA" w:rsidRPr="00E7281E">
        <w:t xml:space="preserve"> </w:t>
      </w:r>
      <w:r w:rsidR="001446BF" w:rsidRPr="00E7281E">
        <w:t xml:space="preserve">served as the </w:t>
      </w:r>
      <w:r w:rsidR="00584A2B" w:rsidRPr="00E7281E">
        <w:t xml:space="preserve">start case </w:t>
      </w:r>
      <w:r w:rsidR="00DF4FE5" w:rsidRPr="00E7281E">
        <w:t>for the analysis</w:t>
      </w:r>
      <w:r w:rsidR="0079077B" w:rsidRPr="00E7281E">
        <w:t xml:space="preserve"> since </w:t>
      </w:r>
      <w:r w:rsidR="0034436B" w:rsidRPr="00E7281E">
        <w:t>a</w:t>
      </w:r>
      <w:r w:rsidR="00584A2B" w:rsidRPr="00E7281E">
        <w:t xml:space="preserve"> </w:t>
      </w:r>
      <w:r w:rsidR="0079077B" w:rsidRPr="00E7281E">
        <w:t xml:space="preserve">2017 (n-1 secure) case was </w:t>
      </w:r>
      <w:r w:rsidR="00584A2B" w:rsidRPr="00E7281E">
        <w:t>not available</w:t>
      </w:r>
      <w:r w:rsidR="00DF4FE5" w:rsidRPr="00E7281E">
        <w:t xml:space="preserve">.  </w:t>
      </w:r>
      <w:r w:rsidRPr="00E7281E">
        <w:t>The</w:t>
      </w:r>
      <w:r w:rsidR="001D7EA4" w:rsidRPr="00E7281E">
        <w:t xml:space="preserve"> following</w:t>
      </w:r>
      <w:r w:rsidRPr="00E7281E">
        <w:t xml:space="preserve"> changes were </w:t>
      </w:r>
      <w:r w:rsidR="00584A2B" w:rsidRPr="00E7281E">
        <w:t>made to the 2016 case based on</w:t>
      </w:r>
      <w:r w:rsidRPr="00E7281E">
        <w:t xml:space="preserve"> the most recent information received by ERCOT </w:t>
      </w:r>
      <w:r w:rsidR="00584A2B" w:rsidRPr="00E7281E">
        <w:t xml:space="preserve">to create </w:t>
      </w:r>
      <w:r w:rsidR="0034436B" w:rsidRPr="00E7281E">
        <w:t>a</w:t>
      </w:r>
      <w:r w:rsidR="00584A2B" w:rsidRPr="00E7281E">
        <w:t xml:space="preserve"> 2017 and </w:t>
      </w:r>
      <w:r w:rsidR="0034436B" w:rsidRPr="00E7281E">
        <w:t xml:space="preserve">a </w:t>
      </w:r>
      <w:r w:rsidR="00584A2B" w:rsidRPr="00E7281E">
        <w:t xml:space="preserve">2021 </w:t>
      </w:r>
      <w:r w:rsidR="00E773E4" w:rsidRPr="00E7281E">
        <w:t>loading</w:t>
      </w:r>
      <w:r w:rsidR="00584A2B" w:rsidRPr="00E7281E">
        <w:t xml:space="preserve"> case</w:t>
      </w:r>
      <w:r w:rsidR="001D7EA4" w:rsidRPr="00E7281E">
        <w:t>:</w:t>
      </w:r>
      <w:r w:rsidRPr="00E7281E">
        <w:t xml:space="preserve"> </w:t>
      </w:r>
    </w:p>
    <w:p w:rsidR="001D7EA4" w:rsidRDefault="001D7EA4" w:rsidP="00E7281E"/>
    <w:p w:rsidR="001D7EA4" w:rsidRPr="001D7EA4" w:rsidRDefault="001D7EA4" w:rsidP="00E7281E">
      <w:pPr>
        <w:pStyle w:val="NormalwithEmphasis"/>
      </w:pPr>
      <w:r w:rsidRPr="001D7EA4">
        <w:t>Load Changes:</w:t>
      </w:r>
    </w:p>
    <w:p w:rsidR="001D7EA4" w:rsidRDefault="001D7EA4" w:rsidP="00E7281E">
      <w:pPr>
        <w:pStyle w:val="NormalwithBullets"/>
      </w:pPr>
      <w:r w:rsidRPr="00FD1194">
        <w:t>Load, based on STEC’s forecast, was updated in and around the area of study (</w:t>
      </w:r>
      <w:r w:rsidR="0079077B" w:rsidRPr="00A77CF0">
        <w:t>Dimmit, La Salle and McMullen</w:t>
      </w:r>
      <w:r w:rsidR="0038139E" w:rsidRPr="00E7281E">
        <w:t xml:space="preserve"> Counties</w:t>
      </w:r>
      <w:r w:rsidRPr="00E7281E">
        <w:t>)</w:t>
      </w:r>
      <w:r w:rsidR="000E641D" w:rsidRPr="00E7281E">
        <w:t xml:space="preserve">. </w:t>
      </w:r>
      <w:r w:rsidR="006A41A2" w:rsidRPr="00E7281E">
        <w:t>A total of a</w:t>
      </w:r>
      <w:r w:rsidR="0079077B" w:rsidRPr="00E7281E">
        <w:t>pproximately 190</w:t>
      </w:r>
      <w:r w:rsidR="00795D65" w:rsidRPr="00E7281E">
        <w:t xml:space="preserve"> MW was </w:t>
      </w:r>
      <w:r w:rsidR="0038139E" w:rsidRPr="00E7281E">
        <w:t>modeled on the existing 69 kV transmission system</w:t>
      </w:r>
      <w:r w:rsidR="00AD7461" w:rsidRPr="00E7281E">
        <w:t xml:space="preserve">. </w:t>
      </w:r>
      <w:r w:rsidR="006A41A2" w:rsidRPr="00E7281E">
        <w:t xml:space="preserve">The following </w:t>
      </w:r>
      <w:r w:rsidR="00AD7461" w:rsidRPr="00E7281E">
        <w:t xml:space="preserve">Table </w:t>
      </w:r>
      <w:r w:rsidR="006A41A2" w:rsidRPr="00E7281E">
        <w:t>A</w:t>
      </w:r>
      <w:r w:rsidR="00AD7461" w:rsidRPr="00E7281E">
        <w:t xml:space="preserve"> shows the individual substatio</w:t>
      </w:r>
      <w:r w:rsidR="0079077B" w:rsidRPr="00E7281E">
        <w:t>n loads</w:t>
      </w:r>
      <w:r w:rsidR="0079077B">
        <w:t xml:space="preserve"> modeled at the KEC and MEC</w:t>
      </w:r>
      <w:r w:rsidR="00AD7461">
        <w:t xml:space="preserve"> system</w:t>
      </w:r>
      <w:r w:rsidR="006A41A2">
        <w:t>:</w:t>
      </w:r>
    </w:p>
    <w:p w:rsidR="004171BC" w:rsidRDefault="004171BC" w:rsidP="00E7281E"/>
    <w:tbl>
      <w:tblPr>
        <w:tblStyle w:val="TableGrid"/>
        <w:tblW w:w="0" w:type="auto"/>
        <w:tblInd w:w="1008" w:type="dxa"/>
        <w:tblLook w:val="04A0" w:firstRow="1" w:lastRow="0" w:firstColumn="1" w:lastColumn="0" w:noHBand="0" w:noVBand="1"/>
      </w:tblPr>
      <w:tblGrid>
        <w:gridCol w:w="3984"/>
        <w:gridCol w:w="4476"/>
      </w:tblGrid>
      <w:tr w:rsidR="006A41A2" w:rsidTr="00FF4441">
        <w:tc>
          <w:tcPr>
            <w:tcW w:w="3984" w:type="dxa"/>
            <w:shd w:val="clear" w:color="auto" w:fill="BFBFBF" w:themeFill="background1" w:themeFillShade="BF"/>
          </w:tcPr>
          <w:p w:rsidR="006A41A2" w:rsidRDefault="006A41A2" w:rsidP="00E7281E">
            <w:pPr>
              <w:pStyle w:val="NormalCenter"/>
              <w:keepNext/>
              <w:keepLines/>
            </w:pPr>
            <w:r>
              <w:lastRenderedPageBreak/>
              <w:t>Substation</w:t>
            </w:r>
          </w:p>
        </w:tc>
        <w:tc>
          <w:tcPr>
            <w:tcW w:w="4476" w:type="dxa"/>
            <w:shd w:val="clear" w:color="auto" w:fill="BFBFBF" w:themeFill="background1" w:themeFillShade="BF"/>
          </w:tcPr>
          <w:p w:rsidR="006A41A2" w:rsidRDefault="0079077B" w:rsidP="00E7281E">
            <w:pPr>
              <w:pStyle w:val="NormalCenter"/>
              <w:keepNext/>
              <w:keepLines/>
            </w:pPr>
            <w:r>
              <w:t>Current 2017</w:t>
            </w:r>
            <w:r w:rsidR="006A41A2">
              <w:t xml:space="preserve"> load forecast (MW)</w:t>
            </w:r>
          </w:p>
        </w:tc>
      </w:tr>
      <w:tr w:rsidR="006A41A2" w:rsidTr="00FF4441">
        <w:tc>
          <w:tcPr>
            <w:tcW w:w="3984" w:type="dxa"/>
          </w:tcPr>
          <w:p w:rsidR="006A41A2" w:rsidRDefault="0079077B" w:rsidP="00E7281E">
            <w:pPr>
              <w:pStyle w:val="NormalCenter"/>
              <w:keepNext/>
              <w:keepLines/>
            </w:pPr>
            <w:r>
              <w:t>Cotulla</w:t>
            </w:r>
          </w:p>
        </w:tc>
        <w:tc>
          <w:tcPr>
            <w:tcW w:w="4476" w:type="dxa"/>
          </w:tcPr>
          <w:p w:rsidR="006A41A2" w:rsidRDefault="0079077B" w:rsidP="00E7281E">
            <w:pPr>
              <w:pStyle w:val="NormalCenter"/>
              <w:keepNext/>
              <w:keepLines/>
            </w:pPr>
            <w:r>
              <w:t>21.5</w:t>
            </w:r>
          </w:p>
        </w:tc>
      </w:tr>
      <w:tr w:rsidR="006A41A2" w:rsidTr="00FF4441">
        <w:tc>
          <w:tcPr>
            <w:tcW w:w="3984" w:type="dxa"/>
          </w:tcPr>
          <w:p w:rsidR="006A41A2" w:rsidRDefault="0079077B" w:rsidP="00E7281E">
            <w:pPr>
              <w:pStyle w:val="NormalCenter"/>
              <w:keepNext/>
              <w:keepLines/>
            </w:pPr>
            <w:r>
              <w:t>Dilley</w:t>
            </w:r>
          </w:p>
        </w:tc>
        <w:tc>
          <w:tcPr>
            <w:tcW w:w="4476" w:type="dxa"/>
          </w:tcPr>
          <w:p w:rsidR="006A41A2" w:rsidRDefault="0079077B" w:rsidP="00E7281E">
            <w:pPr>
              <w:pStyle w:val="NormalCenter"/>
              <w:keepNext/>
              <w:keepLines/>
            </w:pPr>
            <w:r>
              <w:t>6.8</w:t>
            </w:r>
          </w:p>
        </w:tc>
      </w:tr>
      <w:tr w:rsidR="006A41A2" w:rsidTr="00FF4441">
        <w:tc>
          <w:tcPr>
            <w:tcW w:w="3984" w:type="dxa"/>
          </w:tcPr>
          <w:p w:rsidR="006A41A2" w:rsidRDefault="00B31D41" w:rsidP="00E7281E">
            <w:pPr>
              <w:pStyle w:val="NormalCenter"/>
              <w:keepNext/>
              <w:keepLines/>
            </w:pPr>
            <w:r>
              <w:t>Big Wells</w:t>
            </w:r>
          </w:p>
        </w:tc>
        <w:tc>
          <w:tcPr>
            <w:tcW w:w="4476" w:type="dxa"/>
          </w:tcPr>
          <w:p w:rsidR="006A41A2" w:rsidRDefault="0079077B" w:rsidP="00E7281E">
            <w:pPr>
              <w:pStyle w:val="NormalCenter"/>
              <w:keepNext/>
              <w:keepLines/>
            </w:pPr>
            <w:r>
              <w:t>2.8</w:t>
            </w:r>
          </w:p>
        </w:tc>
      </w:tr>
      <w:tr w:rsidR="006A41A2" w:rsidTr="00FF4441">
        <w:tc>
          <w:tcPr>
            <w:tcW w:w="3984" w:type="dxa"/>
          </w:tcPr>
          <w:p w:rsidR="006A41A2" w:rsidRDefault="0079077B" w:rsidP="00E7281E">
            <w:pPr>
              <w:pStyle w:val="NormalCenter"/>
              <w:keepNext/>
              <w:keepLines/>
            </w:pPr>
            <w:r>
              <w:t>Brundage</w:t>
            </w:r>
          </w:p>
        </w:tc>
        <w:tc>
          <w:tcPr>
            <w:tcW w:w="4476" w:type="dxa"/>
          </w:tcPr>
          <w:p w:rsidR="006A41A2" w:rsidRDefault="006A41A2" w:rsidP="00E7281E">
            <w:pPr>
              <w:pStyle w:val="NormalCenter"/>
              <w:keepNext/>
              <w:keepLines/>
            </w:pPr>
            <w:r>
              <w:t>15</w:t>
            </w:r>
            <w:r w:rsidR="0079077B">
              <w:t>.6</w:t>
            </w:r>
          </w:p>
        </w:tc>
      </w:tr>
      <w:tr w:rsidR="006A41A2" w:rsidTr="00FF4441">
        <w:tc>
          <w:tcPr>
            <w:tcW w:w="3984" w:type="dxa"/>
          </w:tcPr>
          <w:p w:rsidR="006A41A2" w:rsidRDefault="0079077B" w:rsidP="00E7281E">
            <w:pPr>
              <w:pStyle w:val="NormalCenter"/>
              <w:keepNext/>
              <w:keepLines/>
            </w:pPr>
            <w:r>
              <w:t>Carrizo</w:t>
            </w:r>
          </w:p>
        </w:tc>
        <w:tc>
          <w:tcPr>
            <w:tcW w:w="4476" w:type="dxa"/>
          </w:tcPr>
          <w:p w:rsidR="006A41A2" w:rsidRDefault="0079077B" w:rsidP="00E7281E">
            <w:pPr>
              <w:pStyle w:val="NormalCenter"/>
              <w:keepNext/>
              <w:keepLines/>
            </w:pPr>
            <w:r>
              <w:t>12.5</w:t>
            </w:r>
          </w:p>
        </w:tc>
      </w:tr>
      <w:tr w:rsidR="006A41A2" w:rsidTr="00FF4441">
        <w:tc>
          <w:tcPr>
            <w:tcW w:w="3984" w:type="dxa"/>
          </w:tcPr>
          <w:p w:rsidR="006A41A2" w:rsidRDefault="0079077B" w:rsidP="00E7281E">
            <w:pPr>
              <w:pStyle w:val="NormalCenter"/>
              <w:keepNext/>
              <w:keepLines/>
            </w:pPr>
            <w:r>
              <w:t>West Crystal</w:t>
            </w:r>
          </w:p>
        </w:tc>
        <w:tc>
          <w:tcPr>
            <w:tcW w:w="4476" w:type="dxa"/>
          </w:tcPr>
          <w:p w:rsidR="006A41A2" w:rsidRDefault="0079077B" w:rsidP="00E7281E">
            <w:pPr>
              <w:pStyle w:val="NormalCenter"/>
              <w:keepNext/>
              <w:keepLines/>
            </w:pPr>
            <w:r>
              <w:t>6.3</w:t>
            </w:r>
          </w:p>
        </w:tc>
      </w:tr>
      <w:tr w:rsidR="006A41A2" w:rsidTr="00FF4441">
        <w:tc>
          <w:tcPr>
            <w:tcW w:w="3984" w:type="dxa"/>
          </w:tcPr>
          <w:p w:rsidR="006A41A2" w:rsidRDefault="0079077B" w:rsidP="00E7281E">
            <w:pPr>
              <w:pStyle w:val="NormalCenter"/>
              <w:keepNext/>
              <w:keepLines/>
            </w:pPr>
            <w:r>
              <w:t>Jardin</w:t>
            </w:r>
          </w:p>
        </w:tc>
        <w:tc>
          <w:tcPr>
            <w:tcW w:w="4476" w:type="dxa"/>
          </w:tcPr>
          <w:p w:rsidR="006A41A2" w:rsidRDefault="0079077B" w:rsidP="00E7281E">
            <w:pPr>
              <w:pStyle w:val="NormalCenter"/>
              <w:keepNext/>
              <w:keepLines/>
            </w:pPr>
            <w:r>
              <w:t>29</w:t>
            </w:r>
          </w:p>
        </w:tc>
      </w:tr>
      <w:tr w:rsidR="006A41A2" w:rsidTr="00FF4441">
        <w:tc>
          <w:tcPr>
            <w:tcW w:w="3984" w:type="dxa"/>
          </w:tcPr>
          <w:p w:rsidR="006A41A2" w:rsidRDefault="006A41A2" w:rsidP="00E7281E">
            <w:pPr>
              <w:pStyle w:val="NormalCenter"/>
              <w:keepNext/>
              <w:keepLines/>
            </w:pPr>
            <w:r>
              <w:t>R</w:t>
            </w:r>
            <w:r w:rsidR="0079077B">
              <w:t>eveille</w:t>
            </w:r>
          </w:p>
        </w:tc>
        <w:tc>
          <w:tcPr>
            <w:tcW w:w="4476" w:type="dxa"/>
          </w:tcPr>
          <w:p w:rsidR="006A41A2" w:rsidRDefault="0079077B" w:rsidP="00E7281E">
            <w:pPr>
              <w:pStyle w:val="NormalCenter"/>
              <w:keepNext/>
              <w:keepLines/>
            </w:pPr>
            <w:r>
              <w:t>41</w:t>
            </w:r>
          </w:p>
        </w:tc>
      </w:tr>
      <w:tr w:rsidR="006A41A2" w:rsidTr="00FF4441">
        <w:tc>
          <w:tcPr>
            <w:tcW w:w="3984" w:type="dxa"/>
          </w:tcPr>
          <w:p w:rsidR="006A41A2" w:rsidRDefault="0079077B" w:rsidP="00E7281E">
            <w:pPr>
              <w:pStyle w:val="NormalCenter"/>
              <w:keepNext/>
              <w:keepLines/>
            </w:pPr>
            <w:r>
              <w:t>Fowlerton</w:t>
            </w:r>
          </w:p>
        </w:tc>
        <w:tc>
          <w:tcPr>
            <w:tcW w:w="4476" w:type="dxa"/>
          </w:tcPr>
          <w:p w:rsidR="006A41A2" w:rsidRDefault="0079077B" w:rsidP="00E7281E">
            <w:pPr>
              <w:pStyle w:val="NormalCenter"/>
              <w:keepNext/>
              <w:keepLines/>
            </w:pPr>
            <w:r>
              <w:t>44</w:t>
            </w:r>
          </w:p>
        </w:tc>
      </w:tr>
      <w:tr w:rsidR="006A41A2" w:rsidTr="00FF4441">
        <w:tc>
          <w:tcPr>
            <w:tcW w:w="3984" w:type="dxa"/>
          </w:tcPr>
          <w:p w:rsidR="006A41A2" w:rsidRDefault="0079077B" w:rsidP="00E7281E">
            <w:pPr>
              <w:pStyle w:val="NormalCenter"/>
              <w:keepNext/>
              <w:keepLines/>
            </w:pPr>
            <w:r>
              <w:t>Artesia Wells</w:t>
            </w:r>
          </w:p>
        </w:tc>
        <w:tc>
          <w:tcPr>
            <w:tcW w:w="4476" w:type="dxa"/>
          </w:tcPr>
          <w:p w:rsidR="006A41A2" w:rsidRDefault="0079077B" w:rsidP="00E7281E">
            <w:pPr>
              <w:pStyle w:val="NormalCenter"/>
              <w:keepNext/>
              <w:keepLines/>
            </w:pPr>
            <w:r>
              <w:t>18</w:t>
            </w:r>
          </w:p>
        </w:tc>
      </w:tr>
      <w:tr w:rsidR="0079077B" w:rsidTr="00FF4441">
        <w:tc>
          <w:tcPr>
            <w:tcW w:w="3984" w:type="dxa"/>
          </w:tcPr>
          <w:p w:rsidR="0079077B" w:rsidRDefault="0079077B" w:rsidP="00E7281E">
            <w:pPr>
              <w:pStyle w:val="NormalCenter"/>
              <w:keepNext/>
              <w:keepLines/>
            </w:pPr>
            <w:r>
              <w:t>Tilden</w:t>
            </w:r>
          </w:p>
        </w:tc>
        <w:tc>
          <w:tcPr>
            <w:tcW w:w="4476" w:type="dxa"/>
          </w:tcPr>
          <w:p w:rsidR="0079077B" w:rsidRDefault="0079077B" w:rsidP="00E7281E">
            <w:pPr>
              <w:pStyle w:val="NormalCenter"/>
              <w:keepNext/>
              <w:keepLines/>
            </w:pPr>
            <w:r>
              <w:t>50</w:t>
            </w:r>
          </w:p>
        </w:tc>
      </w:tr>
      <w:tr w:rsidR="0079077B" w:rsidTr="00FF4441">
        <w:tc>
          <w:tcPr>
            <w:tcW w:w="3984" w:type="dxa"/>
          </w:tcPr>
          <w:p w:rsidR="0079077B" w:rsidRDefault="0079077B" w:rsidP="00E7281E">
            <w:pPr>
              <w:pStyle w:val="NormalCenter"/>
              <w:keepNext/>
              <w:keepLines/>
            </w:pPr>
            <w:r>
              <w:t>Total</w:t>
            </w:r>
          </w:p>
        </w:tc>
        <w:tc>
          <w:tcPr>
            <w:tcW w:w="4476" w:type="dxa"/>
          </w:tcPr>
          <w:p w:rsidR="0079077B" w:rsidRDefault="0079077B" w:rsidP="00E7281E">
            <w:pPr>
              <w:pStyle w:val="NormalCenter"/>
              <w:keepNext/>
              <w:keepLines/>
            </w:pPr>
            <w:r>
              <w:t>247</w:t>
            </w:r>
          </w:p>
        </w:tc>
      </w:tr>
    </w:tbl>
    <w:p w:rsidR="006A41A2" w:rsidRPr="004C6A65" w:rsidRDefault="006A41A2" w:rsidP="00E7281E">
      <w:pPr>
        <w:pStyle w:val="NormalCenter"/>
      </w:pPr>
      <w:r w:rsidRPr="00FD1194">
        <w:t>Table</w:t>
      </w:r>
      <w:r>
        <w:t xml:space="preserve"> A</w:t>
      </w:r>
      <w:r w:rsidRPr="004C6A65">
        <w:t xml:space="preserve">: </w:t>
      </w:r>
      <w:r>
        <w:t>STEC’s Load Forecast</w:t>
      </w:r>
    </w:p>
    <w:p w:rsidR="006A41A2" w:rsidRDefault="006A41A2" w:rsidP="00E7281E"/>
    <w:p w:rsidR="0038139E" w:rsidRPr="00E7281E" w:rsidRDefault="0038139E" w:rsidP="00E7281E">
      <w:pPr>
        <w:pStyle w:val="NormalwithBullets"/>
      </w:pPr>
      <w:r>
        <w:t>Load</w:t>
      </w:r>
      <w:r w:rsidRPr="00FD1194">
        <w:t xml:space="preserve">, based on AEP’s forecast, was also updated in and around the area of study (specifically in </w:t>
      </w:r>
      <w:r w:rsidR="00E24A92" w:rsidRPr="00A77CF0">
        <w:t>Dimmit</w:t>
      </w:r>
      <w:r w:rsidR="00150D42" w:rsidRPr="00E7281E">
        <w:t>, La Salle and McMullen Counties, TX). Approximately 120</w:t>
      </w:r>
      <w:r w:rsidRPr="00E7281E">
        <w:t xml:space="preserve"> MW of additional load was modeled on AEP’s transmission system </w:t>
      </w:r>
    </w:p>
    <w:p w:rsidR="00795D65" w:rsidRPr="00E7281E" w:rsidRDefault="000841C8" w:rsidP="00E7281E">
      <w:pPr>
        <w:pStyle w:val="NormalwithBullets"/>
      </w:pPr>
      <w:r w:rsidRPr="00E7281E">
        <w:t xml:space="preserve"> </w:t>
      </w:r>
      <w:r w:rsidR="00B4164A" w:rsidRPr="00E7281E">
        <w:t>The</w:t>
      </w:r>
      <w:r w:rsidR="00884612" w:rsidRPr="00E7281E">
        <w:t xml:space="preserve"> </w:t>
      </w:r>
      <w:r w:rsidR="00B4164A" w:rsidRPr="00E7281E">
        <w:t>2017 load forecast for</w:t>
      </w:r>
      <w:r w:rsidRPr="00E7281E">
        <w:t xml:space="preserve"> STEC </w:t>
      </w:r>
      <w:r w:rsidR="003F04B0" w:rsidRPr="00E7281E">
        <w:t>and AEP</w:t>
      </w:r>
      <w:r w:rsidR="007812C2" w:rsidRPr="00E7281E">
        <w:t xml:space="preserve"> </w:t>
      </w:r>
      <w:r w:rsidR="003F04B0" w:rsidRPr="00E7281E">
        <w:t xml:space="preserve">TCC </w:t>
      </w:r>
      <w:r w:rsidRPr="00E7281E">
        <w:t>load was a</w:t>
      </w:r>
      <w:r w:rsidR="0011471F" w:rsidRPr="00E7281E">
        <w:t>pprox</w:t>
      </w:r>
      <w:r w:rsidR="00C27252" w:rsidRPr="00E7281E">
        <w:t>imately</w:t>
      </w:r>
      <w:r w:rsidR="0011471F" w:rsidRPr="00E7281E">
        <w:t xml:space="preserve"> 1</w:t>
      </w:r>
      <w:r w:rsidR="0095736D" w:rsidRPr="00E7281E">
        <w:t>,</w:t>
      </w:r>
      <w:r w:rsidR="00877477" w:rsidRPr="00E7281E">
        <w:t>686</w:t>
      </w:r>
      <w:r w:rsidR="0011471F" w:rsidRPr="00E7281E">
        <w:t xml:space="preserve"> MW</w:t>
      </w:r>
      <w:r w:rsidR="00600C43" w:rsidRPr="00E7281E">
        <w:t xml:space="preserve"> and 6</w:t>
      </w:r>
      <w:r w:rsidR="0095736D" w:rsidRPr="00E7281E">
        <w:t>,</w:t>
      </w:r>
      <w:r w:rsidR="00600C43" w:rsidRPr="00E7281E">
        <w:t>364</w:t>
      </w:r>
      <w:r w:rsidR="003F04B0" w:rsidRPr="00E7281E">
        <w:t xml:space="preserve"> MW; respectively</w:t>
      </w:r>
    </w:p>
    <w:p w:rsidR="00CF262C" w:rsidRPr="00E7281E" w:rsidRDefault="00B4164A" w:rsidP="00E7281E">
      <w:pPr>
        <w:pStyle w:val="NormalwithBullets"/>
      </w:pPr>
      <w:r w:rsidRPr="00E7281E">
        <w:t>T</w:t>
      </w:r>
      <w:r w:rsidR="00884612" w:rsidRPr="00E7281E">
        <w:t xml:space="preserve">he </w:t>
      </w:r>
      <w:r w:rsidR="00600C43" w:rsidRPr="00E7281E">
        <w:t>2021</w:t>
      </w:r>
      <w:r w:rsidRPr="00E7281E">
        <w:t xml:space="preserve"> load forecast for</w:t>
      </w:r>
      <w:r w:rsidR="000841C8" w:rsidRPr="00E7281E">
        <w:t xml:space="preserve"> STEC </w:t>
      </w:r>
      <w:r w:rsidR="003F04B0" w:rsidRPr="00E7281E">
        <w:t xml:space="preserve">and AEP TCC </w:t>
      </w:r>
      <w:r w:rsidR="000841C8" w:rsidRPr="00E7281E">
        <w:t>load was a</w:t>
      </w:r>
      <w:r w:rsidR="0011471F" w:rsidRPr="00E7281E">
        <w:t>pprox</w:t>
      </w:r>
      <w:r w:rsidR="00C27252" w:rsidRPr="00E7281E">
        <w:t>imately</w:t>
      </w:r>
      <w:r w:rsidR="00877477" w:rsidRPr="00E7281E">
        <w:t xml:space="preserve"> 1</w:t>
      </w:r>
      <w:r w:rsidR="0095736D" w:rsidRPr="00E7281E">
        <w:t>,</w:t>
      </w:r>
      <w:r w:rsidR="00877477" w:rsidRPr="00E7281E">
        <w:t>929</w:t>
      </w:r>
      <w:r w:rsidR="0011471F" w:rsidRPr="00E7281E">
        <w:t xml:space="preserve"> MW</w:t>
      </w:r>
      <w:r w:rsidR="00600C43" w:rsidRPr="00E7281E">
        <w:t xml:space="preserve"> and 6</w:t>
      </w:r>
      <w:r w:rsidR="0095736D" w:rsidRPr="00E7281E">
        <w:t>,</w:t>
      </w:r>
      <w:r w:rsidR="00600C43" w:rsidRPr="00E7281E">
        <w:t>375</w:t>
      </w:r>
      <w:r w:rsidR="003F04B0" w:rsidRPr="00E7281E">
        <w:t xml:space="preserve"> MW; respectively</w:t>
      </w:r>
      <w:r w:rsidR="0011471F" w:rsidRPr="00E7281E">
        <w:t xml:space="preserve"> </w:t>
      </w:r>
    </w:p>
    <w:p w:rsidR="003E688A" w:rsidRDefault="003E688A" w:rsidP="00E7281E"/>
    <w:p w:rsidR="0011471F" w:rsidRPr="001D7EA4" w:rsidRDefault="0011471F" w:rsidP="00E7281E">
      <w:pPr>
        <w:pStyle w:val="NormalwithEmphasis"/>
      </w:pPr>
      <w:r>
        <w:t>Generation</w:t>
      </w:r>
      <w:r w:rsidRPr="001D7EA4">
        <w:t xml:space="preserve"> </w:t>
      </w:r>
      <w:r w:rsidR="00C27252">
        <w:t xml:space="preserve">Updates and </w:t>
      </w:r>
      <w:r w:rsidRPr="001D7EA4">
        <w:t>Changes:</w:t>
      </w:r>
    </w:p>
    <w:p w:rsidR="0011471F" w:rsidRDefault="00D67BBA" w:rsidP="00E7281E">
      <w:pPr>
        <w:pStyle w:val="NormalwithBullets"/>
      </w:pPr>
      <w:r>
        <w:t xml:space="preserve">Rayburn </w:t>
      </w:r>
      <w:r w:rsidR="003965F2">
        <w:t>3</w:t>
      </w:r>
      <w:r w:rsidR="0095736D">
        <w:t xml:space="preserve"> </w:t>
      </w:r>
      <w:r w:rsidR="003965F2">
        <w:t>(24</w:t>
      </w:r>
      <w:r>
        <w:t xml:space="preserve"> </w:t>
      </w:r>
      <w:r w:rsidRPr="00FD1194">
        <w:t>MW</w:t>
      </w:r>
      <w:r>
        <w:t xml:space="preserve">) was turned off because </w:t>
      </w:r>
      <w:r w:rsidR="00CE3E9B">
        <w:t>the unit was</w:t>
      </w:r>
      <w:r>
        <w:t xml:space="preserve"> </w:t>
      </w:r>
      <w:r w:rsidR="00F54E2A">
        <w:t xml:space="preserve">recently </w:t>
      </w:r>
      <w:r w:rsidR="00B070BD">
        <w:t>retired</w:t>
      </w:r>
    </w:p>
    <w:p w:rsidR="003E688A" w:rsidRDefault="003E688A" w:rsidP="00E7281E"/>
    <w:p w:rsidR="003E688A" w:rsidRPr="001D7EA4" w:rsidRDefault="003E688A" w:rsidP="00E7281E">
      <w:pPr>
        <w:pStyle w:val="NormalwithEmphasis"/>
      </w:pPr>
      <w:r w:rsidRPr="00FD1194">
        <w:t>Transmission</w:t>
      </w:r>
      <w:r>
        <w:t xml:space="preserve"> Changes</w:t>
      </w:r>
      <w:r w:rsidRPr="001D7EA4">
        <w:t>:</w:t>
      </w:r>
    </w:p>
    <w:p w:rsidR="003E688A" w:rsidRDefault="003E688A" w:rsidP="00E7281E">
      <w:pPr>
        <w:pStyle w:val="NormalwithBullets"/>
      </w:pPr>
      <w:r>
        <w:t>Rio Bravo – Lobo 138 kV line (Rate B: 776 MVA, approx. 26 miles) was modeled</w:t>
      </w:r>
    </w:p>
    <w:p w:rsidR="0011471F" w:rsidRDefault="0011471F" w:rsidP="00E7281E"/>
    <w:p w:rsidR="001E4050" w:rsidRDefault="001E4050" w:rsidP="00E7281E">
      <w:r>
        <w:t>The model contained all existing generation plus generation with signed interconnection agreements at the start of the analysis.</w:t>
      </w:r>
    </w:p>
    <w:p w:rsidR="00E049BD" w:rsidRDefault="00E049BD" w:rsidP="00E7281E"/>
    <w:p w:rsidR="00AA1920" w:rsidRDefault="00AA1920">
      <w:r>
        <w:br w:type="page"/>
      </w:r>
    </w:p>
    <w:p w:rsidR="00B471D5" w:rsidRPr="00F8176D" w:rsidRDefault="0066436F" w:rsidP="00B471D5">
      <w:pPr>
        <w:pStyle w:val="Heading1"/>
      </w:pPr>
      <w:bookmarkStart w:id="250" w:name="_Toc333567254"/>
      <w:r>
        <w:lastRenderedPageBreak/>
        <w:t xml:space="preserve">Reliability </w:t>
      </w:r>
      <w:r w:rsidR="00913887">
        <w:t>Analysis</w:t>
      </w:r>
      <w:bookmarkEnd w:id="250"/>
    </w:p>
    <w:p w:rsidR="008A11D8" w:rsidRDefault="0066436F" w:rsidP="00E7281E">
      <w:r>
        <w:t xml:space="preserve">The </w:t>
      </w:r>
      <w:r w:rsidR="00584A2B">
        <w:t xml:space="preserve">n-1 </w:t>
      </w:r>
      <w:r>
        <w:t>reliability</w:t>
      </w:r>
      <w:r w:rsidR="009A27D4">
        <w:t xml:space="preserve"> analysis was performed </w:t>
      </w:r>
      <w:r w:rsidR="00AA145E">
        <w:t xml:space="preserve">using </w:t>
      </w:r>
      <w:r w:rsidR="001E4050">
        <w:t>TARA</w:t>
      </w:r>
      <w:r w:rsidR="00D07C1E">
        <w:t xml:space="preserve"> </w:t>
      </w:r>
      <w:r w:rsidR="001E4050">
        <w:t xml:space="preserve">on the </w:t>
      </w:r>
      <w:r w:rsidR="008132C7">
        <w:t>2017</w:t>
      </w:r>
      <w:r w:rsidR="008A11D8">
        <w:t xml:space="preserve"> </w:t>
      </w:r>
      <w:r w:rsidR="00C27252">
        <w:t>and</w:t>
      </w:r>
      <w:r w:rsidR="008132C7">
        <w:t xml:space="preserve"> 2021 </w:t>
      </w:r>
      <w:r w:rsidR="004C73E1">
        <w:t>cases</w:t>
      </w:r>
      <w:r w:rsidR="008A11D8">
        <w:t xml:space="preserve">. The </w:t>
      </w:r>
      <w:r w:rsidR="0034436B">
        <w:t xml:space="preserve">highest </w:t>
      </w:r>
      <w:r w:rsidR="004C73E1">
        <w:t>overload</w:t>
      </w:r>
      <w:r w:rsidR="00C61885">
        <w:t>s</w:t>
      </w:r>
      <w:r w:rsidR="00884612">
        <w:t xml:space="preserve"> in the area</w:t>
      </w:r>
      <w:r w:rsidR="008A57A9">
        <w:t xml:space="preserve"> are shown</w:t>
      </w:r>
      <w:r w:rsidR="008A11D8">
        <w:t xml:space="preserve"> in Table I.</w:t>
      </w:r>
      <w:r w:rsidR="004C73E1">
        <w:t xml:space="preserve"> The full AC Contingency results are presented in Appendices A and B</w:t>
      </w:r>
      <w:r w:rsidR="0095736D">
        <w:t>.</w:t>
      </w:r>
    </w:p>
    <w:p w:rsidR="008A11D8" w:rsidRDefault="008A11D8" w:rsidP="00E7281E"/>
    <w:tbl>
      <w:tblPr>
        <w:tblStyle w:val="TableGrid"/>
        <w:tblW w:w="0" w:type="auto"/>
        <w:tblInd w:w="1008" w:type="dxa"/>
        <w:tblLook w:val="01E0" w:firstRow="1" w:lastRow="1" w:firstColumn="1" w:lastColumn="1" w:noHBand="0" w:noVBand="0"/>
      </w:tblPr>
      <w:tblGrid>
        <w:gridCol w:w="2465"/>
        <w:gridCol w:w="2665"/>
        <w:gridCol w:w="1768"/>
        <w:gridCol w:w="1670"/>
      </w:tblGrid>
      <w:tr w:rsidR="008A11D8" w:rsidRPr="004C6A65" w:rsidTr="00E7281E">
        <w:tc>
          <w:tcPr>
            <w:tcW w:w="2465" w:type="dxa"/>
            <w:shd w:val="clear" w:color="auto" w:fill="A6A6A6" w:themeFill="background1" w:themeFillShade="A6"/>
            <w:vAlign w:val="center"/>
          </w:tcPr>
          <w:p w:rsidR="008A11D8" w:rsidRPr="004C6A65" w:rsidRDefault="0034436B" w:rsidP="00E7281E">
            <w:pPr>
              <w:ind w:left="432"/>
            </w:pPr>
            <w:r>
              <w:t xml:space="preserve">Highest </w:t>
            </w:r>
            <w:r w:rsidR="008A57A9">
              <w:t>Loaded</w:t>
            </w:r>
            <w:r w:rsidR="008A11D8">
              <w:t xml:space="preserve"> Element</w:t>
            </w:r>
          </w:p>
        </w:tc>
        <w:tc>
          <w:tcPr>
            <w:tcW w:w="2665" w:type="dxa"/>
            <w:shd w:val="clear" w:color="auto" w:fill="A6A6A6" w:themeFill="background1" w:themeFillShade="A6"/>
            <w:vAlign w:val="center"/>
          </w:tcPr>
          <w:p w:rsidR="008A11D8" w:rsidRPr="004C6A65" w:rsidRDefault="008A11D8" w:rsidP="00E7281E">
            <w:pPr>
              <w:ind w:left="452"/>
            </w:pPr>
            <w:r w:rsidRPr="004C6A65">
              <w:t>Contingencies</w:t>
            </w:r>
          </w:p>
        </w:tc>
        <w:tc>
          <w:tcPr>
            <w:tcW w:w="1768" w:type="dxa"/>
            <w:shd w:val="clear" w:color="auto" w:fill="A6A6A6" w:themeFill="background1" w:themeFillShade="A6"/>
            <w:vAlign w:val="center"/>
          </w:tcPr>
          <w:p w:rsidR="008A11D8" w:rsidRPr="004C6A65" w:rsidRDefault="00C27252" w:rsidP="00E7281E">
            <w:pPr>
              <w:ind w:left="252"/>
            </w:pPr>
            <w:r>
              <w:t xml:space="preserve">Loading </w:t>
            </w:r>
            <w:r w:rsidR="00E4088A">
              <w:t>in 2017</w:t>
            </w:r>
            <w:r w:rsidR="008A11D8">
              <w:t xml:space="preserve"> (%)</w:t>
            </w:r>
          </w:p>
        </w:tc>
        <w:tc>
          <w:tcPr>
            <w:tcW w:w="1670" w:type="dxa"/>
            <w:shd w:val="clear" w:color="auto" w:fill="A6A6A6" w:themeFill="background1" w:themeFillShade="A6"/>
            <w:vAlign w:val="center"/>
          </w:tcPr>
          <w:p w:rsidR="008A11D8" w:rsidRPr="004C6A65" w:rsidRDefault="00C27252" w:rsidP="00E7281E">
            <w:pPr>
              <w:ind w:left="194"/>
            </w:pPr>
            <w:r>
              <w:t xml:space="preserve">Loading </w:t>
            </w:r>
            <w:r w:rsidR="00E4088A">
              <w:t>in 2021</w:t>
            </w:r>
            <w:r w:rsidR="008A11D8">
              <w:t xml:space="preserve"> (%)</w:t>
            </w:r>
          </w:p>
        </w:tc>
      </w:tr>
      <w:tr w:rsidR="007B080D" w:rsidRPr="004C6A65" w:rsidTr="00E7281E">
        <w:trPr>
          <w:trHeight w:val="1187"/>
        </w:trPr>
        <w:tc>
          <w:tcPr>
            <w:tcW w:w="2465" w:type="dxa"/>
            <w:vAlign w:val="center"/>
          </w:tcPr>
          <w:p w:rsidR="007B080D" w:rsidRDefault="00586191" w:rsidP="00E7281E">
            <w:pPr>
              <w:ind w:left="432"/>
            </w:pPr>
            <w:r>
              <w:t>Turtle Creek – West Crystal City</w:t>
            </w:r>
            <w:r w:rsidR="002943E5">
              <w:t xml:space="preserve"> </w:t>
            </w:r>
            <w:r w:rsidR="007B080D">
              <w:t>69 kV line</w:t>
            </w:r>
          </w:p>
        </w:tc>
        <w:tc>
          <w:tcPr>
            <w:tcW w:w="2665" w:type="dxa"/>
            <w:vAlign w:val="center"/>
          </w:tcPr>
          <w:p w:rsidR="00967B91" w:rsidRPr="004C6A65" w:rsidRDefault="00586191" w:rsidP="00E7281E">
            <w:pPr>
              <w:ind w:left="452"/>
            </w:pPr>
            <w:r>
              <w:t>Big Wells – Cotulla</w:t>
            </w:r>
            <w:r w:rsidR="00F6472F">
              <w:t xml:space="preserve"> </w:t>
            </w:r>
            <w:r>
              <w:t>69 kV line</w:t>
            </w:r>
          </w:p>
        </w:tc>
        <w:tc>
          <w:tcPr>
            <w:tcW w:w="1768" w:type="dxa"/>
            <w:vAlign w:val="center"/>
          </w:tcPr>
          <w:p w:rsidR="007B080D" w:rsidRPr="004C6A65" w:rsidRDefault="00586191" w:rsidP="00E7281E">
            <w:pPr>
              <w:ind w:left="432"/>
            </w:pPr>
            <w:r>
              <w:t>112</w:t>
            </w:r>
          </w:p>
        </w:tc>
        <w:tc>
          <w:tcPr>
            <w:tcW w:w="1670" w:type="dxa"/>
            <w:vAlign w:val="center"/>
          </w:tcPr>
          <w:p w:rsidR="007B080D" w:rsidRDefault="00586191" w:rsidP="00E7281E">
            <w:pPr>
              <w:ind w:left="374"/>
            </w:pPr>
            <w:r>
              <w:t>121</w:t>
            </w:r>
          </w:p>
        </w:tc>
      </w:tr>
      <w:tr w:rsidR="00474FFD" w:rsidRPr="004C6A65" w:rsidTr="00E7281E">
        <w:trPr>
          <w:trHeight w:val="1430"/>
        </w:trPr>
        <w:tc>
          <w:tcPr>
            <w:tcW w:w="2465" w:type="dxa"/>
            <w:vAlign w:val="center"/>
          </w:tcPr>
          <w:p w:rsidR="00474FFD" w:rsidRDefault="00586191" w:rsidP="00E7281E">
            <w:pPr>
              <w:ind w:left="432"/>
            </w:pPr>
            <w:r>
              <w:t>Batesville – Crystal City</w:t>
            </w:r>
            <w:r w:rsidR="00F6472F">
              <w:t xml:space="preserve"> </w:t>
            </w:r>
            <w:r>
              <w:t>69 kV line</w:t>
            </w:r>
          </w:p>
        </w:tc>
        <w:tc>
          <w:tcPr>
            <w:tcW w:w="2665" w:type="dxa"/>
            <w:vAlign w:val="center"/>
          </w:tcPr>
          <w:p w:rsidR="00474FFD" w:rsidRDefault="00586191" w:rsidP="00E7281E">
            <w:pPr>
              <w:ind w:left="452"/>
            </w:pPr>
            <w:r>
              <w:t xml:space="preserve">Carrizo </w:t>
            </w:r>
            <w:r w:rsidR="00E4088A">
              <w:t xml:space="preserve"> – </w:t>
            </w:r>
            <w:r>
              <w:t>Asherton</w:t>
            </w:r>
            <w:r w:rsidR="00F6472F">
              <w:t xml:space="preserve"> </w:t>
            </w:r>
            <w:r>
              <w:t>69</w:t>
            </w:r>
            <w:r w:rsidR="005B2E82">
              <w:t xml:space="preserve"> </w:t>
            </w:r>
            <w:r w:rsidR="00474FFD" w:rsidRPr="00474FFD">
              <w:t>kV line</w:t>
            </w:r>
          </w:p>
        </w:tc>
        <w:tc>
          <w:tcPr>
            <w:tcW w:w="1768" w:type="dxa"/>
            <w:vAlign w:val="center"/>
          </w:tcPr>
          <w:p w:rsidR="00474FFD" w:rsidRDefault="006A5E53" w:rsidP="00E7281E">
            <w:pPr>
              <w:ind w:left="432"/>
            </w:pPr>
            <w:r>
              <w:t>1</w:t>
            </w:r>
            <w:r w:rsidR="00586191">
              <w:t>02</w:t>
            </w:r>
          </w:p>
        </w:tc>
        <w:tc>
          <w:tcPr>
            <w:tcW w:w="1670" w:type="dxa"/>
            <w:vAlign w:val="center"/>
          </w:tcPr>
          <w:p w:rsidR="00474FFD" w:rsidRDefault="00360891" w:rsidP="00E7281E">
            <w:pPr>
              <w:ind w:left="374"/>
            </w:pPr>
            <w:r>
              <w:t>11</w:t>
            </w:r>
            <w:r w:rsidR="00586191">
              <w:t>2</w:t>
            </w:r>
          </w:p>
        </w:tc>
      </w:tr>
    </w:tbl>
    <w:p w:rsidR="008A11D8" w:rsidRPr="004C6A65" w:rsidRDefault="008A11D8" w:rsidP="00E7281E">
      <w:pPr>
        <w:pStyle w:val="NormalCenter"/>
      </w:pPr>
      <w:r>
        <w:t xml:space="preserve">Table </w:t>
      </w:r>
      <w:r w:rsidRPr="004C6A65">
        <w:t xml:space="preserve">I: </w:t>
      </w:r>
      <w:r w:rsidR="00C27252">
        <w:t xml:space="preserve">Loading </w:t>
      </w:r>
      <w:r w:rsidR="007B080D">
        <w:t>on the existing 69</w:t>
      </w:r>
      <w:r>
        <w:t xml:space="preserve"> kV </w:t>
      </w:r>
      <w:r w:rsidR="007B080D">
        <w:t xml:space="preserve">system </w:t>
      </w:r>
      <w:r w:rsidR="00F827E0">
        <w:t>with 2017 and 2021</w:t>
      </w:r>
      <w:r w:rsidR="007B080D">
        <w:t xml:space="preserve"> </w:t>
      </w:r>
      <w:r w:rsidR="0095736D">
        <w:t>loads</w:t>
      </w:r>
    </w:p>
    <w:p w:rsidR="008A11D8" w:rsidRDefault="008A11D8" w:rsidP="00E7281E"/>
    <w:p w:rsidR="00D63974" w:rsidRDefault="00307ABD" w:rsidP="00E7281E">
      <w:r>
        <w:t>The</w:t>
      </w:r>
      <w:r w:rsidR="007B080D">
        <w:t xml:space="preserve"> results show that </w:t>
      </w:r>
      <w:r w:rsidR="00D26C41">
        <w:t xml:space="preserve">the </w:t>
      </w:r>
      <w:r w:rsidR="007B080D">
        <w:t xml:space="preserve">existing </w:t>
      </w:r>
      <w:r w:rsidR="00B93886">
        <w:t>69 kV transmission system</w:t>
      </w:r>
      <w:r w:rsidR="007B080D">
        <w:t xml:space="preserve"> is heavily constrained and cannot</w:t>
      </w:r>
      <w:r w:rsidR="00744469">
        <w:t xml:space="preserve"> support </w:t>
      </w:r>
      <w:r w:rsidR="00C27252">
        <w:t xml:space="preserve">the </w:t>
      </w:r>
      <w:r w:rsidR="000841C8">
        <w:t xml:space="preserve">new </w:t>
      </w:r>
      <w:r w:rsidR="00B93886">
        <w:t>load addition</w:t>
      </w:r>
      <w:r w:rsidR="00C27252">
        <w:t xml:space="preserve"> without </w:t>
      </w:r>
      <w:r w:rsidR="009F5B87">
        <w:t xml:space="preserve">additional </w:t>
      </w:r>
      <w:r w:rsidR="00C27252">
        <w:t xml:space="preserve">transmission </w:t>
      </w:r>
      <w:r w:rsidR="00EB2A1B">
        <w:t>improvements</w:t>
      </w:r>
      <w:r w:rsidR="00B93886">
        <w:t>.</w:t>
      </w:r>
      <w:r w:rsidR="00360891">
        <w:t xml:space="preserve"> The addition of new loads </w:t>
      </w:r>
      <w:r w:rsidR="00EB2A1B">
        <w:t xml:space="preserve">also </w:t>
      </w:r>
      <w:r w:rsidR="00360891">
        <w:t xml:space="preserve">caused </w:t>
      </w:r>
      <w:r w:rsidR="0095736D">
        <w:t>under-</w:t>
      </w:r>
      <w:r w:rsidR="00360891">
        <w:t xml:space="preserve">voltage </w:t>
      </w:r>
      <w:r w:rsidR="0095736D">
        <w:t xml:space="preserve">conditions </w:t>
      </w:r>
      <w:r w:rsidR="00360891">
        <w:t xml:space="preserve">on the 69 kV transmission </w:t>
      </w:r>
      <w:proofErr w:type="gramStart"/>
      <w:r w:rsidR="00360891">
        <w:t>system</w:t>
      </w:r>
      <w:proofErr w:type="gramEnd"/>
      <w:r w:rsidR="00360891">
        <w:t>.</w:t>
      </w:r>
    </w:p>
    <w:p w:rsidR="00D63974" w:rsidRDefault="00D63974" w:rsidP="00E7281E">
      <w:r>
        <w:t>It should be</w:t>
      </w:r>
      <w:r w:rsidR="00BB5CF4">
        <w:t xml:space="preserve"> </w:t>
      </w:r>
      <w:r>
        <w:t xml:space="preserve">noted that the analysis revealed </w:t>
      </w:r>
      <w:r w:rsidR="000841C8">
        <w:t xml:space="preserve">other </w:t>
      </w:r>
      <w:r>
        <w:t xml:space="preserve">post-contingency overloaded elements </w:t>
      </w:r>
      <w:r w:rsidR="004C73E1">
        <w:t>in the region</w:t>
      </w:r>
      <w:r>
        <w:t>. These elements were discarded from the a</w:t>
      </w:r>
      <w:r w:rsidR="00D43B3B">
        <w:t>nalysis since</w:t>
      </w:r>
      <w:r>
        <w:t xml:space="preserve"> these are </w:t>
      </w:r>
      <w:r w:rsidR="00B93886">
        <w:t xml:space="preserve">either not related to the </w:t>
      </w:r>
      <w:r w:rsidR="000841C8">
        <w:t>new load addition</w:t>
      </w:r>
      <w:r w:rsidR="00EB2A1B">
        <w:t>,</w:t>
      </w:r>
      <w:r w:rsidR="000841C8">
        <w:t xml:space="preserve"> </w:t>
      </w:r>
      <w:r w:rsidR="00B93886">
        <w:t xml:space="preserve">are </w:t>
      </w:r>
      <w:r>
        <w:t>very far from the area under study</w:t>
      </w:r>
      <w:r w:rsidR="00EB2A1B">
        <w:t xml:space="preserve">, or will be addressed </w:t>
      </w:r>
      <w:r w:rsidR="004C73E1">
        <w:t xml:space="preserve">by other </w:t>
      </w:r>
      <w:r w:rsidR="00EB2A1B">
        <w:t>projects</w:t>
      </w:r>
      <w:r>
        <w:t xml:space="preserve">. </w:t>
      </w:r>
      <w:r w:rsidR="00B93886">
        <w:t xml:space="preserve">These </w:t>
      </w:r>
      <w:r w:rsidR="00D26C41">
        <w:t xml:space="preserve">elements </w:t>
      </w:r>
      <w:r w:rsidR="00B93886">
        <w:t>are shaded gray in the attached spreadsheets</w:t>
      </w:r>
      <w:r w:rsidR="000841C8">
        <w:t xml:space="preserve"> in the Appendices A and B</w:t>
      </w:r>
      <w:r w:rsidR="00B93886">
        <w:t>.</w:t>
      </w:r>
    </w:p>
    <w:p w:rsidR="00D63974" w:rsidRDefault="00D63974" w:rsidP="00E7281E"/>
    <w:p w:rsidR="00A70F4D" w:rsidRPr="00F8176D" w:rsidRDefault="0063152A" w:rsidP="00A70F4D">
      <w:pPr>
        <w:pStyle w:val="Heading1"/>
      </w:pPr>
      <w:bookmarkStart w:id="251" w:name="_Toc333567255"/>
      <w:r>
        <w:t>Project Options</w:t>
      </w:r>
      <w:bookmarkEnd w:id="251"/>
    </w:p>
    <w:p w:rsidR="0063152A" w:rsidRDefault="00075124" w:rsidP="00E7281E">
      <w:r>
        <w:t xml:space="preserve">ERCOT studied five </w:t>
      </w:r>
      <w:r w:rsidR="00F3292D">
        <w:t xml:space="preserve">different alternatives </w:t>
      </w:r>
      <w:r>
        <w:t>(Options A through E)</w:t>
      </w:r>
      <w:r w:rsidR="0063152A">
        <w:t xml:space="preserve"> to identify the most reliable solution</w:t>
      </w:r>
      <w:r w:rsidR="00360891">
        <w:t xml:space="preserve"> to serve </w:t>
      </w:r>
      <w:r w:rsidR="00EB2A1B">
        <w:t>the</w:t>
      </w:r>
      <w:r w:rsidR="000841C8">
        <w:t xml:space="preserve"> </w:t>
      </w:r>
      <w:r w:rsidR="004C73E1">
        <w:t xml:space="preserve">KEC and MEC </w:t>
      </w:r>
      <w:r w:rsidR="000841C8">
        <w:t>load</w:t>
      </w:r>
      <w:r w:rsidR="004C73E1">
        <w:t xml:space="preserve"> addition</w:t>
      </w:r>
      <w:r w:rsidR="00360891">
        <w:t>.</w:t>
      </w:r>
      <w:r w:rsidR="008A57A9">
        <w:t xml:space="preserve"> </w:t>
      </w:r>
      <w:r w:rsidR="00E36923">
        <w:t>The</w:t>
      </w:r>
      <w:r w:rsidR="00F3292D">
        <w:t xml:space="preserve"> following transmission upgrades</w:t>
      </w:r>
      <w:r>
        <w:t xml:space="preserve"> </w:t>
      </w:r>
      <w:r w:rsidR="00F3292D">
        <w:t xml:space="preserve">were common to all five alternatives </w:t>
      </w:r>
      <w:r>
        <w:t xml:space="preserve">(Option A through Option E) </w:t>
      </w:r>
      <w:r w:rsidR="00F3292D">
        <w:t>considered in this study</w:t>
      </w:r>
      <w:r>
        <w:t xml:space="preserve">: </w:t>
      </w:r>
    </w:p>
    <w:p w:rsidR="0063152A" w:rsidRDefault="0063152A" w:rsidP="00E7281E"/>
    <w:p w:rsidR="0063152A" w:rsidRPr="00BA45D6" w:rsidRDefault="00075124" w:rsidP="00E7281E">
      <w:pPr>
        <w:pStyle w:val="NormalwithEmphasis"/>
      </w:pPr>
      <w:r>
        <w:t>Common Upgrades</w:t>
      </w:r>
      <w:r w:rsidR="00EB2A1B">
        <w:t xml:space="preserve"> </w:t>
      </w:r>
      <w:r w:rsidR="00F3292D">
        <w:t xml:space="preserve">for all </w:t>
      </w:r>
      <w:r w:rsidR="00F3292D" w:rsidRPr="00FD1194">
        <w:t>five</w:t>
      </w:r>
      <w:r w:rsidR="00F3292D">
        <w:t xml:space="preserve"> alternatives studied:</w:t>
      </w:r>
    </w:p>
    <w:p w:rsidR="00B829AD" w:rsidRPr="00E7281E" w:rsidRDefault="00E773E4" w:rsidP="00E7281E">
      <w:pPr>
        <w:pStyle w:val="NormalwithBullets"/>
      </w:pPr>
      <w:r>
        <w:t xml:space="preserve">Construct a new </w:t>
      </w:r>
      <w:r w:rsidR="00B829AD">
        <w:t xml:space="preserve">Tilden </w:t>
      </w:r>
      <w:r w:rsidR="00B829AD" w:rsidRPr="00FD1194">
        <w:t>– Fowlerton – Reveil</w:t>
      </w:r>
      <w:r w:rsidR="000C6702" w:rsidRPr="00A77CF0">
        <w:t>l</w:t>
      </w:r>
      <w:r w:rsidR="00B829AD" w:rsidRPr="00E7281E">
        <w:t xml:space="preserve">e 138 kV </w:t>
      </w:r>
      <w:r w:rsidR="00E36923" w:rsidRPr="00E7281E">
        <w:t xml:space="preserve">double circuit </w:t>
      </w:r>
      <w:r w:rsidR="00B829AD" w:rsidRPr="00E7281E">
        <w:t>line (approx. 47 miles</w:t>
      </w:r>
      <w:r w:rsidR="00E24A92" w:rsidRPr="00E7281E">
        <w:t xml:space="preserve"> </w:t>
      </w:r>
      <w:r w:rsidR="00B829AD" w:rsidRPr="00E7281E">
        <w:t xml:space="preserve">on </w:t>
      </w:r>
      <w:r w:rsidR="00E24A92" w:rsidRPr="00E7281E">
        <w:t xml:space="preserve">a </w:t>
      </w:r>
      <w:r w:rsidR="00E36923" w:rsidRPr="00E7281E">
        <w:t>n</w:t>
      </w:r>
      <w:r w:rsidR="00B829AD" w:rsidRPr="00E7281E">
        <w:t>ew R.O.W</w:t>
      </w:r>
      <w:r w:rsidR="00E36923" w:rsidRPr="00E7281E">
        <w:t>.</w:t>
      </w:r>
      <w:r w:rsidR="00B829AD" w:rsidRPr="00E7281E">
        <w:t xml:space="preserve">) so that </w:t>
      </w:r>
      <w:r w:rsidR="00E36923" w:rsidRPr="00E7281E">
        <w:t xml:space="preserve">each </w:t>
      </w:r>
      <w:r w:rsidR="00B829AD" w:rsidRPr="00E7281E">
        <w:t xml:space="preserve">circuit Rate B is at least 240 MVA </w:t>
      </w:r>
    </w:p>
    <w:p w:rsidR="00B829AD" w:rsidRPr="00E7281E" w:rsidRDefault="00B829AD" w:rsidP="00E7281E">
      <w:pPr>
        <w:pStyle w:val="NormalwithBullets"/>
      </w:pPr>
      <w:r w:rsidRPr="00E7281E">
        <w:t xml:space="preserve">Construct a new 138 kV substation near </w:t>
      </w:r>
      <w:r w:rsidR="00E36923" w:rsidRPr="00E7281E">
        <w:t xml:space="preserve">the </w:t>
      </w:r>
      <w:r w:rsidRPr="00E7281E">
        <w:t>STEC 69 kV Cotulla</w:t>
      </w:r>
      <w:r w:rsidR="00E36923" w:rsidRPr="00E7281E">
        <w:t xml:space="preserve"> substation</w:t>
      </w:r>
      <w:r w:rsidRPr="00E7281E">
        <w:t xml:space="preserve"> and loop the AEP Dilley – Cotulla 138 kV line into it</w:t>
      </w:r>
    </w:p>
    <w:p w:rsidR="00B829AD" w:rsidRPr="00E7281E" w:rsidRDefault="00B829AD" w:rsidP="00E7281E">
      <w:pPr>
        <w:pStyle w:val="NormalwithBullets"/>
      </w:pPr>
      <w:r w:rsidRPr="00E7281E">
        <w:lastRenderedPageBreak/>
        <w:t xml:space="preserve">Add a (69/138 kV) autotransformer (with reverse power relays) at </w:t>
      </w:r>
      <w:r w:rsidR="00E36923" w:rsidRPr="00E7281E">
        <w:t xml:space="preserve">the </w:t>
      </w:r>
      <w:r w:rsidRPr="00E7281E">
        <w:t>Cotulla</w:t>
      </w:r>
      <w:r w:rsidR="00E36923" w:rsidRPr="00E7281E">
        <w:t xml:space="preserve"> substation</w:t>
      </w:r>
      <w:r w:rsidRPr="00E7281E">
        <w:t xml:space="preserve"> so that the Rate B is at least 150 MVA</w:t>
      </w:r>
    </w:p>
    <w:p w:rsidR="00B829AD" w:rsidRPr="00E7281E" w:rsidRDefault="00B829AD" w:rsidP="00E7281E">
      <w:pPr>
        <w:pStyle w:val="NormalwithBullets"/>
      </w:pPr>
      <w:r w:rsidRPr="00E7281E">
        <w:t>Add reverse power relays at the George West autotransformer</w:t>
      </w:r>
    </w:p>
    <w:p w:rsidR="00B829AD" w:rsidRPr="00E7281E" w:rsidRDefault="00B829AD" w:rsidP="00E7281E">
      <w:pPr>
        <w:pStyle w:val="NormalwithBullets"/>
      </w:pPr>
      <w:r w:rsidRPr="00E7281E">
        <w:t>Add</w:t>
      </w:r>
      <w:r w:rsidR="00E36923" w:rsidRPr="00E7281E">
        <w:t xml:space="preserve"> a</w:t>
      </w:r>
      <w:r w:rsidRPr="00E7281E">
        <w:t xml:space="preserve"> 9.6 </w:t>
      </w:r>
      <w:r w:rsidR="00F502CB" w:rsidRPr="00E7281E">
        <w:t>MVAR</w:t>
      </w:r>
      <w:r w:rsidRPr="00E7281E">
        <w:t xml:space="preserve"> capacitor bank at George</w:t>
      </w:r>
      <w:r w:rsidR="00C63208" w:rsidRPr="00E7281E">
        <w:t xml:space="preserve"> </w:t>
      </w:r>
      <w:r w:rsidRPr="00E7281E">
        <w:t>West 69 kV substation</w:t>
      </w:r>
    </w:p>
    <w:p w:rsidR="00B829AD" w:rsidRPr="00E7281E" w:rsidRDefault="00B829AD" w:rsidP="00E7281E">
      <w:pPr>
        <w:pStyle w:val="NormalwithBullets"/>
      </w:pPr>
      <w:r w:rsidRPr="00E7281E">
        <w:t xml:space="preserve">Add 19.2 </w:t>
      </w:r>
      <w:r w:rsidR="00F502CB" w:rsidRPr="00E7281E">
        <w:t>MVAR</w:t>
      </w:r>
      <w:r w:rsidRPr="00E7281E">
        <w:t xml:space="preserve"> capacitor banks at Tilden, Fowlerton and Jardin 138 kV substations</w:t>
      </w:r>
    </w:p>
    <w:p w:rsidR="009F5B87" w:rsidRDefault="009F5B87" w:rsidP="00E7281E"/>
    <w:p w:rsidR="00346172" w:rsidRDefault="0063152A" w:rsidP="00E7281E">
      <w:r>
        <w:t xml:space="preserve">The </w:t>
      </w:r>
      <w:r w:rsidR="00B829AD">
        <w:t>additional upgrades required (in addition to the above listed common upgrades) for the Five Options (A-E) will be discussed in the rest of the report</w:t>
      </w:r>
      <w:r>
        <w:t>.</w:t>
      </w:r>
    </w:p>
    <w:p w:rsidR="008C2843" w:rsidRDefault="008C2843" w:rsidP="00E7281E"/>
    <w:p w:rsidR="0063152A" w:rsidRDefault="00CE020B" w:rsidP="00E7281E">
      <w:pPr>
        <w:pStyle w:val="NormalwithEmphasis"/>
      </w:pPr>
      <w:r>
        <w:t>Option A (69 kV HUB)</w:t>
      </w:r>
      <w:r w:rsidR="0063152A" w:rsidRPr="00BA45D6">
        <w:t>:</w:t>
      </w:r>
    </w:p>
    <w:p w:rsidR="00CE020B" w:rsidRPr="00E7281E" w:rsidRDefault="00CE020B" w:rsidP="00E7281E">
      <w:pPr>
        <w:pStyle w:val="NormalwithBullets"/>
      </w:pPr>
      <w:r w:rsidRPr="00FD1194">
        <w:t xml:space="preserve">Construct a 69 kV substation on </w:t>
      </w:r>
      <w:r w:rsidR="00E36923" w:rsidRPr="00A77CF0">
        <w:t xml:space="preserve">the </w:t>
      </w:r>
      <w:r w:rsidRPr="00E7281E">
        <w:t>AEP Carrizo – Crystal City 69 kV line and loop the STEC Brundage – Carrizo Springs 69 kV line into it</w:t>
      </w:r>
    </w:p>
    <w:p w:rsidR="00CE020B" w:rsidRPr="00E7281E" w:rsidRDefault="00CE020B" w:rsidP="00E7281E">
      <w:pPr>
        <w:pStyle w:val="NormalwithBullets"/>
      </w:pPr>
      <w:r w:rsidRPr="00E7281E">
        <w:t xml:space="preserve">Upgrade the autotransformer at Asherton so that the </w:t>
      </w:r>
      <w:r w:rsidR="00E36923" w:rsidRPr="00E7281E">
        <w:t>R</w:t>
      </w:r>
      <w:r w:rsidRPr="00E7281E">
        <w:t>ate B is at least 150 MVA</w:t>
      </w:r>
    </w:p>
    <w:p w:rsidR="00CE020B" w:rsidRPr="00E7281E" w:rsidRDefault="00CE020B" w:rsidP="00E7281E">
      <w:pPr>
        <w:pStyle w:val="NormalwithBullets"/>
      </w:pPr>
      <w:r w:rsidRPr="00E7281E">
        <w:t xml:space="preserve">Upgrade </w:t>
      </w:r>
      <w:r w:rsidR="00E36923" w:rsidRPr="00E7281E">
        <w:t xml:space="preserve">the </w:t>
      </w:r>
      <w:r w:rsidRPr="00E7281E">
        <w:t>Asherton – Carrizo 69 kV line (approx. 8.3 miles) so that the circuit Rate B is at least 120 MVA</w:t>
      </w:r>
    </w:p>
    <w:p w:rsidR="00CE020B" w:rsidRPr="00E7281E" w:rsidRDefault="00CE020B" w:rsidP="00E7281E">
      <w:pPr>
        <w:pStyle w:val="NormalwithBullets"/>
      </w:pPr>
      <w:r w:rsidRPr="00E7281E">
        <w:t xml:space="preserve">Upgrade </w:t>
      </w:r>
      <w:r w:rsidR="00E36923" w:rsidRPr="00E7281E">
        <w:t xml:space="preserve">the </w:t>
      </w:r>
      <w:r w:rsidRPr="00E7281E">
        <w:t>Dilley – Cotulla 69 kV line (approx.15.8 miles) so that the circuit Rate B is at least 120 MVA</w:t>
      </w:r>
    </w:p>
    <w:p w:rsidR="00CE020B" w:rsidRPr="00E7281E" w:rsidRDefault="00CE020B" w:rsidP="00E7281E">
      <w:pPr>
        <w:pStyle w:val="NormalwithBullets"/>
      </w:pPr>
      <w:r w:rsidRPr="00E7281E">
        <w:t>Add 9.6 M</w:t>
      </w:r>
      <w:r w:rsidR="00F502CB" w:rsidRPr="00E7281E">
        <w:t>VAR</w:t>
      </w:r>
      <w:r w:rsidRPr="00E7281E">
        <w:t xml:space="preserve"> capacitor banks at Crystal City</w:t>
      </w:r>
      <w:r w:rsidR="00E36923" w:rsidRPr="00E7281E">
        <w:t>,</w:t>
      </w:r>
      <w:r w:rsidRPr="00E7281E">
        <w:t xml:space="preserve"> </w:t>
      </w:r>
      <w:r w:rsidR="00B31D41">
        <w:t>Big Wells</w:t>
      </w:r>
      <w:r w:rsidR="00E36923" w:rsidRPr="00E7281E">
        <w:t>,</w:t>
      </w:r>
      <w:r w:rsidRPr="00E7281E">
        <w:t xml:space="preserve"> and Freer 69 kV substations</w:t>
      </w:r>
    </w:p>
    <w:p w:rsidR="00CE020B" w:rsidRPr="00CE020B" w:rsidRDefault="00CE020B" w:rsidP="00E7281E">
      <w:pPr>
        <w:pStyle w:val="NormalwithBullets"/>
      </w:pPr>
      <w:r w:rsidRPr="00E7281E">
        <w:t xml:space="preserve">Add </w:t>
      </w:r>
      <w:r w:rsidR="00E36923" w:rsidRPr="00E7281E">
        <w:t xml:space="preserve">a </w:t>
      </w:r>
      <w:r w:rsidRPr="00E7281E">
        <w:t xml:space="preserve">14.4 </w:t>
      </w:r>
      <w:r w:rsidR="00E24A92" w:rsidRPr="00E7281E">
        <w:t>MVAR</w:t>
      </w:r>
      <w:r w:rsidRPr="00E7281E">
        <w:t xml:space="preserve"> cap</w:t>
      </w:r>
      <w:r w:rsidR="00E36923" w:rsidRPr="00E7281E">
        <w:t>acitor</w:t>
      </w:r>
      <w:r w:rsidRPr="00CE020B">
        <w:t xml:space="preserve"> bank at Carrizo Springs 69 kV substation</w:t>
      </w:r>
    </w:p>
    <w:p w:rsidR="001C15B1" w:rsidRDefault="001C15B1" w:rsidP="00E7281E"/>
    <w:p w:rsidR="004547C5" w:rsidRDefault="0063152A" w:rsidP="00E7281E">
      <w:r>
        <w:t>The total co</w:t>
      </w:r>
      <w:r w:rsidR="00AF28EA">
        <w:t xml:space="preserve">st estimate </w:t>
      </w:r>
      <w:r w:rsidR="004547C5">
        <w:t xml:space="preserve">for </w:t>
      </w:r>
      <w:r w:rsidR="00604EAA">
        <w:t xml:space="preserve">Option </w:t>
      </w:r>
      <w:r w:rsidR="00CE020B">
        <w:t>A including common upgrades</w:t>
      </w:r>
      <w:r w:rsidR="004547C5">
        <w:t xml:space="preserve"> </w:t>
      </w:r>
      <w:r w:rsidR="00AF28EA">
        <w:t>is approximately $</w:t>
      </w:r>
      <w:r w:rsidR="005829EE">
        <w:t xml:space="preserve">64 </w:t>
      </w:r>
      <w:r>
        <w:t>million.</w:t>
      </w:r>
      <w:r w:rsidR="004F7FBC" w:rsidRPr="004F7FBC">
        <w:t xml:space="preserve"> </w:t>
      </w:r>
    </w:p>
    <w:p w:rsidR="001A0476" w:rsidRDefault="001A0476" w:rsidP="00E7281E">
      <w:r>
        <w:t>Figure II below shows the trans</w:t>
      </w:r>
      <w:r w:rsidR="001C15B1">
        <w:t>m</w:t>
      </w:r>
      <w:r>
        <w:t>iss</w:t>
      </w:r>
      <w:r w:rsidR="00911792">
        <w:t>i</w:t>
      </w:r>
      <w:r w:rsidR="00CE020B">
        <w:t xml:space="preserve">on topology related to Option </w:t>
      </w:r>
      <w:proofErr w:type="gramStart"/>
      <w:r w:rsidR="00CE020B">
        <w:t>A</w:t>
      </w:r>
      <w:proofErr w:type="gramEnd"/>
      <w:r>
        <w:t xml:space="preserve"> upgrades:</w:t>
      </w:r>
    </w:p>
    <w:p w:rsidR="0033355E" w:rsidRPr="00FD1194" w:rsidRDefault="00C63208" w:rsidP="00E7281E">
      <w:pPr>
        <w:pStyle w:val="NormalCenter"/>
      </w:pPr>
      <w:r>
        <w:rPr>
          <w:iCs/>
          <w:noProof/>
          <w:sz w:val="21"/>
        </w:rPr>
        <w:lastRenderedPageBreak/>
        <w:drawing>
          <wp:anchor distT="0" distB="0" distL="114300" distR="114300" simplePos="0" relativeHeight="251656704" behindDoc="0" locked="0" layoutInCell="1" allowOverlap="1" wp14:anchorId="5E01C833" wp14:editId="056A282B">
            <wp:simplePos x="0" y="0"/>
            <wp:positionH relativeFrom="column">
              <wp:posOffset>571500</wp:posOffset>
            </wp:positionH>
            <wp:positionV relativeFrom="paragraph">
              <wp:posOffset>209550</wp:posOffset>
            </wp:positionV>
            <wp:extent cx="5355590" cy="3773805"/>
            <wp:effectExtent l="0" t="0" r="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onA.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55590" cy="3773805"/>
                    </a:xfrm>
                    <a:prstGeom prst="rect">
                      <a:avLst/>
                    </a:prstGeom>
                  </pic:spPr>
                </pic:pic>
              </a:graphicData>
            </a:graphic>
            <wp14:sizeRelH relativeFrom="margin">
              <wp14:pctWidth>0</wp14:pctWidth>
            </wp14:sizeRelH>
            <wp14:sizeRelV relativeFrom="margin">
              <wp14:pctHeight>0</wp14:pctHeight>
            </wp14:sizeRelV>
          </wp:anchor>
        </w:drawing>
      </w:r>
    </w:p>
    <w:p w:rsidR="00640F35" w:rsidRPr="00135D6D" w:rsidRDefault="00850F65" w:rsidP="00E7281E">
      <w:pPr>
        <w:pStyle w:val="NormalCenter"/>
      </w:pPr>
      <w:r w:rsidRPr="00A77CF0">
        <w:t>F</w:t>
      </w:r>
      <w:r w:rsidR="00911792" w:rsidRPr="00E7281E">
        <w:t>igure</w:t>
      </w:r>
      <w:r w:rsidR="00640F35" w:rsidRPr="00E7281E">
        <w:t xml:space="preserve"> </w:t>
      </w:r>
      <w:r w:rsidR="00EB64CC" w:rsidRPr="00E7281E">
        <w:t>I</w:t>
      </w:r>
      <w:r w:rsidR="00640F35" w:rsidRPr="00E7281E">
        <w:t xml:space="preserve">I: </w:t>
      </w:r>
      <w:r w:rsidR="00EB64CC" w:rsidRPr="00E7281E">
        <w:t>Option</w:t>
      </w:r>
      <w:r w:rsidR="00EB64CC">
        <w:t xml:space="preserve"> </w:t>
      </w:r>
      <w:proofErr w:type="gramStart"/>
      <w:r w:rsidR="00EB64CC">
        <w:t>A</w:t>
      </w:r>
      <w:proofErr w:type="gramEnd"/>
      <w:r w:rsidR="00640F35">
        <w:t xml:space="preserve"> Upgrades</w:t>
      </w:r>
    </w:p>
    <w:p w:rsidR="00640F35" w:rsidRDefault="00640F35" w:rsidP="00E7281E"/>
    <w:p w:rsidR="00CE020B" w:rsidRDefault="004547C5" w:rsidP="00E7281E">
      <w:r>
        <w:t>The n-1 (AC contingency) analysis s</w:t>
      </w:r>
      <w:r w:rsidR="00CE020B">
        <w:t>howed no overload</w:t>
      </w:r>
      <w:r w:rsidR="00DA1936">
        <w:t xml:space="preserve">s with </w:t>
      </w:r>
      <w:r w:rsidR="00E36923">
        <w:t>O</w:t>
      </w:r>
      <w:r w:rsidR="00DA1936">
        <w:t>ption A</w:t>
      </w:r>
      <w:r>
        <w:t xml:space="preserve">. Full AC Contingency results </w:t>
      </w:r>
      <w:r w:rsidR="004D7D40">
        <w:t>are provided in the Appendices C and D</w:t>
      </w:r>
      <w:r>
        <w:t xml:space="preserve"> for</w:t>
      </w:r>
      <w:r w:rsidR="005207B0">
        <w:t xml:space="preserve"> the</w:t>
      </w:r>
      <w:r>
        <w:t xml:space="preserve"> </w:t>
      </w:r>
      <w:r w:rsidR="00CE020B">
        <w:t>2017 and 2021</w:t>
      </w:r>
      <w:r>
        <w:t xml:space="preserve"> </w:t>
      </w:r>
      <w:r w:rsidR="00CE020B">
        <w:t>loading</w:t>
      </w:r>
      <w:r w:rsidR="00E773E4">
        <w:t xml:space="preserve"> cases</w:t>
      </w:r>
      <w:r>
        <w:t>, respectively.</w:t>
      </w:r>
    </w:p>
    <w:p w:rsidR="00CE020B" w:rsidRDefault="00CE020B" w:rsidP="00E7281E"/>
    <w:p w:rsidR="00EB64CC" w:rsidRDefault="00EB64CC" w:rsidP="00E7281E">
      <w:pPr>
        <w:pStyle w:val="NormalwithEmphasis"/>
      </w:pPr>
      <w:r>
        <w:t>Option B (BEVO 69/138 kV substation)</w:t>
      </w:r>
      <w:r w:rsidRPr="00BA45D6">
        <w:t>:</w:t>
      </w:r>
    </w:p>
    <w:p w:rsidR="00947901" w:rsidRPr="00E7281E" w:rsidRDefault="005829EE" w:rsidP="00E7281E">
      <w:pPr>
        <w:pStyle w:val="NormalwithBullets"/>
      </w:pPr>
      <w:r w:rsidRPr="00FD1194">
        <w:t>Construct a 138/69 kV BEVO</w:t>
      </w:r>
      <w:r w:rsidR="00390AED" w:rsidRPr="00A77CF0">
        <w:t xml:space="preserve"> substation near where</w:t>
      </w:r>
      <w:r w:rsidR="00E36923" w:rsidRPr="00E7281E">
        <w:t xml:space="preserve"> the</w:t>
      </w:r>
      <w:r w:rsidR="00390AED" w:rsidRPr="00E7281E">
        <w:t xml:space="preserve"> </w:t>
      </w:r>
      <w:r w:rsidR="00F154FC">
        <w:t>LCRA (TSC)</w:t>
      </w:r>
      <w:r w:rsidR="00390AED" w:rsidRPr="00E7281E">
        <w:t xml:space="preserve"> </w:t>
      </w:r>
      <w:proofErr w:type="spellStart"/>
      <w:r w:rsidR="00390AED" w:rsidRPr="00E7281E">
        <w:t>Asherton</w:t>
      </w:r>
      <w:proofErr w:type="spellEnd"/>
      <w:r w:rsidR="00390AED" w:rsidRPr="00E7281E">
        <w:t xml:space="preserve"> – Conoco </w:t>
      </w:r>
      <w:proofErr w:type="spellStart"/>
      <w:r w:rsidR="00390AED" w:rsidRPr="00E7281E">
        <w:t>Chittam</w:t>
      </w:r>
      <w:proofErr w:type="spellEnd"/>
      <w:r w:rsidR="00390AED" w:rsidRPr="00E7281E">
        <w:t xml:space="preserve"> </w:t>
      </w:r>
      <w:r w:rsidR="00A6632E">
        <w:t xml:space="preserve">Tap </w:t>
      </w:r>
      <w:r w:rsidR="00390AED" w:rsidRPr="00E7281E">
        <w:t xml:space="preserve">138 kV line crosses </w:t>
      </w:r>
      <w:r w:rsidR="00E36923" w:rsidRPr="00E7281E">
        <w:t xml:space="preserve">the </w:t>
      </w:r>
      <w:r w:rsidR="00390AED" w:rsidRPr="00E7281E">
        <w:t>STEC Carrizo Springs – West Crystal 69 kV line. Add a (69/138 kV) 150 MVA auto</w:t>
      </w:r>
      <w:r w:rsidR="00E36923" w:rsidRPr="00E7281E">
        <w:t>transformer</w:t>
      </w:r>
      <w:r w:rsidR="00390AED" w:rsidRPr="00E7281E">
        <w:t xml:space="preserve"> at BEVO</w:t>
      </w:r>
      <w:r w:rsidR="00C63208" w:rsidRPr="00E7281E">
        <w:t>.</w:t>
      </w:r>
    </w:p>
    <w:p w:rsidR="00947901" w:rsidRPr="00E7281E" w:rsidRDefault="00390AED" w:rsidP="00E7281E">
      <w:pPr>
        <w:pStyle w:val="NormalwithBullets"/>
      </w:pPr>
      <w:r w:rsidRPr="00E7281E">
        <w:t xml:space="preserve">Upgrade the autotransformer at Asherton so that the </w:t>
      </w:r>
      <w:r w:rsidR="00E36923" w:rsidRPr="00E7281E">
        <w:t>R</w:t>
      </w:r>
      <w:r w:rsidRPr="00E7281E">
        <w:t>ate B is at least 150 MVA</w:t>
      </w:r>
      <w:r w:rsidR="00C63208" w:rsidRPr="00E7281E">
        <w:t>.</w:t>
      </w:r>
    </w:p>
    <w:p w:rsidR="00947901" w:rsidRPr="00E7281E" w:rsidRDefault="00390AED" w:rsidP="00E7281E">
      <w:pPr>
        <w:pStyle w:val="NormalwithBullets"/>
      </w:pPr>
      <w:r w:rsidRPr="00E7281E">
        <w:t xml:space="preserve">Upgrade </w:t>
      </w:r>
      <w:r w:rsidR="00E36923" w:rsidRPr="00E7281E">
        <w:t xml:space="preserve">the </w:t>
      </w:r>
      <w:r w:rsidRPr="00E7281E">
        <w:t>Asherton – Carrizo 69 kV line (approx. 8.3 miles) so that the circuit Rate B is at least 120 MVA</w:t>
      </w:r>
      <w:r w:rsidR="00C63208" w:rsidRPr="00E7281E">
        <w:t>.</w:t>
      </w:r>
    </w:p>
    <w:p w:rsidR="00947901" w:rsidRPr="00E7281E" w:rsidRDefault="00390AED" w:rsidP="00E7281E">
      <w:pPr>
        <w:pStyle w:val="NormalwithBullets"/>
      </w:pPr>
      <w:r w:rsidRPr="00E7281E">
        <w:t xml:space="preserve">Upgrade </w:t>
      </w:r>
      <w:r w:rsidR="00E36923" w:rsidRPr="00E7281E">
        <w:t xml:space="preserve">the </w:t>
      </w:r>
      <w:r w:rsidRPr="00E7281E">
        <w:t>Dilley – Cotulla 69 kV line (approx.15.8 miles) so that the circuit Rate B is at least 120 MVA</w:t>
      </w:r>
      <w:r w:rsidR="00C63208" w:rsidRPr="00E7281E">
        <w:t>.</w:t>
      </w:r>
    </w:p>
    <w:p w:rsidR="00947901" w:rsidRPr="00E7281E" w:rsidRDefault="00F502CB" w:rsidP="00E7281E">
      <w:pPr>
        <w:pStyle w:val="NormalwithBullets"/>
      </w:pPr>
      <w:r w:rsidRPr="00E7281E">
        <w:t>Add 9.6 MVAR</w:t>
      </w:r>
      <w:r w:rsidR="00390AED" w:rsidRPr="00E7281E">
        <w:t xml:space="preserve"> capacitor banks at Big</w:t>
      </w:r>
      <w:r w:rsidR="00B31D41">
        <w:t xml:space="preserve"> W</w:t>
      </w:r>
      <w:r w:rsidR="00390AED" w:rsidRPr="00E7281E">
        <w:t>ells and Freer 69 kV substations</w:t>
      </w:r>
      <w:r w:rsidR="00C63208" w:rsidRPr="00E7281E">
        <w:t>.</w:t>
      </w:r>
    </w:p>
    <w:p w:rsidR="00947901" w:rsidRPr="00EB64CC" w:rsidRDefault="00390AED" w:rsidP="00E7281E">
      <w:pPr>
        <w:pStyle w:val="NormalwithBullets"/>
      </w:pPr>
      <w:r w:rsidRPr="00E7281E">
        <w:t xml:space="preserve">Add </w:t>
      </w:r>
      <w:r w:rsidR="00E36923" w:rsidRPr="00E7281E">
        <w:t xml:space="preserve">a </w:t>
      </w:r>
      <w:r w:rsidRPr="00E7281E">
        <w:t>14.4 M</w:t>
      </w:r>
      <w:r w:rsidR="00F502CB" w:rsidRPr="00E7281E">
        <w:t>VAR</w:t>
      </w:r>
      <w:r w:rsidRPr="00E7281E">
        <w:t xml:space="preserve"> cap</w:t>
      </w:r>
      <w:r w:rsidR="00E36923" w:rsidRPr="00E7281E">
        <w:t>acitor</w:t>
      </w:r>
      <w:r w:rsidRPr="00E7281E">
        <w:t xml:space="preserve"> bank</w:t>
      </w:r>
      <w:r w:rsidRPr="00EB64CC">
        <w:t xml:space="preserve"> at Carrizo Springs 69 kV substation</w:t>
      </w:r>
      <w:r w:rsidR="00C63208">
        <w:t>.</w:t>
      </w:r>
    </w:p>
    <w:p w:rsidR="00CE020B" w:rsidRDefault="00CE020B" w:rsidP="00E7281E"/>
    <w:p w:rsidR="004D7D40" w:rsidRDefault="004D7D40" w:rsidP="00E7281E">
      <w:r>
        <w:lastRenderedPageBreak/>
        <w:t>The total cost estimate for Option B including common upgrades is approximately $6</w:t>
      </w:r>
      <w:r w:rsidR="005829EE">
        <w:t>6</w:t>
      </w:r>
      <w:r>
        <w:t xml:space="preserve"> million.</w:t>
      </w:r>
      <w:r w:rsidRPr="004F7FBC">
        <w:t xml:space="preserve"> </w:t>
      </w:r>
    </w:p>
    <w:p w:rsidR="004D7D40" w:rsidRDefault="004D7D40" w:rsidP="00E7281E">
      <w:r>
        <w:t>Figure III below shows the transmission topology related to Option B upgrades</w:t>
      </w:r>
      <w:r w:rsidR="000547DB">
        <w:t>:</w:t>
      </w:r>
    </w:p>
    <w:p w:rsidR="004D7D40" w:rsidRDefault="004D7D40" w:rsidP="00E7281E">
      <w:r>
        <w:rPr>
          <w:noProof/>
        </w:rPr>
        <w:drawing>
          <wp:anchor distT="0" distB="0" distL="114300" distR="114300" simplePos="0" relativeHeight="251657728" behindDoc="0" locked="0" layoutInCell="1" allowOverlap="1" wp14:anchorId="0364143E" wp14:editId="31694BF7">
            <wp:simplePos x="0" y="0"/>
            <wp:positionH relativeFrom="column">
              <wp:posOffset>590550</wp:posOffset>
            </wp:positionH>
            <wp:positionV relativeFrom="paragraph">
              <wp:posOffset>111125</wp:posOffset>
            </wp:positionV>
            <wp:extent cx="5218430" cy="3775075"/>
            <wp:effectExtent l="0" t="0" r="127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onB.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18430" cy="3775075"/>
                    </a:xfrm>
                    <a:prstGeom prst="rect">
                      <a:avLst/>
                    </a:prstGeom>
                  </pic:spPr>
                </pic:pic>
              </a:graphicData>
            </a:graphic>
          </wp:anchor>
        </w:drawing>
      </w:r>
    </w:p>
    <w:p w:rsidR="004D7D40" w:rsidRPr="00135D6D" w:rsidRDefault="004D7D40" w:rsidP="00E7281E">
      <w:pPr>
        <w:pStyle w:val="NormalCenter"/>
      </w:pPr>
      <w:r>
        <w:t>Figure</w:t>
      </w:r>
      <w:r w:rsidRPr="004C6A65">
        <w:t xml:space="preserve"> </w:t>
      </w:r>
      <w:r>
        <w:t>II</w:t>
      </w:r>
      <w:r w:rsidRPr="004C6A65">
        <w:t xml:space="preserve">I: </w:t>
      </w:r>
      <w:r>
        <w:t>Option B Upgrades</w:t>
      </w:r>
    </w:p>
    <w:p w:rsidR="004D7D40" w:rsidRDefault="004D7D40" w:rsidP="00E7281E"/>
    <w:p w:rsidR="004D7D40" w:rsidRDefault="004D7D40" w:rsidP="00E7281E">
      <w:r>
        <w:t xml:space="preserve">The n-1 (AC contingency) analysis showed no overloads with </w:t>
      </w:r>
      <w:r w:rsidR="000547DB">
        <w:t xml:space="preserve">Option </w:t>
      </w:r>
      <w:r>
        <w:t>B. Full AC Contingency results are provided in the Appendices E and F for the 2017 and 2021 loading</w:t>
      </w:r>
      <w:r w:rsidR="00E773E4">
        <w:t xml:space="preserve"> cases</w:t>
      </w:r>
      <w:r>
        <w:t>, respectively.</w:t>
      </w:r>
    </w:p>
    <w:p w:rsidR="004D7D40" w:rsidRDefault="004D7D40" w:rsidP="00E7281E"/>
    <w:p w:rsidR="0080582D" w:rsidRDefault="0080582D" w:rsidP="00E7281E">
      <w:pPr>
        <w:pStyle w:val="NormalwithEmphasis"/>
      </w:pPr>
      <w:r>
        <w:t>Option C (69</w:t>
      </w:r>
      <w:r w:rsidR="00DA1936">
        <w:t xml:space="preserve">kV HUB and Union </w:t>
      </w:r>
      <w:r w:rsidRPr="00FD1194">
        <w:t>substation</w:t>
      </w:r>
      <w:r>
        <w:t>)</w:t>
      </w:r>
      <w:r w:rsidRPr="00BA45D6">
        <w:t>:</w:t>
      </w:r>
    </w:p>
    <w:p w:rsidR="00947901" w:rsidRPr="00E7281E" w:rsidRDefault="00390AED" w:rsidP="00E7281E">
      <w:pPr>
        <w:pStyle w:val="NormalwithBullets"/>
      </w:pPr>
      <w:r w:rsidRPr="0080582D">
        <w:t xml:space="preserve">Construct a </w:t>
      </w:r>
      <w:r w:rsidRPr="00FD1194">
        <w:t xml:space="preserve">138/69 kV Union substation near where </w:t>
      </w:r>
      <w:r w:rsidR="000547DB" w:rsidRPr="00A77CF0">
        <w:t xml:space="preserve">the </w:t>
      </w:r>
      <w:r w:rsidRPr="00E7281E">
        <w:t xml:space="preserve">AEP West Bates – Asherton 138 kV line crosses </w:t>
      </w:r>
      <w:r w:rsidR="000547DB" w:rsidRPr="00E7281E">
        <w:t xml:space="preserve">the </w:t>
      </w:r>
      <w:r w:rsidRPr="00E7281E">
        <w:t>STEC Carrizo Springs – Brundage 69 kV line. Add a (69/138 kV) 150 MVA auto at UNION substation</w:t>
      </w:r>
      <w:r w:rsidR="00C63208" w:rsidRPr="00E7281E">
        <w:t>.</w:t>
      </w:r>
    </w:p>
    <w:p w:rsidR="00947901" w:rsidRPr="00E7281E" w:rsidRDefault="00390AED" w:rsidP="00E7281E">
      <w:pPr>
        <w:pStyle w:val="NormalwithBullets"/>
      </w:pPr>
      <w:r w:rsidRPr="00E7281E">
        <w:t xml:space="preserve">Construct a 69 kV substation on </w:t>
      </w:r>
      <w:r w:rsidR="00DF3F76" w:rsidRPr="00E7281E">
        <w:t xml:space="preserve">the </w:t>
      </w:r>
      <w:r w:rsidRPr="00E7281E">
        <w:t>AEP Carrizo – Crystal City 69 kV line and loop the STEC Brundage – Carrizo Springs 69 kV line into it</w:t>
      </w:r>
      <w:r w:rsidR="00C63208" w:rsidRPr="00E7281E">
        <w:t>.</w:t>
      </w:r>
    </w:p>
    <w:p w:rsidR="00947901" w:rsidRPr="00E7281E" w:rsidRDefault="00390AED" w:rsidP="00E7281E">
      <w:pPr>
        <w:pStyle w:val="NormalwithBullets"/>
      </w:pPr>
      <w:r w:rsidRPr="00E7281E">
        <w:t xml:space="preserve">Install reverse power relays </w:t>
      </w:r>
      <w:r w:rsidR="00DF3F76" w:rsidRPr="00E7281E">
        <w:t xml:space="preserve">on the </w:t>
      </w:r>
      <w:r w:rsidRPr="00E7281E">
        <w:t>69/138 kV Asherton autotransformer</w:t>
      </w:r>
      <w:r w:rsidR="00C63208" w:rsidRPr="00E7281E">
        <w:t>.</w:t>
      </w:r>
    </w:p>
    <w:p w:rsidR="00947901" w:rsidRPr="00E7281E" w:rsidRDefault="00F502CB" w:rsidP="00E7281E">
      <w:pPr>
        <w:pStyle w:val="NormalwithBullets"/>
      </w:pPr>
      <w:r w:rsidRPr="00E7281E">
        <w:t>Add 9.6 MVAR</w:t>
      </w:r>
      <w:r w:rsidR="00390AED" w:rsidRPr="00E7281E">
        <w:t xml:space="preserve"> capacitor banks at Big</w:t>
      </w:r>
      <w:r w:rsidR="00B31D41">
        <w:t xml:space="preserve"> W</w:t>
      </w:r>
      <w:r w:rsidR="00390AED" w:rsidRPr="00E7281E">
        <w:t>ells and Freer 69 kV substations</w:t>
      </w:r>
      <w:r w:rsidR="00C63208" w:rsidRPr="00E7281E">
        <w:t>.</w:t>
      </w:r>
    </w:p>
    <w:p w:rsidR="00947901" w:rsidRPr="00E7281E" w:rsidRDefault="00390AED" w:rsidP="00E7281E">
      <w:pPr>
        <w:pStyle w:val="NormalwithBullets"/>
      </w:pPr>
      <w:r w:rsidRPr="00E7281E">
        <w:t>Add</w:t>
      </w:r>
      <w:r w:rsidR="00DF3F76" w:rsidRPr="00E7281E">
        <w:t xml:space="preserve"> a</w:t>
      </w:r>
      <w:r w:rsidRPr="00E7281E">
        <w:t xml:space="preserve"> 14.4 M</w:t>
      </w:r>
      <w:r w:rsidR="00F502CB" w:rsidRPr="00E7281E">
        <w:t>VAR</w:t>
      </w:r>
      <w:r w:rsidRPr="00E7281E">
        <w:t xml:space="preserve"> cap</w:t>
      </w:r>
      <w:r w:rsidR="00DF3F76" w:rsidRPr="00E7281E">
        <w:t>acitor</w:t>
      </w:r>
      <w:r w:rsidRPr="00E7281E">
        <w:t xml:space="preserve"> bank at Carrizo Springs 69 kV substation</w:t>
      </w:r>
      <w:r w:rsidR="00C63208" w:rsidRPr="00E7281E">
        <w:t>.</w:t>
      </w:r>
    </w:p>
    <w:p w:rsidR="00947901" w:rsidRPr="0080582D" w:rsidRDefault="00390AED" w:rsidP="00E7281E">
      <w:pPr>
        <w:pStyle w:val="NormalwithBullets"/>
      </w:pPr>
      <w:r w:rsidRPr="00E7281E">
        <w:t>Add</w:t>
      </w:r>
      <w:r w:rsidR="00DF3F76" w:rsidRPr="00E7281E">
        <w:t xml:space="preserve"> a</w:t>
      </w:r>
      <w:r w:rsidRPr="00E7281E">
        <w:t xml:space="preserve"> 4.6 M</w:t>
      </w:r>
      <w:r w:rsidR="00F502CB" w:rsidRPr="00E7281E">
        <w:t>VAR</w:t>
      </w:r>
      <w:r w:rsidRPr="00E7281E">
        <w:t xml:space="preserve"> cap</w:t>
      </w:r>
      <w:r w:rsidR="00DF3F76" w:rsidRPr="00E7281E">
        <w:t>acitor</w:t>
      </w:r>
      <w:r w:rsidRPr="00E7281E">
        <w:t xml:space="preserve"> bank at</w:t>
      </w:r>
      <w:r w:rsidRPr="0080582D">
        <w:t xml:space="preserve"> Brundage 69 kV substation</w:t>
      </w:r>
      <w:r w:rsidR="00C63208">
        <w:t>.</w:t>
      </w:r>
    </w:p>
    <w:p w:rsidR="0080582D" w:rsidRPr="00EB64CC" w:rsidRDefault="0080582D" w:rsidP="00E7281E"/>
    <w:p w:rsidR="0080582D" w:rsidRDefault="0080582D" w:rsidP="00E7281E">
      <w:r>
        <w:t xml:space="preserve">The total cost estimate for Option </w:t>
      </w:r>
      <w:r w:rsidR="003C3378">
        <w:t>C</w:t>
      </w:r>
      <w:r>
        <w:t xml:space="preserve"> including common upgrades is approximately $5</w:t>
      </w:r>
      <w:r w:rsidR="005829EE">
        <w:t xml:space="preserve">9.8 </w:t>
      </w:r>
      <w:r>
        <w:t>million.</w:t>
      </w:r>
    </w:p>
    <w:p w:rsidR="0080582D" w:rsidRDefault="0080582D" w:rsidP="00E7281E">
      <w:r>
        <w:t>Figure IV below shows the transmission topology related to Option C upgrades</w:t>
      </w:r>
      <w:r w:rsidR="00DF3F76">
        <w:t>:</w:t>
      </w:r>
    </w:p>
    <w:p w:rsidR="0080582D" w:rsidRDefault="00DA1936" w:rsidP="00E7281E">
      <w:r>
        <w:rPr>
          <w:noProof/>
        </w:rPr>
        <w:drawing>
          <wp:anchor distT="0" distB="0" distL="114300" distR="114300" simplePos="0" relativeHeight="251658752" behindDoc="0" locked="0" layoutInCell="1" allowOverlap="1" wp14:anchorId="13D4321A" wp14:editId="4E92DAF9">
            <wp:simplePos x="0" y="0"/>
            <wp:positionH relativeFrom="column">
              <wp:posOffset>561975</wp:posOffset>
            </wp:positionH>
            <wp:positionV relativeFrom="paragraph">
              <wp:posOffset>177800</wp:posOffset>
            </wp:positionV>
            <wp:extent cx="5218430" cy="3519170"/>
            <wp:effectExtent l="0" t="0" r="1270" b="508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onC.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18430" cy="3519170"/>
                    </a:xfrm>
                    <a:prstGeom prst="rect">
                      <a:avLst/>
                    </a:prstGeom>
                  </pic:spPr>
                </pic:pic>
              </a:graphicData>
            </a:graphic>
          </wp:anchor>
        </w:drawing>
      </w:r>
    </w:p>
    <w:p w:rsidR="00DA1936" w:rsidRPr="00135D6D" w:rsidRDefault="004F42E8" w:rsidP="00E7281E">
      <w:pPr>
        <w:pStyle w:val="NormalCenter"/>
      </w:pPr>
      <w:r>
        <w:t>Fi</w:t>
      </w:r>
      <w:r w:rsidR="00DA1936">
        <w:t>gure</w:t>
      </w:r>
      <w:r w:rsidR="00DA1936" w:rsidRPr="004C6A65">
        <w:t xml:space="preserve"> </w:t>
      </w:r>
      <w:r w:rsidR="00DA1936">
        <w:t>I</w:t>
      </w:r>
      <w:r w:rsidR="002B1034">
        <w:t>V</w:t>
      </w:r>
      <w:r w:rsidR="00DA1936" w:rsidRPr="004C6A65">
        <w:t xml:space="preserve">: </w:t>
      </w:r>
      <w:r w:rsidR="00DA1936">
        <w:t>Option C Upgrades</w:t>
      </w:r>
    </w:p>
    <w:p w:rsidR="00C63208" w:rsidRDefault="00C63208" w:rsidP="00E7281E"/>
    <w:p w:rsidR="00DA1936" w:rsidRDefault="002B1034" w:rsidP="00E7281E">
      <w:r>
        <w:t xml:space="preserve">The n-1 (AC contingency) analysis showed no overloads with </w:t>
      </w:r>
      <w:r w:rsidR="00DF3F76">
        <w:t xml:space="preserve">Option </w:t>
      </w:r>
      <w:r>
        <w:t>C. Full AC Contingency results are provided in the Appendices G and H for the 2017 and 2021 loading</w:t>
      </w:r>
      <w:r w:rsidR="00E773E4">
        <w:t xml:space="preserve"> cases</w:t>
      </w:r>
      <w:r>
        <w:t>, respectively.</w:t>
      </w:r>
    </w:p>
    <w:p w:rsidR="00DA1936" w:rsidRDefault="00DA1936" w:rsidP="00E7281E"/>
    <w:p w:rsidR="002032E0" w:rsidRDefault="002032E0" w:rsidP="00E7281E">
      <w:pPr>
        <w:pStyle w:val="NormalwithEmphasis"/>
      </w:pPr>
      <w:r>
        <w:t xml:space="preserve">Option D (69kV HUB and </w:t>
      </w:r>
      <w:r w:rsidR="00B31D41">
        <w:t>Big Wells</w:t>
      </w:r>
      <w:r>
        <w:t xml:space="preserve"> autotransformer)</w:t>
      </w:r>
      <w:r w:rsidRPr="00BA45D6">
        <w:t>:</w:t>
      </w:r>
    </w:p>
    <w:p w:rsidR="00947901" w:rsidRPr="004F42E8" w:rsidRDefault="00390AED" w:rsidP="00E7281E">
      <w:pPr>
        <w:pStyle w:val="NormalwithBullets"/>
      </w:pPr>
      <w:r w:rsidRPr="00FD1194">
        <w:t xml:space="preserve">Construct a 69 kV substation on </w:t>
      </w:r>
      <w:r w:rsidR="00DF3F76" w:rsidRPr="00A77CF0">
        <w:t>t</w:t>
      </w:r>
      <w:r w:rsidR="00DF3F76" w:rsidRPr="00E7281E">
        <w:t xml:space="preserve">he </w:t>
      </w:r>
      <w:r w:rsidRPr="00E7281E">
        <w:t>AEP Carrizo – Crystal City 69 kV line and loop the</w:t>
      </w:r>
      <w:r w:rsidRPr="002032E0">
        <w:t xml:space="preserve"> STEC Brundage – Carrizo </w:t>
      </w:r>
      <w:r w:rsidRPr="004F42E8">
        <w:t>Springs 69 kV line into it</w:t>
      </w:r>
      <w:r w:rsidR="005D1229" w:rsidRPr="004F42E8">
        <w:t>.</w:t>
      </w:r>
    </w:p>
    <w:p w:rsidR="00947901" w:rsidRPr="004171BC" w:rsidRDefault="00390AED" w:rsidP="00E7281E">
      <w:pPr>
        <w:pStyle w:val="NormalwithBullets"/>
      </w:pPr>
      <w:r w:rsidRPr="004171BC">
        <w:t xml:space="preserve">Add a 69/138 kV autotransformer (with reverse power relays) at </w:t>
      </w:r>
      <w:r w:rsidR="00B31D41">
        <w:t>Big Wells</w:t>
      </w:r>
      <w:r w:rsidRPr="004171BC">
        <w:t xml:space="preserve"> so the Rate B is at least 150 MVA</w:t>
      </w:r>
      <w:r w:rsidR="005D1229" w:rsidRPr="004171BC">
        <w:t>.</w:t>
      </w:r>
    </w:p>
    <w:p w:rsidR="00947901" w:rsidRPr="00E7281E" w:rsidRDefault="00390AED" w:rsidP="00E7281E">
      <w:pPr>
        <w:pStyle w:val="NormalwithBullets"/>
      </w:pPr>
      <w:r w:rsidRPr="00FD1194">
        <w:t xml:space="preserve">Install reverse power relays </w:t>
      </w:r>
      <w:r w:rsidR="00DF3F76" w:rsidRPr="00A77CF0">
        <w:t xml:space="preserve">on the </w:t>
      </w:r>
      <w:r w:rsidRPr="00E7281E">
        <w:t>69/138 kV autotransformer at Asherton</w:t>
      </w:r>
      <w:r w:rsidR="005D1229" w:rsidRPr="00E7281E">
        <w:t>.</w:t>
      </w:r>
    </w:p>
    <w:p w:rsidR="00947901" w:rsidRPr="00E7281E" w:rsidRDefault="00390AED" w:rsidP="00E7281E">
      <w:pPr>
        <w:pStyle w:val="NormalwithBullets"/>
      </w:pPr>
      <w:r w:rsidRPr="00E7281E">
        <w:t xml:space="preserve">Upgrade </w:t>
      </w:r>
      <w:r w:rsidR="00DF3F76" w:rsidRPr="00E7281E">
        <w:t xml:space="preserve">the </w:t>
      </w:r>
      <w:r w:rsidR="00B31D41">
        <w:t>Big Wells</w:t>
      </w:r>
      <w:r w:rsidRPr="00E7281E">
        <w:t xml:space="preserve"> – </w:t>
      </w:r>
      <w:proofErr w:type="spellStart"/>
      <w:r w:rsidRPr="00E7281E">
        <w:t>Brundage</w:t>
      </w:r>
      <w:proofErr w:type="spellEnd"/>
      <w:r w:rsidRPr="00E7281E">
        <w:t xml:space="preserve"> 69 kV line (approx. 11.10 miles) so that the circuit Rate B is 120 MVA</w:t>
      </w:r>
      <w:r w:rsidR="005D1229" w:rsidRPr="00E7281E">
        <w:t>.</w:t>
      </w:r>
    </w:p>
    <w:p w:rsidR="00947901" w:rsidRPr="00E7281E" w:rsidRDefault="00390AED" w:rsidP="00E7281E">
      <w:pPr>
        <w:pStyle w:val="NormalwithBullets"/>
      </w:pPr>
      <w:r w:rsidRPr="00E7281E">
        <w:t xml:space="preserve">Add </w:t>
      </w:r>
      <w:r w:rsidR="00DF3F76" w:rsidRPr="00E7281E">
        <w:t xml:space="preserve">a </w:t>
      </w:r>
      <w:r w:rsidRPr="00E7281E">
        <w:t xml:space="preserve">9.6 </w:t>
      </w:r>
      <w:r w:rsidR="009B58C3" w:rsidRPr="00E7281E">
        <w:t>MVAR</w:t>
      </w:r>
      <w:r w:rsidRPr="00E7281E">
        <w:t xml:space="preserve"> capacitor bank</w:t>
      </w:r>
      <w:r w:rsidR="00DF3F76" w:rsidRPr="00E7281E">
        <w:t xml:space="preserve"> at</w:t>
      </w:r>
      <w:r w:rsidRPr="00E7281E">
        <w:t xml:space="preserve"> Freer 69 kV substation</w:t>
      </w:r>
      <w:r w:rsidR="005D1229" w:rsidRPr="00E7281E">
        <w:t>.</w:t>
      </w:r>
    </w:p>
    <w:p w:rsidR="00947901" w:rsidRPr="00E7281E" w:rsidRDefault="00390AED" w:rsidP="00E7281E">
      <w:pPr>
        <w:pStyle w:val="NormalwithBullets"/>
      </w:pPr>
      <w:r w:rsidRPr="00E7281E">
        <w:t xml:space="preserve">Add </w:t>
      </w:r>
      <w:r w:rsidR="00DF3F76" w:rsidRPr="00E7281E">
        <w:t xml:space="preserve">a </w:t>
      </w:r>
      <w:r w:rsidRPr="00E7281E">
        <w:t xml:space="preserve">14.4 </w:t>
      </w:r>
      <w:r w:rsidR="009B58C3" w:rsidRPr="00E7281E">
        <w:t>MVAR</w:t>
      </w:r>
      <w:r w:rsidRPr="00E7281E">
        <w:t xml:space="preserve"> cap</w:t>
      </w:r>
      <w:r w:rsidR="00DF3F76" w:rsidRPr="00E7281E">
        <w:t>acitor</w:t>
      </w:r>
      <w:r w:rsidRPr="00E7281E">
        <w:t xml:space="preserve"> bank at Carrizo Springs 69 kV substation</w:t>
      </w:r>
      <w:r w:rsidR="005D1229" w:rsidRPr="00E7281E">
        <w:t>.</w:t>
      </w:r>
    </w:p>
    <w:p w:rsidR="00947901" w:rsidRPr="002032E0" w:rsidRDefault="00390AED" w:rsidP="00E7281E">
      <w:pPr>
        <w:pStyle w:val="NormalwithBullets"/>
      </w:pPr>
      <w:r w:rsidRPr="00E7281E">
        <w:lastRenderedPageBreak/>
        <w:t xml:space="preserve">Add </w:t>
      </w:r>
      <w:r w:rsidR="00DF3F76" w:rsidRPr="00E7281E">
        <w:t xml:space="preserve">a </w:t>
      </w:r>
      <w:r w:rsidRPr="00E7281E">
        <w:t xml:space="preserve">4.6 </w:t>
      </w:r>
      <w:r w:rsidR="009B58C3" w:rsidRPr="00E7281E">
        <w:t>MVAR</w:t>
      </w:r>
      <w:r w:rsidRPr="00E7281E">
        <w:t xml:space="preserve"> cap</w:t>
      </w:r>
      <w:r w:rsidR="00DF3F76" w:rsidRPr="00E7281E">
        <w:t>acitor</w:t>
      </w:r>
      <w:r w:rsidRPr="00E7281E">
        <w:t xml:space="preserve"> bank at Brundage</w:t>
      </w:r>
      <w:r w:rsidRPr="002032E0">
        <w:t xml:space="preserve"> 69 kV substation</w:t>
      </w:r>
      <w:r w:rsidR="005D1229">
        <w:t>.</w:t>
      </w:r>
    </w:p>
    <w:p w:rsidR="002032E0" w:rsidRPr="0080582D" w:rsidRDefault="002032E0" w:rsidP="00E7281E"/>
    <w:p w:rsidR="002032E0" w:rsidRDefault="002032E0" w:rsidP="00E7281E">
      <w:r>
        <w:t>The total cost estimate for Option D including common upgrades is approximately $</w:t>
      </w:r>
      <w:r w:rsidR="005829EE">
        <w:t>60.8</w:t>
      </w:r>
      <w:r>
        <w:t xml:space="preserve"> million.</w:t>
      </w:r>
    </w:p>
    <w:p w:rsidR="00DA1936" w:rsidRDefault="002032E0" w:rsidP="00E7281E">
      <w:r>
        <w:t>Figure V below shows the transmission topology related to Option D upgrades</w:t>
      </w:r>
      <w:r w:rsidR="00DF3F76">
        <w:t>:</w:t>
      </w:r>
    </w:p>
    <w:p w:rsidR="00F6472F" w:rsidRDefault="00A21CA3" w:rsidP="00E7281E">
      <w:pPr>
        <w:pStyle w:val="NormalCenter"/>
      </w:pPr>
      <w:r>
        <w:rPr>
          <w:iCs/>
          <w:noProof/>
          <w:sz w:val="21"/>
        </w:rPr>
        <w:drawing>
          <wp:anchor distT="0" distB="0" distL="114300" distR="114300" simplePos="0" relativeHeight="251659776" behindDoc="0" locked="0" layoutInCell="1" allowOverlap="1" wp14:anchorId="05DE5D7A" wp14:editId="3EB4C71F">
            <wp:simplePos x="0" y="0"/>
            <wp:positionH relativeFrom="column">
              <wp:posOffset>561975</wp:posOffset>
            </wp:positionH>
            <wp:positionV relativeFrom="paragraph">
              <wp:posOffset>28575</wp:posOffset>
            </wp:positionV>
            <wp:extent cx="5356860" cy="3775075"/>
            <wp:effectExtent l="0" t="0" r="0"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onD.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56860" cy="3775075"/>
                    </a:xfrm>
                    <a:prstGeom prst="rect">
                      <a:avLst/>
                    </a:prstGeom>
                  </pic:spPr>
                </pic:pic>
              </a:graphicData>
            </a:graphic>
          </wp:anchor>
        </w:drawing>
      </w:r>
    </w:p>
    <w:p w:rsidR="00A21CA3" w:rsidRPr="00135D6D" w:rsidRDefault="00A21CA3" w:rsidP="00E7281E">
      <w:pPr>
        <w:pStyle w:val="NormalCenter"/>
      </w:pPr>
      <w:r>
        <w:t>Figure</w:t>
      </w:r>
      <w:r w:rsidRPr="004C6A65">
        <w:t xml:space="preserve"> </w:t>
      </w:r>
      <w:r>
        <w:t>V</w:t>
      </w:r>
      <w:r w:rsidRPr="004C6A65">
        <w:t xml:space="preserve">: </w:t>
      </w:r>
      <w:r>
        <w:t>Option D Upgrades</w:t>
      </w:r>
    </w:p>
    <w:p w:rsidR="005D1229" w:rsidRDefault="005D1229" w:rsidP="00E7281E"/>
    <w:p w:rsidR="00A21CA3" w:rsidRDefault="00A21CA3" w:rsidP="00E7281E">
      <w:r>
        <w:t xml:space="preserve">The n-1 (AC </w:t>
      </w:r>
      <w:r w:rsidRPr="005D1229">
        <w:t xml:space="preserve">contingency) analysis showed no overloads with </w:t>
      </w:r>
      <w:r w:rsidR="00DF3F76" w:rsidRPr="005D1229">
        <w:t xml:space="preserve">Option </w:t>
      </w:r>
      <w:r w:rsidRPr="005D1229">
        <w:t>D. Full AC Contingency results are provided</w:t>
      </w:r>
      <w:r>
        <w:t xml:space="preserve"> in the Appendices I and J for the 2017 and 2021 loading</w:t>
      </w:r>
      <w:r w:rsidR="00E773E4">
        <w:t xml:space="preserve"> cases</w:t>
      </w:r>
      <w:r>
        <w:t>, respectively.</w:t>
      </w:r>
    </w:p>
    <w:p w:rsidR="00A21CA3" w:rsidRDefault="00A21CA3" w:rsidP="00E7281E"/>
    <w:p w:rsidR="00D3551D" w:rsidRDefault="00D3551D" w:rsidP="00E7281E">
      <w:pPr>
        <w:pStyle w:val="NormalwithEmphasis"/>
      </w:pPr>
      <w:r>
        <w:t>Option E (69kV HUB and BEVO)</w:t>
      </w:r>
      <w:r w:rsidRPr="00BA45D6">
        <w:t>:</w:t>
      </w:r>
    </w:p>
    <w:p w:rsidR="00947901" w:rsidRPr="00E7281E" w:rsidRDefault="00390AED" w:rsidP="00E7281E">
      <w:pPr>
        <w:pStyle w:val="NormalwithBullets"/>
      </w:pPr>
      <w:r w:rsidRPr="00FD1194">
        <w:t>C</w:t>
      </w:r>
      <w:r w:rsidR="009B58C3" w:rsidRPr="00A77CF0">
        <w:t>onstruct</w:t>
      </w:r>
      <w:r w:rsidR="009B58C3" w:rsidRPr="00E7281E">
        <w:t xml:space="preserve"> a 138/69 kV BEVO</w:t>
      </w:r>
      <w:r w:rsidRPr="00E7281E">
        <w:t xml:space="preserve"> substation near where </w:t>
      </w:r>
      <w:r w:rsidR="00DF3F76" w:rsidRPr="00E7281E">
        <w:t xml:space="preserve">the </w:t>
      </w:r>
      <w:r w:rsidRPr="00E7281E">
        <w:t>LCRA</w:t>
      </w:r>
      <w:r w:rsidR="00F154FC">
        <w:t xml:space="preserve"> (TSC)</w:t>
      </w:r>
      <w:r w:rsidRPr="00E7281E">
        <w:t xml:space="preserve"> </w:t>
      </w:r>
      <w:proofErr w:type="spellStart"/>
      <w:r w:rsidRPr="00E7281E">
        <w:t>Asherton</w:t>
      </w:r>
      <w:proofErr w:type="spellEnd"/>
      <w:r w:rsidRPr="00E7281E">
        <w:t xml:space="preserve"> – Conoco </w:t>
      </w:r>
      <w:proofErr w:type="spellStart"/>
      <w:r w:rsidRPr="00E7281E">
        <w:t>Chittam</w:t>
      </w:r>
      <w:proofErr w:type="spellEnd"/>
      <w:r w:rsidRPr="00E7281E">
        <w:t xml:space="preserve"> </w:t>
      </w:r>
      <w:r w:rsidR="00913D3B">
        <w:t xml:space="preserve">Tap </w:t>
      </w:r>
      <w:r w:rsidRPr="00E7281E">
        <w:t xml:space="preserve">138 kV line crosses </w:t>
      </w:r>
      <w:r w:rsidR="00DF3F76" w:rsidRPr="00E7281E">
        <w:t xml:space="preserve">the </w:t>
      </w:r>
      <w:r w:rsidRPr="00E7281E">
        <w:t xml:space="preserve">STEC Carrizo Springs – West Crystal 69 kV line. </w:t>
      </w:r>
      <w:r w:rsidR="009B58C3" w:rsidRPr="00E7281E">
        <w:t>Loop these lines into the 138/69 kV substation and add</w:t>
      </w:r>
      <w:r w:rsidRPr="00E7281E">
        <w:t xml:space="preserve"> a (69/138 kV) 150 MVA auto at BEVO</w:t>
      </w:r>
      <w:r w:rsidR="005D1229" w:rsidRPr="00E7281E">
        <w:t>.</w:t>
      </w:r>
    </w:p>
    <w:p w:rsidR="00947901" w:rsidRPr="00E7281E" w:rsidRDefault="00390AED" w:rsidP="00E7281E">
      <w:pPr>
        <w:pStyle w:val="NormalwithBullets"/>
      </w:pPr>
      <w:r w:rsidRPr="00E7281E">
        <w:t xml:space="preserve">Construct a 69 kV substation on </w:t>
      </w:r>
      <w:r w:rsidR="00DF3F76" w:rsidRPr="00E7281E">
        <w:t xml:space="preserve">the </w:t>
      </w:r>
      <w:r w:rsidRPr="00E7281E">
        <w:t>AEP Carrizo – Crystal City 69 kV line and loop the STEC Brundage – Carrizo Springs 69 kV line into it</w:t>
      </w:r>
      <w:r w:rsidR="005D1229" w:rsidRPr="00E7281E">
        <w:t>.</w:t>
      </w:r>
    </w:p>
    <w:p w:rsidR="00947901" w:rsidRPr="00E7281E" w:rsidRDefault="00390AED" w:rsidP="00E7281E">
      <w:pPr>
        <w:pStyle w:val="NormalwithBullets"/>
      </w:pPr>
      <w:r w:rsidRPr="00E7281E">
        <w:t xml:space="preserve">Add </w:t>
      </w:r>
      <w:r w:rsidR="00DF3F76" w:rsidRPr="00E7281E">
        <w:t xml:space="preserve">a </w:t>
      </w:r>
      <w:r w:rsidR="009B58C3" w:rsidRPr="00E7281E">
        <w:t>9.6 MVAR</w:t>
      </w:r>
      <w:r w:rsidRPr="00E7281E">
        <w:t xml:space="preserve"> capacitor bank Freer 69 kV substation</w:t>
      </w:r>
      <w:r w:rsidR="005D1229" w:rsidRPr="00E7281E">
        <w:t>.</w:t>
      </w:r>
    </w:p>
    <w:p w:rsidR="00947901" w:rsidRPr="00E7281E" w:rsidRDefault="00390AED" w:rsidP="00E7281E">
      <w:pPr>
        <w:pStyle w:val="NormalwithBullets"/>
      </w:pPr>
      <w:r w:rsidRPr="00E7281E">
        <w:t xml:space="preserve">Add </w:t>
      </w:r>
      <w:r w:rsidR="00DF3F76" w:rsidRPr="00E7281E">
        <w:t xml:space="preserve">a </w:t>
      </w:r>
      <w:r w:rsidR="009B58C3" w:rsidRPr="00E7281E">
        <w:t>14.4 MVAR</w:t>
      </w:r>
      <w:r w:rsidRPr="00E7281E">
        <w:t xml:space="preserve"> cap</w:t>
      </w:r>
      <w:r w:rsidR="00DF3F76" w:rsidRPr="00E7281E">
        <w:t>acitor</w:t>
      </w:r>
      <w:r w:rsidRPr="00E7281E">
        <w:t xml:space="preserve"> bank at Carrizo Springs 69 kV substation</w:t>
      </w:r>
      <w:r w:rsidR="005D1229" w:rsidRPr="00E7281E">
        <w:t>.</w:t>
      </w:r>
    </w:p>
    <w:p w:rsidR="00947901" w:rsidRPr="00D3551D" w:rsidRDefault="00390AED" w:rsidP="00E7281E">
      <w:pPr>
        <w:pStyle w:val="NormalwithBullets"/>
      </w:pPr>
      <w:r w:rsidRPr="00E7281E">
        <w:lastRenderedPageBreak/>
        <w:t xml:space="preserve">Add </w:t>
      </w:r>
      <w:r w:rsidR="00DF3F76" w:rsidRPr="00E7281E">
        <w:t xml:space="preserve">a </w:t>
      </w:r>
      <w:r w:rsidR="009B58C3" w:rsidRPr="00E7281E">
        <w:t>4.6 MVAR</w:t>
      </w:r>
      <w:r w:rsidRPr="00E7281E">
        <w:t xml:space="preserve"> cap</w:t>
      </w:r>
      <w:r w:rsidR="00DF3F76" w:rsidRPr="00E7281E">
        <w:t>acitor</w:t>
      </w:r>
      <w:r w:rsidRPr="00E7281E">
        <w:t xml:space="preserve"> bank at </w:t>
      </w:r>
      <w:proofErr w:type="spellStart"/>
      <w:r w:rsidRPr="00E7281E">
        <w:t>Brundage</w:t>
      </w:r>
      <w:proofErr w:type="spellEnd"/>
      <w:r w:rsidRPr="00D3551D">
        <w:t xml:space="preserve"> 69 kV substation</w:t>
      </w:r>
      <w:r w:rsidR="005D1229">
        <w:t>.</w:t>
      </w:r>
    </w:p>
    <w:p w:rsidR="00A21CA3" w:rsidRDefault="00A21CA3" w:rsidP="00E7281E"/>
    <w:p w:rsidR="00D3551D" w:rsidRDefault="00D3551D" w:rsidP="00E7281E">
      <w:r>
        <w:t>The total cost estimate for Option E including common upgrades is approximately $5</w:t>
      </w:r>
      <w:r w:rsidR="005829EE">
        <w:t>7</w:t>
      </w:r>
      <w:r>
        <w:t xml:space="preserve"> million.</w:t>
      </w:r>
    </w:p>
    <w:p w:rsidR="00D3551D" w:rsidRDefault="00D3551D" w:rsidP="00E7281E">
      <w:r>
        <w:t>Figure VI below shows the transmission topology related to Option E upgrades</w:t>
      </w:r>
      <w:r w:rsidR="00DF3F76">
        <w:t>:</w:t>
      </w:r>
    </w:p>
    <w:p w:rsidR="00D3551D" w:rsidRDefault="00D3551D" w:rsidP="00E7281E">
      <w:r>
        <w:rPr>
          <w:noProof/>
        </w:rPr>
        <w:drawing>
          <wp:anchor distT="0" distB="0" distL="114300" distR="114300" simplePos="0" relativeHeight="251660800" behindDoc="0" locked="0" layoutInCell="1" allowOverlap="1" wp14:anchorId="138D4643" wp14:editId="2DCD2706">
            <wp:simplePos x="0" y="0"/>
            <wp:positionH relativeFrom="column">
              <wp:posOffset>571500</wp:posOffset>
            </wp:positionH>
            <wp:positionV relativeFrom="paragraph">
              <wp:posOffset>219075</wp:posOffset>
            </wp:positionV>
            <wp:extent cx="5365115" cy="3775075"/>
            <wp:effectExtent l="0" t="0" r="6985"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onE.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65115" cy="3775075"/>
                    </a:xfrm>
                    <a:prstGeom prst="rect">
                      <a:avLst/>
                    </a:prstGeom>
                  </pic:spPr>
                </pic:pic>
              </a:graphicData>
            </a:graphic>
          </wp:anchor>
        </w:drawing>
      </w:r>
    </w:p>
    <w:p w:rsidR="00D3551D" w:rsidRPr="00135D6D" w:rsidRDefault="00D3551D" w:rsidP="00E7281E">
      <w:pPr>
        <w:pStyle w:val="NormalCenter"/>
      </w:pPr>
      <w:r>
        <w:t>Figure</w:t>
      </w:r>
      <w:r w:rsidRPr="004C6A65">
        <w:t xml:space="preserve"> </w:t>
      </w:r>
      <w:r>
        <w:t>VI</w:t>
      </w:r>
      <w:r w:rsidRPr="004C6A65">
        <w:t xml:space="preserve">: </w:t>
      </w:r>
      <w:r>
        <w:t>Option E Upgrades</w:t>
      </w:r>
    </w:p>
    <w:p w:rsidR="00D3551D" w:rsidRDefault="00D3551D" w:rsidP="00E7281E"/>
    <w:p w:rsidR="00D3551D" w:rsidRDefault="00D3551D" w:rsidP="00E7281E">
      <w:r>
        <w:t xml:space="preserve">The n-1 (AC contingency) analysis showed no overloads with </w:t>
      </w:r>
      <w:r w:rsidR="00DF3F76">
        <w:t>O</w:t>
      </w:r>
      <w:r>
        <w:t>ption E. Full AC Contingency results are provided in the Appendices K and L for the 2017 and 2021 loading</w:t>
      </w:r>
      <w:r w:rsidR="007812C2">
        <w:t xml:space="preserve"> cases</w:t>
      </w:r>
      <w:r>
        <w:t>, respectively.</w:t>
      </w:r>
    </w:p>
    <w:p w:rsidR="00D3551D" w:rsidRDefault="00D3551D" w:rsidP="00E7281E">
      <w:r>
        <w:t>It should also be noted that</w:t>
      </w:r>
      <w:r w:rsidR="00DF3F76">
        <w:t xml:space="preserve"> all five upgrade alternatives met the reliability criteria and that</w:t>
      </w:r>
      <w:r>
        <w:t xml:space="preserve"> the upgrades discussed under Option E </w:t>
      </w:r>
      <w:r w:rsidR="00DF3F76">
        <w:t xml:space="preserve">were </w:t>
      </w:r>
      <w:r>
        <w:t>the most economical.</w:t>
      </w:r>
      <w:r w:rsidR="00584685">
        <w:t xml:space="preserve"> Thus, upgrades discussed under Option E were studied for additional sensitivities.</w:t>
      </w:r>
    </w:p>
    <w:p w:rsidR="0057778F" w:rsidRDefault="00584685" w:rsidP="00584685">
      <w:pPr>
        <w:pStyle w:val="Heading1"/>
      </w:pPr>
      <w:bookmarkStart w:id="252" w:name="_Toc333567256"/>
      <w:r>
        <w:t xml:space="preserve">G-1 </w:t>
      </w:r>
      <w:r w:rsidR="007812C2">
        <w:t xml:space="preserve">and </w:t>
      </w:r>
      <w:r>
        <w:t>N-1 Analysis</w:t>
      </w:r>
      <w:bookmarkEnd w:id="252"/>
    </w:p>
    <w:p w:rsidR="00520F6D" w:rsidRDefault="004547C5" w:rsidP="00E7281E">
      <w:r>
        <w:t xml:space="preserve">In accordance with the ERCOT Planning Criteria, a G-1 + N-1 analysis </w:t>
      </w:r>
      <w:r w:rsidR="0057778F">
        <w:t>was also</w:t>
      </w:r>
      <w:r>
        <w:t xml:space="preserve"> </w:t>
      </w:r>
      <w:r w:rsidR="00163AFB">
        <w:t>performed by turning off nearby</w:t>
      </w:r>
      <w:r>
        <w:t xml:space="preserve"> generation units in the study area and performing AC contingency analysis.  </w:t>
      </w:r>
      <w:r w:rsidR="00520F6D">
        <w:t xml:space="preserve">A sensitivity analysis </w:t>
      </w:r>
      <w:r w:rsidR="00861EB0">
        <w:t>(with 2021 loading</w:t>
      </w:r>
      <w:r w:rsidR="007812C2">
        <w:t xml:space="preserve"> case</w:t>
      </w:r>
      <w:r w:rsidR="00861EB0">
        <w:t xml:space="preserve">) </w:t>
      </w:r>
      <w:r w:rsidR="00520F6D">
        <w:t>was performe</w:t>
      </w:r>
      <w:r w:rsidR="00163AFB">
        <w:t>d by turning off</w:t>
      </w:r>
      <w:r w:rsidR="00584685">
        <w:t xml:space="preserve"> six units at </w:t>
      </w:r>
      <w:r w:rsidR="00520F6D">
        <w:t>Pearsal</w:t>
      </w:r>
      <w:r w:rsidR="005207B0">
        <w:t>l</w:t>
      </w:r>
      <w:r w:rsidR="00163AFB">
        <w:t>.</w:t>
      </w:r>
      <w:r w:rsidR="00520F6D">
        <w:t xml:space="preserve"> </w:t>
      </w:r>
      <w:r>
        <w:t>I</w:t>
      </w:r>
      <w:r w:rsidR="00584685">
        <w:t>t was found that the outage</w:t>
      </w:r>
      <w:r w:rsidR="00520F6D">
        <w:t xml:space="preserve"> of these units did</w:t>
      </w:r>
      <w:r w:rsidR="005207B0">
        <w:t xml:space="preserve"> </w:t>
      </w:r>
      <w:r w:rsidR="00520F6D">
        <w:t>n</w:t>
      </w:r>
      <w:r w:rsidR="005207B0">
        <w:t>o</w:t>
      </w:r>
      <w:r w:rsidR="0057778F">
        <w:t>t cause any transmission violat</w:t>
      </w:r>
      <w:r w:rsidR="00520F6D">
        <w:t>ions.</w:t>
      </w:r>
      <w:r>
        <w:t xml:space="preserve"> Full AC Contingency results</w:t>
      </w:r>
      <w:r w:rsidR="00163AFB">
        <w:t xml:space="preserve">, </w:t>
      </w:r>
      <w:r w:rsidR="00DF3F76">
        <w:t>with the six</w:t>
      </w:r>
      <w:r w:rsidR="005207B0">
        <w:t xml:space="preserve"> </w:t>
      </w:r>
      <w:r w:rsidR="00520F6D">
        <w:t>Pearsal</w:t>
      </w:r>
      <w:r w:rsidR="005207B0">
        <w:t>l</w:t>
      </w:r>
      <w:r w:rsidR="00520F6D">
        <w:t xml:space="preserve"> unit</w:t>
      </w:r>
      <w:r w:rsidR="00584685">
        <w:t>s</w:t>
      </w:r>
      <w:r w:rsidR="00520F6D">
        <w:t xml:space="preserve"> out</w:t>
      </w:r>
      <w:r>
        <w:t xml:space="preserve"> </w:t>
      </w:r>
      <w:r w:rsidR="00584685">
        <w:t>may be found in Appendix</w:t>
      </w:r>
      <w:r w:rsidR="00410A9F">
        <w:t xml:space="preserve"> </w:t>
      </w:r>
      <w:r w:rsidR="00584685">
        <w:t>M</w:t>
      </w:r>
      <w:r>
        <w:t>.</w:t>
      </w:r>
      <w:r w:rsidR="00520F6D">
        <w:t xml:space="preserve"> </w:t>
      </w:r>
    </w:p>
    <w:p w:rsidR="00520F6D" w:rsidRPr="00F8176D" w:rsidRDefault="00520F6D" w:rsidP="00520F6D">
      <w:pPr>
        <w:pStyle w:val="Heading1"/>
      </w:pPr>
      <w:bookmarkStart w:id="253" w:name="_Toc333567257"/>
      <w:bookmarkStart w:id="254" w:name="_Toc333567258"/>
      <w:bookmarkEnd w:id="253"/>
      <w:r>
        <w:lastRenderedPageBreak/>
        <w:t>Load Growth Scenario</w:t>
      </w:r>
      <w:bookmarkEnd w:id="254"/>
    </w:p>
    <w:p w:rsidR="00163AFB" w:rsidRDefault="002169C1" w:rsidP="00E7281E">
      <w:r>
        <w:t xml:space="preserve">A sensitivity analysis was performed to </w:t>
      </w:r>
      <w:r w:rsidR="00AD7461">
        <w:t xml:space="preserve">study the impact of additional load growth in the area </w:t>
      </w:r>
      <w:r w:rsidR="00163AFB">
        <w:t>beyond 2021</w:t>
      </w:r>
      <w:r w:rsidR="00AD7461">
        <w:t xml:space="preserve">. </w:t>
      </w:r>
      <w:r w:rsidR="00163AFB">
        <w:t>STEC load in the area of concern was increased by 15% beyond 2021 loading. The AC contingency analysis revealed no violations.</w:t>
      </w:r>
    </w:p>
    <w:p w:rsidR="00410A9F" w:rsidRDefault="00410A9F" w:rsidP="00E7281E">
      <w:r>
        <w:t xml:space="preserve">Full AC Contingency results may be found in Appendix </w:t>
      </w:r>
      <w:r w:rsidR="00163AFB">
        <w:t>N</w:t>
      </w:r>
      <w:r>
        <w:t>.</w:t>
      </w:r>
    </w:p>
    <w:p w:rsidR="009846B2" w:rsidRPr="00F8176D" w:rsidRDefault="009846B2" w:rsidP="009846B2">
      <w:pPr>
        <w:pStyle w:val="Heading1"/>
      </w:pPr>
      <w:bookmarkStart w:id="255" w:name="_Toc333567259"/>
      <w:bookmarkStart w:id="256" w:name="_Toc333567260"/>
      <w:bookmarkEnd w:id="255"/>
      <w:r>
        <w:t>Conclusion</w:t>
      </w:r>
      <w:bookmarkEnd w:id="256"/>
    </w:p>
    <w:p w:rsidR="00C46009" w:rsidRDefault="00B974E1" w:rsidP="00E7281E">
      <w:r>
        <w:t>Based on the reliability analysis</w:t>
      </w:r>
      <w:r w:rsidR="005D1229">
        <w:t xml:space="preserve"> as described,</w:t>
      </w:r>
      <w:r w:rsidR="00FE04C4">
        <w:t xml:space="preserve"> </w:t>
      </w:r>
      <w:r w:rsidR="00C46009">
        <w:t xml:space="preserve">it was determined that the following transmission </w:t>
      </w:r>
      <w:r w:rsidR="007944ED">
        <w:t>upgrades</w:t>
      </w:r>
      <w:r w:rsidR="00C46009">
        <w:t xml:space="preserve"> </w:t>
      </w:r>
      <w:r w:rsidR="00AB47FC">
        <w:t xml:space="preserve">studied </w:t>
      </w:r>
      <w:r w:rsidR="007D20E1">
        <w:t>as</w:t>
      </w:r>
      <w:r w:rsidR="007944ED">
        <w:t xml:space="preserve"> Option </w:t>
      </w:r>
      <w:r w:rsidR="00163AFB">
        <w:t>E</w:t>
      </w:r>
      <w:r w:rsidR="00413FC1">
        <w:t xml:space="preserve"> </w:t>
      </w:r>
      <w:r w:rsidR="005D1229">
        <w:t>c</w:t>
      </w:r>
      <w:r w:rsidR="00C46009">
        <w:t xml:space="preserve">onstitute the most </w:t>
      </w:r>
      <w:r w:rsidR="005D1229">
        <w:t>cost-</w:t>
      </w:r>
      <w:r w:rsidR="00C46009">
        <w:t xml:space="preserve">effective </w:t>
      </w:r>
      <w:r>
        <w:t>solution</w:t>
      </w:r>
      <w:r w:rsidR="0057778F">
        <w:t xml:space="preserve"> to serve </w:t>
      </w:r>
      <w:r w:rsidR="0095376B">
        <w:t xml:space="preserve">the projected </w:t>
      </w:r>
      <w:r w:rsidR="0057778F">
        <w:t>load</w:t>
      </w:r>
      <w:r w:rsidR="0095376B">
        <w:t xml:space="preserve"> addition</w:t>
      </w:r>
      <w:r w:rsidR="0057778F">
        <w:t>:</w:t>
      </w:r>
      <w:r>
        <w:t xml:space="preserve"> </w:t>
      </w:r>
    </w:p>
    <w:p w:rsidR="00163AFB" w:rsidRPr="00E7281E" w:rsidRDefault="007812C2" w:rsidP="00E7281E">
      <w:pPr>
        <w:pStyle w:val="NormalwithBullets"/>
      </w:pPr>
      <w:r>
        <w:t xml:space="preserve">Construct a </w:t>
      </w:r>
      <w:r w:rsidRPr="00FD1194">
        <w:t xml:space="preserve">new </w:t>
      </w:r>
      <w:r w:rsidR="00163AFB" w:rsidRPr="00A77CF0">
        <w:t>Tilden – Fowlerton – Reveil</w:t>
      </w:r>
      <w:r w:rsidR="000C6702" w:rsidRPr="00E7281E">
        <w:t>l</w:t>
      </w:r>
      <w:r w:rsidR="00163AFB" w:rsidRPr="00E7281E">
        <w:t xml:space="preserve">e 138 kV </w:t>
      </w:r>
      <w:r w:rsidR="008E66AD" w:rsidRPr="00E7281E">
        <w:t xml:space="preserve">double circuit </w:t>
      </w:r>
      <w:r w:rsidR="00163AFB" w:rsidRPr="00E7281E">
        <w:t>line (approx. 47 miles</w:t>
      </w:r>
      <w:r w:rsidR="005D1229" w:rsidRPr="00E7281E">
        <w:t xml:space="preserve"> </w:t>
      </w:r>
      <w:r w:rsidR="00163AFB" w:rsidRPr="00E7281E">
        <w:t xml:space="preserve">on </w:t>
      </w:r>
      <w:r w:rsidR="008E66AD" w:rsidRPr="00E7281E">
        <w:t>n</w:t>
      </w:r>
      <w:r w:rsidR="00163AFB" w:rsidRPr="00E7281E">
        <w:t>ew R.O.W</w:t>
      </w:r>
      <w:r w:rsidR="008E66AD" w:rsidRPr="00E7281E">
        <w:t>.</w:t>
      </w:r>
      <w:r w:rsidR="00163AFB" w:rsidRPr="00E7281E">
        <w:t xml:space="preserve">) so that </w:t>
      </w:r>
      <w:r w:rsidR="008E66AD" w:rsidRPr="00E7281E">
        <w:t xml:space="preserve">each </w:t>
      </w:r>
      <w:r w:rsidR="00163AFB" w:rsidRPr="00E7281E">
        <w:t>circuit Rate B is at least 240 MVA</w:t>
      </w:r>
      <w:r w:rsidR="005D1229" w:rsidRPr="00E7281E">
        <w:t>.</w:t>
      </w:r>
      <w:r w:rsidR="00163AFB" w:rsidRPr="00E7281E">
        <w:t xml:space="preserve"> </w:t>
      </w:r>
    </w:p>
    <w:p w:rsidR="00163AFB" w:rsidRPr="00E7281E" w:rsidRDefault="00163AFB" w:rsidP="00E7281E">
      <w:pPr>
        <w:pStyle w:val="NormalwithBullets"/>
      </w:pPr>
      <w:r w:rsidRPr="00E7281E">
        <w:t xml:space="preserve">Construct a new 138 kV substation near </w:t>
      </w:r>
      <w:r w:rsidR="008E66AD" w:rsidRPr="00E7281E">
        <w:t xml:space="preserve">the </w:t>
      </w:r>
      <w:r w:rsidRPr="00E7281E">
        <w:t>STEC 69 kV Cotulla</w:t>
      </w:r>
      <w:r w:rsidR="008E66AD" w:rsidRPr="00E7281E">
        <w:t xml:space="preserve"> substation</w:t>
      </w:r>
      <w:r w:rsidRPr="00E7281E">
        <w:t xml:space="preserve"> and loop the AEP Dilley – Cotulla 138 kV line into it</w:t>
      </w:r>
      <w:r w:rsidR="005D1229" w:rsidRPr="00E7281E">
        <w:t>.</w:t>
      </w:r>
    </w:p>
    <w:p w:rsidR="00163AFB" w:rsidRPr="00E7281E" w:rsidRDefault="00163AFB" w:rsidP="00E7281E">
      <w:pPr>
        <w:pStyle w:val="NormalwithBullets"/>
      </w:pPr>
      <w:r w:rsidRPr="00E7281E">
        <w:t>Add a (69/138 kV) autotransformer (with reverse power relays) at Cotulla so that the Rate B is at least 150 MVA</w:t>
      </w:r>
      <w:r w:rsidR="005D1229" w:rsidRPr="00E7281E">
        <w:t>.</w:t>
      </w:r>
    </w:p>
    <w:p w:rsidR="005829EE" w:rsidRPr="00E7281E" w:rsidRDefault="005829EE" w:rsidP="00E7281E">
      <w:pPr>
        <w:pStyle w:val="NormalwithBullets"/>
      </w:pPr>
      <w:r w:rsidRPr="00E7281E">
        <w:t xml:space="preserve">Construct a 69 kV substation on </w:t>
      </w:r>
      <w:r w:rsidR="008E66AD" w:rsidRPr="00E7281E">
        <w:t xml:space="preserve">the </w:t>
      </w:r>
      <w:r w:rsidRPr="00E7281E">
        <w:t>AEP Carrizo – Crystal City 69 kV line and loop the STEC Brundage – Carrizo Springs 69 kV line into it</w:t>
      </w:r>
      <w:r w:rsidR="005D1229" w:rsidRPr="00E7281E">
        <w:t>.</w:t>
      </w:r>
    </w:p>
    <w:p w:rsidR="00163AFB" w:rsidRPr="00E7281E" w:rsidRDefault="00163AFB" w:rsidP="00E7281E">
      <w:pPr>
        <w:pStyle w:val="NormalwithBullets"/>
      </w:pPr>
      <w:r w:rsidRPr="00E7281E">
        <w:t xml:space="preserve">Construct a new 69/138 kV BEVO substation near where </w:t>
      </w:r>
      <w:r w:rsidR="008E66AD" w:rsidRPr="00E7281E">
        <w:t xml:space="preserve">the </w:t>
      </w:r>
      <w:r w:rsidRPr="00E7281E">
        <w:t>LCRA</w:t>
      </w:r>
      <w:r w:rsidR="00F154FC">
        <w:t xml:space="preserve"> (TSC)</w:t>
      </w:r>
      <w:r w:rsidRPr="00E7281E">
        <w:t xml:space="preserve"> </w:t>
      </w:r>
      <w:proofErr w:type="spellStart"/>
      <w:r w:rsidRPr="00E7281E">
        <w:t>Asherton</w:t>
      </w:r>
      <w:proofErr w:type="spellEnd"/>
      <w:r w:rsidRPr="00E7281E">
        <w:t xml:space="preserve"> – Conoco </w:t>
      </w:r>
      <w:proofErr w:type="spellStart"/>
      <w:r w:rsidRPr="00E7281E">
        <w:t>Chittam</w:t>
      </w:r>
      <w:proofErr w:type="spellEnd"/>
      <w:r w:rsidRPr="00E7281E">
        <w:t xml:space="preserve"> </w:t>
      </w:r>
      <w:r w:rsidR="00C75FF4">
        <w:t xml:space="preserve">Tap </w:t>
      </w:r>
      <w:r w:rsidRPr="00E7281E">
        <w:t xml:space="preserve">138 kV line crosses </w:t>
      </w:r>
      <w:r w:rsidR="008E66AD" w:rsidRPr="00E7281E">
        <w:t xml:space="preserve">the </w:t>
      </w:r>
      <w:r w:rsidRPr="00E7281E">
        <w:t xml:space="preserve">STEC Carrizo Springs – West Crystal 69 kV line. Loop these lines into BEVO and </w:t>
      </w:r>
      <w:r w:rsidR="008E66AD" w:rsidRPr="00E7281E">
        <w:t xml:space="preserve">add </w:t>
      </w:r>
      <w:r w:rsidRPr="00E7281E">
        <w:t>a (69/138 kV) 150 MVA autotransformer</w:t>
      </w:r>
      <w:r w:rsidR="005D1229" w:rsidRPr="00E7281E">
        <w:t>.</w:t>
      </w:r>
      <w:r w:rsidRPr="00E7281E">
        <w:t xml:space="preserve"> </w:t>
      </w:r>
    </w:p>
    <w:p w:rsidR="00163AFB" w:rsidRPr="00E7281E" w:rsidRDefault="00163AFB" w:rsidP="00E7281E">
      <w:pPr>
        <w:pStyle w:val="NormalwithBullets"/>
      </w:pPr>
      <w:r w:rsidRPr="00E7281E">
        <w:t xml:space="preserve">Add reverse power relays </w:t>
      </w:r>
      <w:r w:rsidR="008E66AD" w:rsidRPr="00E7281E">
        <w:t xml:space="preserve">on </w:t>
      </w:r>
      <w:r w:rsidRPr="00E7281E">
        <w:t>the George West autotransformer</w:t>
      </w:r>
      <w:r w:rsidR="005D1229" w:rsidRPr="00E7281E">
        <w:t>.</w:t>
      </w:r>
    </w:p>
    <w:p w:rsidR="00163AFB" w:rsidRPr="00E7281E" w:rsidRDefault="00163AFB" w:rsidP="00E7281E">
      <w:pPr>
        <w:pStyle w:val="NormalwithBullets"/>
      </w:pPr>
      <w:r w:rsidRPr="00E7281E">
        <w:t xml:space="preserve">Add </w:t>
      </w:r>
      <w:r w:rsidR="008E66AD" w:rsidRPr="00E7281E">
        <w:t xml:space="preserve">a </w:t>
      </w:r>
      <w:r w:rsidRPr="00E7281E">
        <w:t xml:space="preserve">9.6 </w:t>
      </w:r>
      <w:r w:rsidR="00AC5CC9" w:rsidRPr="00E7281E">
        <w:t>MVAR</w:t>
      </w:r>
      <w:r w:rsidRPr="00E7281E">
        <w:t xml:space="preserve"> capacitor bank at George</w:t>
      </w:r>
      <w:r w:rsidR="00C75FF4">
        <w:t xml:space="preserve"> </w:t>
      </w:r>
      <w:r w:rsidRPr="00E7281E">
        <w:t>West 69 kV substation</w:t>
      </w:r>
      <w:r w:rsidR="005D1229" w:rsidRPr="00E7281E">
        <w:t>.</w:t>
      </w:r>
    </w:p>
    <w:p w:rsidR="00163AFB" w:rsidRPr="00E7281E" w:rsidRDefault="00163AFB" w:rsidP="00E7281E">
      <w:pPr>
        <w:pStyle w:val="NormalwithBullets"/>
      </w:pPr>
      <w:r w:rsidRPr="00E7281E">
        <w:t xml:space="preserve">Add 19.2 </w:t>
      </w:r>
      <w:r w:rsidR="00AC5CC9" w:rsidRPr="00E7281E">
        <w:t>MVAR</w:t>
      </w:r>
      <w:r w:rsidRPr="00E7281E">
        <w:t xml:space="preserve"> capacitor banks at Tilden, Fowlerton and Jardin 138 kV substations</w:t>
      </w:r>
      <w:r w:rsidR="005D1229" w:rsidRPr="00E7281E">
        <w:t>.</w:t>
      </w:r>
    </w:p>
    <w:p w:rsidR="00163AFB" w:rsidRPr="00E7281E" w:rsidRDefault="00163AFB" w:rsidP="00E7281E">
      <w:pPr>
        <w:pStyle w:val="NormalwithBullets"/>
      </w:pPr>
      <w:r w:rsidRPr="00E7281E">
        <w:t xml:space="preserve">Add </w:t>
      </w:r>
      <w:r w:rsidR="008E66AD" w:rsidRPr="00E7281E">
        <w:t xml:space="preserve">a </w:t>
      </w:r>
      <w:r w:rsidRPr="00E7281E">
        <w:t xml:space="preserve">9.6 </w:t>
      </w:r>
      <w:r w:rsidR="00AC5CC9" w:rsidRPr="00E7281E">
        <w:t>MVAR</w:t>
      </w:r>
      <w:r w:rsidRPr="00E7281E">
        <w:t xml:space="preserve"> capacitor bank </w:t>
      </w:r>
      <w:r w:rsidR="000C6702" w:rsidRPr="00E7281E">
        <w:t xml:space="preserve">at </w:t>
      </w:r>
      <w:r w:rsidRPr="00E7281E">
        <w:t>Freer</w:t>
      </w:r>
      <w:r w:rsidR="008E66AD" w:rsidRPr="00E7281E">
        <w:t xml:space="preserve"> </w:t>
      </w:r>
      <w:r w:rsidRPr="00E7281E">
        <w:t>69 kV substation</w:t>
      </w:r>
      <w:r w:rsidR="005D1229" w:rsidRPr="00E7281E">
        <w:t>.</w:t>
      </w:r>
    </w:p>
    <w:p w:rsidR="00163AFB" w:rsidRPr="00E7281E" w:rsidRDefault="00163AFB" w:rsidP="00E7281E">
      <w:pPr>
        <w:pStyle w:val="NormalwithBullets"/>
      </w:pPr>
      <w:r w:rsidRPr="00E7281E">
        <w:t xml:space="preserve">Add </w:t>
      </w:r>
      <w:r w:rsidR="008E66AD" w:rsidRPr="00E7281E">
        <w:t xml:space="preserve">a </w:t>
      </w:r>
      <w:r w:rsidRPr="00E7281E">
        <w:t xml:space="preserve">14.4 </w:t>
      </w:r>
      <w:r w:rsidR="00AC5CC9" w:rsidRPr="00E7281E">
        <w:t>MVAR</w:t>
      </w:r>
      <w:r w:rsidRPr="00E7281E">
        <w:t xml:space="preserve"> cap</w:t>
      </w:r>
      <w:r w:rsidR="005829EE" w:rsidRPr="00E7281E">
        <w:t>acitor</w:t>
      </w:r>
      <w:r w:rsidRPr="00E7281E">
        <w:t xml:space="preserve"> bank at Carrizo Springs 69 kV substation</w:t>
      </w:r>
      <w:r w:rsidR="005D1229" w:rsidRPr="00E7281E">
        <w:t>.</w:t>
      </w:r>
    </w:p>
    <w:p w:rsidR="00163AFB" w:rsidRPr="00D3551D" w:rsidRDefault="00163AFB" w:rsidP="00E7281E">
      <w:pPr>
        <w:pStyle w:val="NormalwithBullets"/>
      </w:pPr>
      <w:r w:rsidRPr="00E7281E">
        <w:t xml:space="preserve">Add </w:t>
      </w:r>
      <w:r w:rsidR="008E66AD" w:rsidRPr="00E7281E">
        <w:t xml:space="preserve">a </w:t>
      </w:r>
      <w:r w:rsidRPr="00E7281E">
        <w:t xml:space="preserve">4.6 </w:t>
      </w:r>
      <w:r w:rsidR="00AC5CC9" w:rsidRPr="00E7281E">
        <w:t>MVAR</w:t>
      </w:r>
      <w:r w:rsidRPr="00E7281E">
        <w:t xml:space="preserve"> cap</w:t>
      </w:r>
      <w:r w:rsidR="005829EE" w:rsidRPr="00E7281E">
        <w:t>acitor</w:t>
      </w:r>
      <w:r w:rsidRPr="00D3551D">
        <w:t xml:space="preserve"> bank at </w:t>
      </w:r>
      <w:proofErr w:type="spellStart"/>
      <w:r w:rsidRPr="00D3551D">
        <w:t>Brundage</w:t>
      </w:r>
      <w:proofErr w:type="spellEnd"/>
      <w:r w:rsidRPr="00D3551D">
        <w:t xml:space="preserve"> 69 kV substation</w:t>
      </w:r>
      <w:r w:rsidR="005D1229">
        <w:t>.</w:t>
      </w:r>
    </w:p>
    <w:p w:rsidR="00310324" w:rsidRPr="00F8176D" w:rsidRDefault="00310324" w:rsidP="00310324">
      <w:pPr>
        <w:pStyle w:val="Heading1"/>
      </w:pPr>
      <w:bookmarkStart w:id="257" w:name="_Toc333567261"/>
      <w:bookmarkStart w:id="258" w:name="_Toc333567262"/>
      <w:bookmarkEnd w:id="257"/>
      <w:r>
        <w:t>Designated Providers of Transmission Facilities</w:t>
      </w:r>
      <w:bookmarkEnd w:id="258"/>
      <w:r>
        <w:t xml:space="preserve"> </w:t>
      </w:r>
    </w:p>
    <w:p w:rsidR="00310324" w:rsidRPr="005C090B" w:rsidRDefault="00310324" w:rsidP="00E7281E">
      <w:r>
        <w:t xml:space="preserve">In accordance with the ERCOT </w:t>
      </w:r>
      <w:r w:rsidR="008E66AD">
        <w:t>Protocols</w:t>
      </w:r>
      <w:r>
        <w:t>, ERCOT is to designate transmission providers for project</w:t>
      </w:r>
      <w:r w:rsidR="008E66AD">
        <w:t>s</w:t>
      </w:r>
      <w:r>
        <w:t xml:space="preserve"> reviewed </w:t>
      </w:r>
      <w:r w:rsidR="008E66AD">
        <w:t xml:space="preserve">by </w:t>
      </w:r>
      <w:r>
        <w:t>the RPG. These providers can agree to provide or delegate the new facilities or inform ERCOT if they do not elect to provide them. For the project scope recommended in this report STEC</w:t>
      </w:r>
      <w:r w:rsidR="00800465">
        <w:t>, AEP</w:t>
      </w:r>
      <w:r w:rsidR="0095376B">
        <w:t xml:space="preserve"> TCC</w:t>
      </w:r>
      <w:r w:rsidR="00800465">
        <w:t>, and LCRA</w:t>
      </w:r>
      <w:r w:rsidR="00F154FC">
        <w:t xml:space="preserve"> (TSC)</w:t>
      </w:r>
      <w:r>
        <w:t xml:space="preserve"> </w:t>
      </w:r>
      <w:r w:rsidR="00800465">
        <w:t>are</w:t>
      </w:r>
      <w:r>
        <w:t xml:space="preserve"> the designated provider of all transmission facilities.</w:t>
      </w:r>
    </w:p>
    <w:p w:rsidR="00413FC1" w:rsidRDefault="00413FC1">
      <w:r>
        <w:br w:type="page"/>
      </w:r>
    </w:p>
    <w:p w:rsidR="006E4DEB" w:rsidRDefault="006E4DEB" w:rsidP="00795D65">
      <w:pPr>
        <w:pStyle w:val="BodyText"/>
        <w:ind w:left="0"/>
      </w:pPr>
    </w:p>
    <w:p w:rsidR="00F57E8B" w:rsidRPr="00F8176D" w:rsidRDefault="00683EA6" w:rsidP="00F57E8B">
      <w:pPr>
        <w:pStyle w:val="Heading1"/>
      </w:pPr>
      <w:bookmarkStart w:id="259" w:name="_Toc333567263"/>
      <w:r>
        <w:t>Appendices</w:t>
      </w:r>
      <w:bookmarkEnd w:id="259"/>
    </w:p>
    <w:p w:rsidR="00F57E8B" w:rsidRDefault="00F57E8B" w:rsidP="00370479">
      <w:pPr>
        <w:pStyle w:val="BodyText"/>
      </w:pPr>
    </w:p>
    <w:tbl>
      <w:tblPr>
        <w:tblStyle w:val="TableGrid"/>
        <w:tblW w:w="0" w:type="auto"/>
        <w:jc w:val="center"/>
        <w:tblCellMar>
          <w:left w:w="43" w:type="dxa"/>
          <w:right w:w="43" w:type="dxa"/>
        </w:tblCellMar>
        <w:tblLook w:val="01E0" w:firstRow="1" w:lastRow="1" w:firstColumn="1" w:lastColumn="1" w:noHBand="0" w:noVBand="0"/>
      </w:tblPr>
      <w:tblGrid>
        <w:gridCol w:w="2066"/>
        <w:gridCol w:w="6790"/>
      </w:tblGrid>
      <w:tr w:rsidR="00F57E8B" w:rsidRPr="004C6A65" w:rsidTr="00E7281E">
        <w:trPr>
          <w:trHeight w:hRule="exact" w:val="1675"/>
          <w:jc w:val="center"/>
        </w:trPr>
        <w:tc>
          <w:tcPr>
            <w:tcW w:w="2066" w:type="dxa"/>
            <w:vAlign w:val="center"/>
          </w:tcPr>
          <w:p w:rsidR="00F57E8B" w:rsidRPr="004C6A65" w:rsidRDefault="00F57E8B" w:rsidP="00E7281E">
            <w:pPr>
              <w:ind w:left="270"/>
              <w:jc w:val="center"/>
              <w:rPr>
                <w:b/>
              </w:rPr>
            </w:pPr>
            <w:r w:rsidRPr="004C6A65">
              <w:rPr>
                <w:b/>
              </w:rPr>
              <w:t>Appendix A</w:t>
            </w:r>
          </w:p>
        </w:tc>
        <w:tc>
          <w:tcPr>
            <w:tcW w:w="6790" w:type="dxa"/>
            <w:vAlign w:val="bottom"/>
          </w:tcPr>
          <w:p w:rsidR="00F57E8B" w:rsidRPr="00E7281E" w:rsidRDefault="002B2EE8" w:rsidP="00E7281E">
            <w:pPr>
              <w:pStyle w:val="NormalinTable"/>
              <w:framePr w:wrap="notBeside"/>
            </w:pPr>
            <w:r w:rsidRPr="00E7281E">
              <w:object w:dxaOrig="2069" w:dyaOrig="1320">
                <v:shape id="_x0000_i1025" type="#_x0000_t75" style="width:88.5pt;height:56.25pt" o:ole="">
                  <v:imagedata r:id="rId23" o:title=""/>
                </v:shape>
                <o:OLEObject Type="Embed" ProgID="Excel.Sheet.12" ShapeID="_x0000_i1025" DrawAspect="Icon" ObjectID="_1407823067" r:id="rId24"/>
              </w:object>
            </w:r>
          </w:p>
        </w:tc>
      </w:tr>
      <w:tr w:rsidR="00F57E8B" w:rsidRPr="004C6A65" w:rsidTr="00E56CB9">
        <w:trPr>
          <w:trHeight w:hRule="exact" w:val="1342"/>
          <w:jc w:val="center"/>
        </w:trPr>
        <w:tc>
          <w:tcPr>
            <w:tcW w:w="2066" w:type="dxa"/>
            <w:vAlign w:val="center"/>
          </w:tcPr>
          <w:p w:rsidR="00F57E8B" w:rsidRPr="004C6A65" w:rsidRDefault="00F57E8B" w:rsidP="00E7281E">
            <w:pPr>
              <w:ind w:left="270"/>
              <w:jc w:val="center"/>
            </w:pPr>
            <w:r w:rsidRPr="004C6A65">
              <w:rPr>
                <w:b/>
              </w:rPr>
              <w:t>Appendix B</w:t>
            </w:r>
          </w:p>
        </w:tc>
        <w:tc>
          <w:tcPr>
            <w:tcW w:w="6790" w:type="dxa"/>
            <w:vAlign w:val="bottom"/>
          </w:tcPr>
          <w:p w:rsidR="00F57E8B" w:rsidRPr="00E7281E" w:rsidRDefault="002B2EE8" w:rsidP="00293913">
            <w:pPr>
              <w:pStyle w:val="NormalinTable"/>
              <w:framePr w:wrap="notBeside"/>
              <w:rPr>
                <w:sz w:val="16"/>
                <w:szCs w:val="16"/>
              </w:rPr>
            </w:pPr>
            <w:r w:rsidRPr="00E56CB9">
              <w:rPr>
                <w:szCs w:val="16"/>
              </w:rPr>
              <w:object w:dxaOrig="2069" w:dyaOrig="1320">
                <v:shape id="_x0000_i1026" type="#_x0000_t75" style="width:109.5pt;height:69.75pt" o:ole="">
                  <v:imagedata r:id="rId25" o:title=""/>
                </v:shape>
                <o:OLEObject Type="Embed" ProgID="Excel.Sheet.12" ShapeID="_x0000_i1026" DrawAspect="Icon" ObjectID="_1407823068" r:id="rId26"/>
              </w:object>
            </w:r>
          </w:p>
        </w:tc>
      </w:tr>
      <w:tr w:rsidR="00271C9E" w:rsidRPr="004C6A65" w:rsidTr="00E7281E">
        <w:trPr>
          <w:trHeight w:hRule="exact" w:val="1432"/>
          <w:jc w:val="center"/>
        </w:trPr>
        <w:tc>
          <w:tcPr>
            <w:tcW w:w="2066" w:type="dxa"/>
            <w:vAlign w:val="center"/>
          </w:tcPr>
          <w:p w:rsidR="00271C9E" w:rsidRPr="004C6A65" w:rsidRDefault="00271C9E" w:rsidP="00E7281E">
            <w:pPr>
              <w:ind w:left="270"/>
              <w:jc w:val="center"/>
              <w:rPr>
                <w:b/>
              </w:rPr>
            </w:pPr>
            <w:r w:rsidRPr="004C6A65">
              <w:rPr>
                <w:b/>
              </w:rPr>
              <w:t xml:space="preserve">Appendix </w:t>
            </w:r>
            <w:r>
              <w:rPr>
                <w:b/>
              </w:rPr>
              <w:t>C</w:t>
            </w:r>
          </w:p>
        </w:tc>
        <w:tc>
          <w:tcPr>
            <w:tcW w:w="6790" w:type="dxa"/>
            <w:vAlign w:val="bottom"/>
          </w:tcPr>
          <w:p w:rsidR="00271C9E" w:rsidRPr="00E7281E" w:rsidRDefault="003A1A41" w:rsidP="00E7281E">
            <w:pPr>
              <w:pStyle w:val="NormalinTable"/>
              <w:framePr w:wrap="notBeside"/>
            </w:pPr>
            <w:r w:rsidRPr="00E7281E">
              <w:object w:dxaOrig="2069" w:dyaOrig="1320">
                <v:shape id="_x0000_i1027" type="#_x0000_t75" style="width:88.5pt;height:56.25pt" o:ole="">
                  <v:imagedata r:id="rId27" o:title=""/>
                </v:shape>
                <o:OLEObject Type="Embed" ProgID="Excel.Sheet.12" ShapeID="_x0000_i1027" DrawAspect="Icon" ObjectID="_1407823069" r:id="rId28"/>
              </w:object>
            </w:r>
          </w:p>
        </w:tc>
      </w:tr>
      <w:tr w:rsidR="00271C9E" w:rsidRPr="004C6A65" w:rsidTr="00E7281E">
        <w:trPr>
          <w:trHeight w:hRule="exact" w:val="1360"/>
          <w:jc w:val="center"/>
        </w:trPr>
        <w:tc>
          <w:tcPr>
            <w:tcW w:w="2066" w:type="dxa"/>
            <w:vAlign w:val="center"/>
          </w:tcPr>
          <w:p w:rsidR="00271C9E" w:rsidRPr="004C6A65" w:rsidRDefault="00271C9E" w:rsidP="00E7281E">
            <w:pPr>
              <w:ind w:left="270"/>
              <w:jc w:val="center"/>
              <w:rPr>
                <w:b/>
              </w:rPr>
            </w:pPr>
            <w:r w:rsidRPr="004C6A65">
              <w:rPr>
                <w:b/>
              </w:rPr>
              <w:t xml:space="preserve">Appendix </w:t>
            </w:r>
            <w:r>
              <w:rPr>
                <w:b/>
              </w:rPr>
              <w:t>D</w:t>
            </w:r>
          </w:p>
        </w:tc>
        <w:tc>
          <w:tcPr>
            <w:tcW w:w="6790" w:type="dxa"/>
            <w:vAlign w:val="bottom"/>
          </w:tcPr>
          <w:p w:rsidR="00271C9E" w:rsidRPr="00E7281E" w:rsidRDefault="003A1A41" w:rsidP="00E7281E">
            <w:pPr>
              <w:pStyle w:val="NormalinTable"/>
              <w:framePr w:wrap="notBeside"/>
            </w:pPr>
            <w:r w:rsidRPr="00E7281E">
              <w:object w:dxaOrig="2069" w:dyaOrig="1320">
                <v:shape id="_x0000_i1028" type="#_x0000_t75" style="width:109.5pt;height:69.75pt" o:ole="">
                  <v:imagedata r:id="rId29" o:title=""/>
                </v:shape>
                <o:OLEObject Type="Embed" ProgID="Excel.Sheet.12" ShapeID="_x0000_i1028" DrawAspect="Icon" ObjectID="_1407823070" r:id="rId30"/>
              </w:object>
            </w:r>
          </w:p>
        </w:tc>
      </w:tr>
      <w:tr w:rsidR="00271C9E" w:rsidRPr="004C6A65" w:rsidTr="00E7281E">
        <w:trPr>
          <w:trHeight w:hRule="exact" w:val="1432"/>
          <w:jc w:val="center"/>
        </w:trPr>
        <w:tc>
          <w:tcPr>
            <w:tcW w:w="2066" w:type="dxa"/>
            <w:vAlign w:val="center"/>
          </w:tcPr>
          <w:p w:rsidR="00271C9E" w:rsidRPr="004C6A65" w:rsidRDefault="00271C9E" w:rsidP="00E7281E">
            <w:pPr>
              <w:ind w:left="270"/>
              <w:jc w:val="center"/>
              <w:rPr>
                <w:b/>
              </w:rPr>
            </w:pPr>
            <w:r w:rsidRPr="004C6A65">
              <w:rPr>
                <w:b/>
              </w:rPr>
              <w:t xml:space="preserve">Appendix </w:t>
            </w:r>
            <w:r>
              <w:rPr>
                <w:b/>
              </w:rPr>
              <w:t>E</w:t>
            </w:r>
          </w:p>
        </w:tc>
        <w:tc>
          <w:tcPr>
            <w:tcW w:w="6790" w:type="dxa"/>
            <w:vAlign w:val="bottom"/>
          </w:tcPr>
          <w:p w:rsidR="00271C9E" w:rsidRPr="00E7281E" w:rsidRDefault="003A1A41" w:rsidP="00E7281E">
            <w:pPr>
              <w:pStyle w:val="NormalinTable"/>
              <w:framePr w:wrap="notBeside"/>
            </w:pPr>
            <w:r w:rsidRPr="00E7281E">
              <w:object w:dxaOrig="2069" w:dyaOrig="1320">
                <v:shape id="_x0000_i1029" type="#_x0000_t75" style="width:118.5pt;height:75.75pt" o:ole="">
                  <v:imagedata r:id="rId31" o:title=""/>
                </v:shape>
                <o:OLEObject Type="Embed" ProgID="Excel.Sheet.12" ShapeID="_x0000_i1029" DrawAspect="Icon" ObjectID="_1407823071" r:id="rId32"/>
              </w:object>
            </w:r>
          </w:p>
        </w:tc>
      </w:tr>
      <w:tr w:rsidR="00271C9E" w:rsidRPr="004C6A65" w:rsidTr="00E7281E">
        <w:trPr>
          <w:trHeight w:hRule="exact" w:val="1360"/>
          <w:jc w:val="center"/>
        </w:trPr>
        <w:tc>
          <w:tcPr>
            <w:tcW w:w="2066" w:type="dxa"/>
            <w:vAlign w:val="center"/>
          </w:tcPr>
          <w:p w:rsidR="00271C9E" w:rsidRPr="004C6A65" w:rsidRDefault="00271C9E" w:rsidP="00E7281E">
            <w:pPr>
              <w:ind w:left="270"/>
              <w:jc w:val="center"/>
              <w:rPr>
                <w:b/>
              </w:rPr>
            </w:pPr>
            <w:r w:rsidRPr="004C6A65">
              <w:rPr>
                <w:b/>
              </w:rPr>
              <w:t xml:space="preserve">Appendix </w:t>
            </w:r>
            <w:r>
              <w:rPr>
                <w:b/>
              </w:rPr>
              <w:t>F</w:t>
            </w:r>
          </w:p>
        </w:tc>
        <w:tc>
          <w:tcPr>
            <w:tcW w:w="6790" w:type="dxa"/>
            <w:vAlign w:val="bottom"/>
          </w:tcPr>
          <w:p w:rsidR="00271C9E" w:rsidRPr="00E7281E" w:rsidRDefault="003A1A41" w:rsidP="00E7281E">
            <w:pPr>
              <w:pStyle w:val="NormalinTable"/>
              <w:framePr w:wrap="notBeside"/>
            </w:pPr>
            <w:r w:rsidRPr="00E7281E">
              <w:object w:dxaOrig="2069" w:dyaOrig="1320">
                <v:shape id="_x0000_i1030" type="#_x0000_t75" style="width:109.5pt;height:69.75pt" o:ole="">
                  <v:imagedata r:id="rId33" o:title=""/>
                </v:shape>
                <o:OLEObject Type="Embed" ProgID="Excel.Sheet.12" ShapeID="_x0000_i1030" DrawAspect="Icon" ObjectID="_1407823072" r:id="rId34"/>
              </w:object>
            </w:r>
          </w:p>
        </w:tc>
      </w:tr>
      <w:tr w:rsidR="00271C9E" w:rsidRPr="004C6A65" w:rsidTr="00E7281E">
        <w:trPr>
          <w:trHeight w:hRule="exact" w:val="1342"/>
          <w:jc w:val="center"/>
        </w:trPr>
        <w:tc>
          <w:tcPr>
            <w:tcW w:w="2066" w:type="dxa"/>
            <w:vAlign w:val="center"/>
          </w:tcPr>
          <w:p w:rsidR="00271C9E" w:rsidRPr="004C6A65" w:rsidRDefault="00271C9E" w:rsidP="00E7281E">
            <w:pPr>
              <w:ind w:left="270"/>
              <w:jc w:val="center"/>
              <w:rPr>
                <w:b/>
              </w:rPr>
            </w:pPr>
            <w:r w:rsidRPr="004C6A65">
              <w:rPr>
                <w:b/>
              </w:rPr>
              <w:t xml:space="preserve">Appendix </w:t>
            </w:r>
            <w:r>
              <w:rPr>
                <w:b/>
              </w:rPr>
              <w:t>G</w:t>
            </w:r>
          </w:p>
        </w:tc>
        <w:tc>
          <w:tcPr>
            <w:tcW w:w="6790" w:type="dxa"/>
            <w:vAlign w:val="bottom"/>
          </w:tcPr>
          <w:p w:rsidR="00271C9E" w:rsidRPr="00E7281E" w:rsidRDefault="009D6A15" w:rsidP="00E7281E">
            <w:pPr>
              <w:pStyle w:val="NormalinTable"/>
              <w:framePr w:wrap="notBeside"/>
            </w:pPr>
            <w:r w:rsidRPr="00E7281E">
              <w:object w:dxaOrig="1550" w:dyaOrig="991">
                <v:shape id="_x0000_i1031" type="#_x0000_t75" style="width:81.75pt;height:52.5pt" o:ole="">
                  <v:imagedata r:id="rId35" o:title=""/>
                </v:shape>
                <o:OLEObject Type="Embed" ProgID="Excel.Sheet.12" ShapeID="_x0000_i1031" DrawAspect="Icon" ObjectID="_1407823073" r:id="rId36"/>
              </w:object>
            </w:r>
          </w:p>
        </w:tc>
      </w:tr>
      <w:tr w:rsidR="003C58BB" w:rsidRPr="004C6A65" w:rsidTr="00E7281E">
        <w:trPr>
          <w:trHeight w:hRule="exact" w:val="1432"/>
          <w:jc w:val="center"/>
        </w:trPr>
        <w:tc>
          <w:tcPr>
            <w:tcW w:w="2066" w:type="dxa"/>
            <w:vAlign w:val="center"/>
          </w:tcPr>
          <w:p w:rsidR="003C58BB" w:rsidRPr="004C6A65" w:rsidRDefault="003C58BB" w:rsidP="00E7281E">
            <w:pPr>
              <w:ind w:left="270"/>
              <w:jc w:val="center"/>
              <w:rPr>
                <w:b/>
              </w:rPr>
            </w:pPr>
            <w:r>
              <w:rPr>
                <w:b/>
              </w:rPr>
              <w:t>Appendix H</w:t>
            </w:r>
          </w:p>
        </w:tc>
        <w:tc>
          <w:tcPr>
            <w:tcW w:w="6790" w:type="dxa"/>
            <w:vAlign w:val="bottom"/>
          </w:tcPr>
          <w:p w:rsidR="003C58BB" w:rsidRPr="00E7281E" w:rsidRDefault="003A1A41" w:rsidP="00E7281E">
            <w:pPr>
              <w:pStyle w:val="NormalinTable"/>
              <w:framePr w:wrap="notBeside"/>
            </w:pPr>
            <w:r w:rsidRPr="00E7281E">
              <w:object w:dxaOrig="2069" w:dyaOrig="1320">
                <v:shape id="_x0000_i1032" type="#_x0000_t75" style="width:88.5pt;height:56.25pt" o:ole="">
                  <v:imagedata r:id="rId37" o:title=""/>
                </v:shape>
                <o:OLEObject Type="Embed" ProgID="Excel.Sheet.12" ShapeID="_x0000_i1032" DrawAspect="Icon" ObjectID="_1407823074" r:id="rId38"/>
              </w:object>
            </w:r>
          </w:p>
        </w:tc>
      </w:tr>
      <w:tr w:rsidR="0044128A" w:rsidRPr="004C6A65" w:rsidTr="00E7281E">
        <w:trPr>
          <w:trHeight w:hRule="exact" w:val="1450"/>
          <w:jc w:val="center"/>
        </w:trPr>
        <w:tc>
          <w:tcPr>
            <w:tcW w:w="2066" w:type="dxa"/>
            <w:vAlign w:val="center"/>
          </w:tcPr>
          <w:p w:rsidR="0044128A" w:rsidRDefault="0044128A" w:rsidP="00E7281E">
            <w:pPr>
              <w:ind w:left="270"/>
              <w:jc w:val="center"/>
              <w:rPr>
                <w:b/>
              </w:rPr>
            </w:pPr>
            <w:r>
              <w:rPr>
                <w:b/>
              </w:rPr>
              <w:lastRenderedPageBreak/>
              <w:t>Appendix I</w:t>
            </w:r>
          </w:p>
        </w:tc>
        <w:tc>
          <w:tcPr>
            <w:tcW w:w="6790" w:type="dxa"/>
            <w:vAlign w:val="bottom"/>
          </w:tcPr>
          <w:p w:rsidR="0044128A" w:rsidRPr="00E7281E" w:rsidRDefault="003A1A41" w:rsidP="00E7281E">
            <w:pPr>
              <w:pStyle w:val="NormalinTable"/>
              <w:framePr w:wrap="notBeside"/>
            </w:pPr>
            <w:r w:rsidRPr="00E7281E">
              <w:object w:dxaOrig="2069" w:dyaOrig="1320">
                <v:shape id="_x0000_i1033" type="#_x0000_t75" style="width:108pt;height:69pt" o:ole="">
                  <v:imagedata r:id="rId39" o:title=""/>
                </v:shape>
                <o:OLEObject Type="Embed" ProgID="Excel.Sheet.12" ShapeID="_x0000_i1033" DrawAspect="Icon" ObjectID="_1407823075" r:id="rId40"/>
              </w:object>
            </w:r>
          </w:p>
        </w:tc>
      </w:tr>
      <w:tr w:rsidR="0044128A" w:rsidRPr="004C6A65" w:rsidTr="00E7281E">
        <w:trPr>
          <w:trHeight w:hRule="exact" w:val="1342"/>
          <w:jc w:val="center"/>
        </w:trPr>
        <w:tc>
          <w:tcPr>
            <w:tcW w:w="2066" w:type="dxa"/>
            <w:vAlign w:val="center"/>
          </w:tcPr>
          <w:p w:rsidR="0044128A" w:rsidRDefault="0044128A" w:rsidP="00E7281E">
            <w:pPr>
              <w:ind w:left="270"/>
              <w:jc w:val="center"/>
              <w:rPr>
                <w:b/>
              </w:rPr>
            </w:pPr>
            <w:r>
              <w:rPr>
                <w:b/>
              </w:rPr>
              <w:t>Appendix J</w:t>
            </w:r>
          </w:p>
        </w:tc>
        <w:tc>
          <w:tcPr>
            <w:tcW w:w="6790" w:type="dxa"/>
            <w:vAlign w:val="bottom"/>
          </w:tcPr>
          <w:p w:rsidR="0044128A" w:rsidRPr="00E7281E" w:rsidRDefault="00FC5446" w:rsidP="00E7281E">
            <w:pPr>
              <w:pStyle w:val="NormalinTable"/>
              <w:framePr w:wrap="notBeside"/>
            </w:pPr>
            <w:r w:rsidRPr="00E7281E">
              <w:object w:dxaOrig="2069" w:dyaOrig="1320">
                <v:shape id="_x0000_i1034" type="#_x0000_t75" style="width:103.5pt;height:66pt" o:ole="">
                  <v:imagedata r:id="rId41" o:title=""/>
                </v:shape>
                <o:OLEObject Type="Embed" ProgID="Excel.Sheet.12" ShapeID="_x0000_i1034" DrawAspect="Icon" ObjectID="_1407823076" r:id="rId42"/>
              </w:object>
            </w:r>
          </w:p>
        </w:tc>
      </w:tr>
      <w:tr w:rsidR="0044128A" w:rsidRPr="004C6A65" w:rsidTr="00E7281E">
        <w:trPr>
          <w:trHeight w:hRule="exact" w:val="1270"/>
          <w:jc w:val="center"/>
        </w:trPr>
        <w:tc>
          <w:tcPr>
            <w:tcW w:w="2066" w:type="dxa"/>
            <w:vAlign w:val="center"/>
          </w:tcPr>
          <w:p w:rsidR="0044128A" w:rsidRDefault="0044128A" w:rsidP="00E7281E">
            <w:pPr>
              <w:ind w:left="270"/>
              <w:jc w:val="center"/>
              <w:rPr>
                <w:b/>
              </w:rPr>
            </w:pPr>
            <w:r>
              <w:rPr>
                <w:b/>
              </w:rPr>
              <w:t>Appendix K</w:t>
            </w:r>
          </w:p>
        </w:tc>
        <w:tc>
          <w:tcPr>
            <w:tcW w:w="6790" w:type="dxa"/>
            <w:vAlign w:val="bottom"/>
          </w:tcPr>
          <w:p w:rsidR="0044128A" w:rsidRPr="00E7281E" w:rsidRDefault="00FC5446" w:rsidP="00E7281E">
            <w:pPr>
              <w:pStyle w:val="NormalinTable"/>
              <w:framePr w:wrap="notBeside"/>
            </w:pPr>
            <w:r w:rsidRPr="00E7281E">
              <w:object w:dxaOrig="2069" w:dyaOrig="1320">
                <v:shape id="_x0000_i1035" type="#_x0000_t75" style="width:77.25pt;height:49.5pt" o:ole="">
                  <v:imagedata r:id="rId43" o:title=""/>
                </v:shape>
                <o:OLEObject Type="Embed" ProgID="Excel.Sheet.12" ShapeID="_x0000_i1035" DrawAspect="Icon" ObjectID="_1407823077" r:id="rId44"/>
              </w:object>
            </w:r>
          </w:p>
        </w:tc>
      </w:tr>
      <w:tr w:rsidR="0044128A" w:rsidRPr="004C6A65" w:rsidTr="00E7281E">
        <w:trPr>
          <w:trHeight w:hRule="exact" w:val="1522"/>
          <w:jc w:val="center"/>
        </w:trPr>
        <w:tc>
          <w:tcPr>
            <w:tcW w:w="2066" w:type="dxa"/>
            <w:vAlign w:val="center"/>
          </w:tcPr>
          <w:p w:rsidR="0044128A" w:rsidRDefault="0044128A" w:rsidP="00E7281E">
            <w:pPr>
              <w:ind w:left="270"/>
              <w:jc w:val="center"/>
              <w:rPr>
                <w:b/>
              </w:rPr>
            </w:pPr>
            <w:r>
              <w:rPr>
                <w:b/>
              </w:rPr>
              <w:t>Appendix L</w:t>
            </w:r>
          </w:p>
        </w:tc>
        <w:tc>
          <w:tcPr>
            <w:tcW w:w="6790" w:type="dxa"/>
            <w:vAlign w:val="bottom"/>
          </w:tcPr>
          <w:p w:rsidR="0044128A" w:rsidRPr="00E7281E" w:rsidRDefault="00FC5446" w:rsidP="00E7281E">
            <w:pPr>
              <w:pStyle w:val="NormalinTable"/>
              <w:framePr w:wrap="notBeside"/>
            </w:pPr>
            <w:r w:rsidRPr="00E7281E">
              <w:object w:dxaOrig="2069" w:dyaOrig="1320">
                <v:shape id="_x0000_i1036" type="#_x0000_t75" style="width:93pt;height:59.25pt" o:ole="">
                  <v:imagedata r:id="rId45" o:title=""/>
                </v:shape>
                <o:OLEObject Type="Embed" ProgID="Excel.Sheet.12" ShapeID="_x0000_i1036" DrawAspect="Icon" ObjectID="_1407823078" r:id="rId46"/>
              </w:object>
            </w:r>
          </w:p>
        </w:tc>
      </w:tr>
      <w:tr w:rsidR="009F0B62" w:rsidRPr="004C6A65" w:rsidTr="00E7281E">
        <w:trPr>
          <w:trHeight w:hRule="exact" w:val="1630"/>
          <w:jc w:val="center"/>
        </w:trPr>
        <w:tc>
          <w:tcPr>
            <w:tcW w:w="2066" w:type="dxa"/>
            <w:vAlign w:val="center"/>
          </w:tcPr>
          <w:p w:rsidR="009F0B62" w:rsidRDefault="009F0B62" w:rsidP="00E7281E">
            <w:pPr>
              <w:ind w:left="270"/>
              <w:jc w:val="center"/>
              <w:rPr>
                <w:b/>
              </w:rPr>
            </w:pPr>
            <w:r>
              <w:rPr>
                <w:b/>
              </w:rPr>
              <w:t>Appendix M</w:t>
            </w:r>
          </w:p>
        </w:tc>
        <w:tc>
          <w:tcPr>
            <w:tcW w:w="6790" w:type="dxa"/>
            <w:vAlign w:val="bottom"/>
          </w:tcPr>
          <w:p w:rsidR="009F0B62" w:rsidRDefault="00FC5446" w:rsidP="00E7281E">
            <w:pPr>
              <w:pStyle w:val="NormalinTable"/>
              <w:framePr w:wrap="notBeside"/>
            </w:pPr>
            <w:r w:rsidRPr="00947901">
              <w:object w:dxaOrig="2069" w:dyaOrig="1320">
                <v:shape id="_x0000_i1037" type="#_x0000_t75" style="width:93pt;height:59.25pt" o:ole="">
                  <v:imagedata r:id="rId47" o:title=""/>
                </v:shape>
                <o:OLEObject Type="Embed" ProgID="Excel.Sheet.12" ShapeID="_x0000_i1037" DrawAspect="Icon" ObjectID="_1407823079" r:id="rId48"/>
              </w:object>
            </w:r>
          </w:p>
        </w:tc>
      </w:tr>
      <w:tr w:rsidR="005D601B" w:rsidRPr="004C6A65" w:rsidTr="00E7281E">
        <w:trPr>
          <w:trHeight w:hRule="exact" w:val="1432"/>
          <w:jc w:val="center"/>
        </w:trPr>
        <w:tc>
          <w:tcPr>
            <w:tcW w:w="2066" w:type="dxa"/>
            <w:vAlign w:val="center"/>
          </w:tcPr>
          <w:p w:rsidR="005D601B" w:rsidRDefault="005D601B" w:rsidP="00E7281E">
            <w:pPr>
              <w:ind w:left="270"/>
              <w:jc w:val="center"/>
              <w:rPr>
                <w:b/>
              </w:rPr>
            </w:pPr>
            <w:r>
              <w:rPr>
                <w:b/>
              </w:rPr>
              <w:t>Appendix N</w:t>
            </w:r>
          </w:p>
        </w:tc>
        <w:tc>
          <w:tcPr>
            <w:tcW w:w="6790" w:type="dxa"/>
            <w:vAlign w:val="bottom"/>
          </w:tcPr>
          <w:p w:rsidR="005D601B" w:rsidRDefault="00FC5446" w:rsidP="00E7281E">
            <w:pPr>
              <w:pStyle w:val="NormalinTable"/>
              <w:framePr w:wrap="notBeside"/>
            </w:pPr>
            <w:r w:rsidRPr="00947901">
              <w:object w:dxaOrig="2069" w:dyaOrig="1320">
                <v:shape id="_x0000_i1038" type="#_x0000_t75" style="width:90.75pt;height:57.75pt" o:ole="">
                  <v:imagedata r:id="rId49" o:title=""/>
                </v:shape>
                <o:OLEObject Type="Embed" ProgID="Excel.Sheet.12" ShapeID="_x0000_i1038" DrawAspect="Icon" ObjectID="_1407823080" r:id="rId50"/>
              </w:object>
            </w:r>
          </w:p>
        </w:tc>
      </w:tr>
    </w:tbl>
    <w:p w:rsidR="00F57E8B" w:rsidRPr="005C090B" w:rsidRDefault="00F57E8B" w:rsidP="00370479">
      <w:pPr>
        <w:pStyle w:val="BodyText"/>
        <w:rPr>
          <w:sz w:val="22"/>
        </w:rPr>
      </w:pPr>
    </w:p>
    <w:sectPr w:rsidR="00F57E8B" w:rsidRPr="005C090B" w:rsidSect="00164EF3">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40DF" w:rsidRDefault="000340DF">
      <w:r>
        <w:separator/>
      </w:r>
    </w:p>
  </w:endnote>
  <w:endnote w:type="continuationSeparator" w:id="0">
    <w:p w:rsidR="000340DF" w:rsidRDefault="000340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913" w:rsidRPr="00400806" w:rsidRDefault="00293913" w:rsidP="00370479">
    <w:pPr>
      <w:pStyle w:val="table"/>
    </w:pPr>
    <w:r w:rsidRPr="00400806">
      <w:rPr>
        <w:rStyle w:val="PageNumber"/>
        <w:sz w:val="16"/>
        <w:szCs w:val="16"/>
      </w:rPr>
      <w:t>© 200</w:t>
    </w:r>
    <w:r>
      <w:rPr>
        <w:rStyle w:val="PageNumber"/>
        <w:sz w:val="16"/>
        <w:szCs w:val="16"/>
      </w:rPr>
      <w:t>9</w:t>
    </w:r>
    <w:r w:rsidRPr="00400806">
      <w:rPr>
        <w:rStyle w:val="PageNumber"/>
        <w:sz w:val="16"/>
        <w:szCs w:val="16"/>
      </w:rPr>
      <w:t xml:space="preserve"> Electric Reliability Council of Texas, Inc. All rights reserved.</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shd w:val="clear" w:color="auto" w:fill="35608F"/>
      <w:tblLook w:val="01E0" w:firstRow="1" w:lastRow="1" w:firstColumn="1" w:lastColumn="1" w:noHBand="0" w:noVBand="0"/>
    </w:tblPr>
    <w:tblGrid>
      <w:gridCol w:w="4788"/>
      <w:gridCol w:w="4788"/>
    </w:tblGrid>
    <w:tr w:rsidR="00293913" w:rsidTr="007E2C7D">
      <w:tc>
        <w:tcPr>
          <w:tcW w:w="2500" w:type="pct"/>
          <w:shd w:val="clear" w:color="auto" w:fill="35608F"/>
          <w:vAlign w:val="center"/>
        </w:tcPr>
        <w:p w:rsidR="00293913" w:rsidRPr="007E2C7D" w:rsidRDefault="00293913" w:rsidP="00370479">
          <w:pPr>
            <w:pStyle w:val="table"/>
          </w:pPr>
          <w:r>
            <w:rPr>
              <w:rStyle w:val="PageNumber"/>
              <w:i/>
              <w:iCs w:val="0"/>
              <w:color w:val="FFFFFF"/>
              <w:sz w:val="16"/>
              <w:szCs w:val="16"/>
            </w:rPr>
            <w:t>© 2012</w:t>
          </w:r>
          <w:r w:rsidRPr="007E2C7D">
            <w:rPr>
              <w:rStyle w:val="PageNumber"/>
              <w:i/>
              <w:iCs w:val="0"/>
              <w:color w:val="FFFFFF"/>
              <w:sz w:val="16"/>
              <w:szCs w:val="16"/>
            </w:rPr>
            <w:t xml:space="preserve"> Electric Reliability Council of Texas, Inc.</w:t>
          </w:r>
        </w:p>
      </w:tc>
      <w:tc>
        <w:tcPr>
          <w:tcW w:w="2500" w:type="pct"/>
          <w:shd w:val="clear" w:color="auto" w:fill="35608F"/>
          <w:vAlign w:val="center"/>
        </w:tcPr>
        <w:p w:rsidR="00293913" w:rsidRPr="007E2C7D" w:rsidRDefault="00293913" w:rsidP="007E2C7D">
          <w:pPr>
            <w:spacing w:before="40" w:after="40"/>
            <w:jc w:val="right"/>
            <w:rPr>
              <w:rFonts w:ascii="Arial" w:hAnsi="Arial" w:cs="Arial"/>
              <w:i/>
              <w:iCs/>
              <w:color w:val="FFFFFF"/>
              <w:sz w:val="18"/>
            </w:rPr>
          </w:pPr>
          <w:r>
            <w:rPr>
              <w:rFonts w:ascii="Arial" w:hAnsi="Arial" w:cs="Arial"/>
              <w:i/>
              <w:iCs/>
              <w:color w:val="FFFFFF"/>
              <w:sz w:val="18"/>
            </w:rPr>
            <w:t>System Planning</w:t>
          </w:r>
        </w:p>
      </w:tc>
    </w:tr>
  </w:tbl>
  <w:p w:rsidR="00293913" w:rsidRDefault="0029391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913" w:rsidRPr="001F7C8D" w:rsidRDefault="00293913" w:rsidP="00370479">
    <w:pPr>
      <w:pStyle w:val="table"/>
      <w:rPr>
        <w:sz w:val="21"/>
        <w:szCs w:val="21"/>
      </w:rPr>
    </w:pPr>
    <w:r>
      <w:rPr>
        <w:rStyle w:val="PageNumber"/>
        <w:sz w:val="16"/>
        <w:szCs w:val="16"/>
      </w:rPr>
      <w:t>© 2012</w:t>
    </w:r>
    <w:r w:rsidRPr="00400806">
      <w:rPr>
        <w:rStyle w:val="PageNumber"/>
        <w:sz w:val="16"/>
        <w:szCs w:val="16"/>
      </w:rPr>
      <w:t xml:space="preserve"> Electric Reliability Council of Texas, Inc. All rights reserved.</w:t>
    </w:r>
    <w:r>
      <w:rPr>
        <w:rStyle w:val="PageNumber"/>
        <w:sz w:val="16"/>
        <w:szCs w:val="16"/>
      </w:rPr>
      <w:tab/>
    </w:r>
    <w:r>
      <w:rPr>
        <w:rStyle w:val="PageNumber"/>
        <w:sz w:val="16"/>
        <w:szCs w:val="16"/>
      </w:rPr>
      <w:tab/>
    </w:r>
    <w:r>
      <w:rPr>
        <w:rStyle w:val="PageNumber"/>
        <w:sz w:val="16"/>
        <w:szCs w:val="16"/>
      </w:rPr>
      <w:tab/>
    </w:r>
    <w:r>
      <w:rPr>
        <w:rStyle w:val="PageNumber"/>
        <w:sz w:val="16"/>
        <w:szCs w:val="16"/>
      </w:rPr>
      <w:tab/>
    </w:r>
    <w:r>
      <w:rPr>
        <w:rStyle w:val="PageNumber"/>
        <w:rFonts w:ascii="Times New Roman" w:hAnsi="Times New Roman"/>
        <w:sz w:val="24"/>
      </w:rPr>
      <w:tab/>
    </w:r>
    <w:r w:rsidRPr="00E71999">
      <w:rPr>
        <w:rStyle w:val="PageNumber"/>
        <w:rFonts w:cs="Arial"/>
        <w:sz w:val="20"/>
      </w:rPr>
      <w:fldChar w:fldCharType="begin"/>
    </w:r>
    <w:r w:rsidRPr="00E71999">
      <w:rPr>
        <w:rStyle w:val="PageNumber"/>
        <w:rFonts w:cs="Arial"/>
        <w:sz w:val="20"/>
      </w:rPr>
      <w:instrText xml:space="preserve"> PAGE </w:instrText>
    </w:r>
    <w:r w:rsidRPr="00E71999">
      <w:rPr>
        <w:rStyle w:val="PageNumber"/>
        <w:rFonts w:cs="Arial"/>
        <w:sz w:val="20"/>
      </w:rPr>
      <w:fldChar w:fldCharType="separate"/>
    </w:r>
    <w:r w:rsidR="00F154FC">
      <w:rPr>
        <w:rStyle w:val="PageNumber"/>
        <w:rFonts w:cs="Arial"/>
        <w:noProof/>
        <w:sz w:val="20"/>
      </w:rPr>
      <w:t>i</w:t>
    </w:r>
    <w:r w:rsidRPr="00E71999">
      <w:rPr>
        <w:rStyle w:val="PageNumber"/>
        <w:rFonts w:cs="Arial"/>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40DF" w:rsidRDefault="000340DF">
      <w:r>
        <w:separator/>
      </w:r>
    </w:p>
  </w:footnote>
  <w:footnote w:type="continuationSeparator" w:id="0">
    <w:p w:rsidR="000340DF" w:rsidRDefault="000340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913" w:rsidRPr="00400806" w:rsidRDefault="00293913" w:rsidP="00302001">
    <w:pPr>
      <w:pStyle w:val="Header"/>
      <w:tabs>
        <w:tab w:val="clear" w:pos="4320"/>
        <w:tab w:val="clear" w:pos="8640"/>
        <w:tab w:val="right" w:pos="9360"/>
      </w:tabs>
      <w:rPr>
        <w:rFonts w:ascii="Arial" w:hAnsi="Arial" w:cs="Arial"/>
        <w:sz w:val="16"/>
        <w:szCs w:val="16"/>
      </w:rPr>
    </w:pPr>
    <w:r w:rsidRPr="005C090B">
      <w:rPr>
        <w:rFonts w:ascii="Arial" w:hAnsi="Arial" w:cs="Arial"/>
        <w:sz w:val="16"/>
        <w:szCs w:val="16"/>
      </w:rPr>
      <w:t xml:space="preserve">ERCOT </w:t>
    </w:r>
    <w:r>
      <w:rPr>
        <w:rFonts w:ascii="Arial" w:hAnsi="Arial" w:cs="Arial"/>
        <w:sz w:val="16"/>
        <w:szCs w:val="16"/>
      </w:rPr>
      <w:t>Independent Review – Karnes and Medina Electric Cooperatives Load Addition Project</w:t>
    </w:r>
    <w:r w:rsidRPr="009477A7">
      <w:rPr>
        <w:rFonts w:ascii="Arial" w:hAnsi="Arial" w:cs="Arial"/>
        <w:sz w:val="16"/>
        <w:szCs w:val="16"/>
      </w:rPr>
      <w:tab/>
      <w:t xml:space="preserve">ERCOT </w:t>
    </w:r>
    <w:r>
      <w:rPr>
        <w:rFonts w:ascii="Arial" w:hAnsi="Arial" w:cs="Arial"/>
        <w:sz w:val="16"/>
        <w:szCs w:val="16"/>
      </w:rPr>
      <w:t>Public</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shd w:val="clear" w:color="auto" w:fill="35608F"/>
      <w:tblLook w:val="01E0" w:firstRow="1" w:lastRow="1" w:firstColumn="1" w:lastColumn="1" w:noHBand="0" w:noVBand="0"/>
    </w:tblPr>
    <w:tblGrid>
      <w:gridCol w:w="4788"/>
      <w:gridCol w:w="4788"/>
    </w:tblGrid>
    <w:tr w:rsidR="00293913" w:rsidTr="007E2C7D">
      <w:tc>
        <w:tcPr>
          <w:tcW w:w="2500" w:type="pct"/>
          <w:shd w:val="clear" w:color="auto" w:fill="35608F"/>
          <w:vAlign w:val="center"/>
        </w:tcPr>
        <w:p w:rsidR="00293913" w:rsidRPr="007E2C7D" w:rsidRDefault="00293913" w:rsidP="00EA3CB7">
          <w:pPr>
            <w:pStyle w:val="Header"/>
            <w:spacing w:before="40" w:after="40"/>
            <w:rPr>
              <w:rFonts w:ascii="Arial" w:hAnsi="Arial" w:cs="Arial"/>
              <w:i/>
              <w:iCs/>
              <w:color w:val="FFFFFF"/>
              <w:sz w:val="16"/>
              <w:szCs w:val="16"/>
            </w:rPr>
          </w:pPr>
          <w:r w:rsidRPr="007E2C7D">
            <w:rPr>
              <w:rFonts w:ascii="Arial" w:hAnsi="Arial" w:cs="Arial"/>
              <w:i/>
              <w:iCs/>
              <w:color w:val="FFFFFF"/>
              <w:sz w:val="16"/>
              <w:szCs w:val="16"/>
            </w:rPr>
            <w:t>ER</w:t>
          </w:r>
          <w:r>
            <w:rPr>
              <w:rFonts w:ascii="Arial" w:hAnsi="Arial" w:cs="Arial"/>
              <w:i/>
              <w:iCs/>
              <w:color w:val="FFFFFF"/>
              <w:sz w:val="16"/>
              <w:szCs w:val="16"/>
            </w:rPr>
            <w:t xml:space="preserve">COT Independent Review – KEC and MEC Load Addition </w:t>
          </w:r>
          <w:r w:rsidRPr="007E2C7D">
            <w:rPr>
              <w:rFonts w:ascii="Arial" w:hAnsi="Arial" w:cs="Arial"/>
              <w:i/>
              <w:iCs/>
              <w:color w:val="FFFFFF"/>
              <w:sz w:val="16"/>
              <w:szCs w:val="16"/>
            </w:rPr>
            <w:t>Project</w:t>
          </w:r>
        </w:p>
      </w:tc>
      <w:tc>
        <w:tcPr>
          <w:tcW w:w="2500" w:type="pct"/>
          <w:shd w:val="clear" w:color="auto" w:fill="35608F"/>
          <w:vAlign w:val="center"/>
        </w:tcPr>
        <w:p w:rsidR="00293913" w:rsidRPr="007E2C7D" w:rsidRDefault="00293913" w:rsidP="007E2C7D">
          <w:pPr>
            <w:pStyle w:val="Header"/>
            <w:spacing w:before="40" w:after="40"/>
            <w:jc w:val="right"/>
            <w:rPr>
              <w:rFonts w:ascii="Arial Black" w:hAnsi="Arial Black"/>
              <w:i/>
              <w:iCs/>
              <w:color w:val="FFFFFF"/>
              <w:sz w:val="18"/>
            </w:rPr>
          </w:pPr>
          <w:r w:rsidRPr="007E2C7D">
            <w:rPr>
              <w:rFonts w:ascii="Arial Black" w:hAnsi="Arial Black"/>
              <w:i/>
              <w:iCs/>
              <w:color w:val="FFFFFF"/>
              <w:sz w:val="18"/>
            </w:rPr>
            <w:t>Public</w:t>
          </w:r>
        </w:p>
      </w:tc>
    </w:tr>
  </w:tbl>
  <w:p w:rsidR="00293913" w:rsidRDefault="0029391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913" w:rsidRDefault="00293913">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3913" w:rsidRDefault="0029391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36.75pt;height:22.5pt" o:bullet="t">
        <v:imagedata r:id="rId1" o:title=""/>
      </v:shape>
    </w:pict>
  </w:numPicBullet>
  <w:numPicBullet w:numPicBulletId="1">
    <w:pict>
      <v:shape id="_x0000_i1031" type="#_x0000_t75" style="width:36.75pt;height:22.5pt" o:bullet="t">
        <v:imagedata r:id="rId2" o:title=""/>
      </v:shape>
    </w:pict>
  </w:numPicBullet>
  <w:abstractNum w:abstractNumId="0">
    <w:nsid w:val="0DFA6C61"/>
    <w:multiLevelType w:val="hybridMultilevel"/>
    <w:tmpl w:val="241A4F16"/>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
    <w:nsid w:val="14507CA3"/>
    <w:multiLevelType w:val="hybridMultilevel"/>
    <w:tmpl w:val="74C04712"/>
    <w:lvl w:ilvl="0" w:tplc="F0A47F7A">
      <w:start w:val="1"/>
      <w:numFmt w:val="bullet"/>
      <w:lvlText w:val="•"/>
      <w:lvlJc w:val="left"/>
      <w:pPr>
        <w:tabs>
          <w:tab w:val="num" w:pos="720"/>
        </w:tabs>
        <w:ind w:left="720" w:hanging="360"/>
      </w:pPr>
      <w:rPr>
        <w:rFonts w:ascii="Arial" w:hAnsi="Arial" w:hint="default"/>
      </w:rPr>
    </w:lvl>
    <w:lvl w:ilvl="1" w:tplc="D3CA627C">
      <w:start w:val="1"/>
      <w:numFmt w:val="bullet"/>
      <w:lvlText w:val="•"/>
      <w:lvlJc w:val="left"/>
      <w:pPr>
        <w:tabs>
          <w:tab w:val="num" w:pos="1440"/>
        </w:tabs>
        <w:ind w:left="1440" w:hanging="360"/>
      </w:pPr>
      <w:rPr>
        <w:rFonts w:ascii="Arial" w:hAnsi="Arial" w:hint="default"/>
      </w:rPr>
    </w:lvl>
    <w:lvl w:ilvl="2" w:tplc="AC96A1BE" w:tentative="1">
      <w:start w:val="1"/>
      <w:numFmt w:val="bullet"/>
      <w:lvlText w:val="•"/>
      <w:lvlJc w:val="left"/>
      <w:pPr>
        <w:tabs>
          <w:tab w:val="num" w:pos="2160"/>
        </w:tabs>
        <w:ind w:left="2160" w:hanging="360"/>
      </w:pPr>
      <w:rPr>
        <w:rFonts w:ascii="Arial" w:hAnsi="Arial" w:hint="default"/>
      </w:rPr>
    </w:lvl>
    <w:lvl w:ilvl="3" w:tplc="9D600CA4" w:tentative="1">
      <w:start w:val="1"/>
      <w:numFmt w:val="bullet"/>
      <w:lvlText w:val="•"/>
      <w:lvlJc w:val="left"/>
      <w:pPr>
        <w:tabs>
          <w:tab w:val="num" w:pos="2880"/>
        </w:tabs>
        <w:ind w:left="2880" w:hanging="360"/>
      </w:pPr>
      <w:rPr>
        <w:rFonts w:ascii="Arial" w:hAnsi="Arial" w:hint="default"/>
      </w:rPr>
    </w:lvl>
    <w:lvl w:ilvl="4" w:tplc="6D6C66A8" w:tentative="1">
      <w:start w:val="1"/>
      <w:numFmt w:val="bullet"/>
      <w:lvlText w:val="•"/>
      <w:lvlJc w:val="left"/>
      <w:pPr>
        <w:tabs>
          <w:tab w:val="num" w:pos="3600"/>
        </w:tabs>
        <w:ind w:left="3600" w:hanging="360"/>
      </w:pPr>
      <w:rPr>
        <w:rFonts w:ascii="Arial" w:hAnsi="Arial" w:hint="default"/>
      </w:rPr>
    </w:lvl>
    <w:lvl w:ilvl="5" w:tplc="BA18A468" w:tentative="1">
      <w:start w:val="1"/>
      <w:numFmt w:val="bullet"/>
      <w:lvlText w:val="•"/>
      <w:lvlJc w:val="left"/>
      <w:pPr>
        <w:tabs>
          <w:tab w:val="num" w:pos="4320"/>
        </w:tabs>
        <w:ind w:left="4320" w:hanging="360"/>
      </w:pPr>
      <w:rPr>
        <w:rFonts w:ascii="Arial" w:hAnsi="Arial" w:hint="default"/>
      </w:rPr>
    </w:lvl>
    <w:lvl w:ilvl="6" w:tplc="C178D1A6" w:tentative="1">
      <w:start w:val="1"/>
      <w:numFmt w:val="bullet"/>
      <w:lvlText w:val="•"/>
      <w:lvlJc w:val="left"/>
      <w:pPr>
        <w:tabs>
          <w:tab w:val="num" w:pos="5040"/>
        </w:tabs>
        <w:ind w:left="5040" w:hanging="360"/>
      </w:pPr>
      <w:rPr>
        <w:rFonts w:ascii="Arial" w:hAnsi="Arial" w:hint="default"/>
      </w:rPr>
    </w:lvl>
    <w:lvl w:ilvl="7" w:tplc="6406B7B0" w:tentative="1">
      <w:start w:val="1"/>
      <w:numFmt w:val="bullet"/>
      <w:lvlText w:val="•"/>
      <w:lvlJc w:val="left"/>
      <w:pPr>
        <w:tabs>
          <w:tab w:val="num" w:pos="5760"/>
        </w:tabs>
        <w:ind w:left="5760" w:hanging="360"/>
      </w:pPr>
      <w:rPr>
        <w:rFonts w:ascii="Arial" w:hAnsi="Arial" w:hint="default"/>
      </w:rPr>
    </w:lvl>
    <w:lvl w:ilvl="8" w:tplc="7A522050" w:tentative="1">
      <w:start w:val="1"/>
      <w:numFmt w:val="bullet"/>
      <w:lvlText w:val="•"/>
      <w:lvlJc w:val="left"/>
      <w:pPr>
        <w:tabs>
          <w:tab w:val="num" w:pos="6480"/>
        </w:tabs>
        <w:ind w:left="6480" w:hanging="360"/>
      </w:pPr>
      <w:rPr>
        <w:rFonts w:ascii="Arial" w:hAnsi="Arial" w:hint="default"/>
      </w:rPr>
    </w:lvl>
  </w:abstractNum>
  <w:abstractNum w:abstractNumId="2">
    <w:nsid w:val="17A66CF6"/>
    <w:multiLevelType w:val="hybridMultilevel"/>
    <w:tmpl w:val="B878688E"/>
    <w:lvl w:ilvl="0" w:tplc="04090001">
      <w:start w:val="1"/>
      <w:numFmt w:val="bullet"/>
      <w:lvlText w:val=""/>
      <w:lvlJc w:val="left"/>
      <w:pPr>
        <w:tabs>
          <w:tab w:val="num" w:pos="1620"/>
        </w:tabs>
        <w:ind w:left="1620" w:hanging="360"/>
      </w:pPr>
      <w:rPr>
        <w:rFonts w:ascii="Symbol" w:hAnsi="Symbol" w:hint="default"/>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3">
    <w:nsid w:val="18175F65"/>
    <w:multiLevelType w:val="hybridMultilevel"/>
    <w:tmpl w:val="41582A3A"/>
    <w:lvl w:ilvl="0" w:tplc="E5AA6358">
      <w:start w:val="1"/>
      <w:numFmt w:val="bullet"/>
      <w:lvlText w:val=""/>
      <w:lvlJc w:val="left"/>
      <w:pPr>
        <w:tabs>
          <w:tab w:val="num" w:pos="1872"/>
        </w:tabs>
        <w:ind w:left="1872" w:hanging="360"/>
      </w:pPr>
      <w:rPr>
        <w:rFonts w:ascii="Wingdings" w:hAnsi="Wingdings" w:hint="default"/>
      </w:rPr>
    </w:lvl>
    <w:lvl w:ilvl="1" w:tplc="04090003">
      <w:start w:val="1"/>
      <w:numFmt w:val="bullet"/>
      <w:lvlText w:val="o"/>
      <w:lvlJc w:val="left"/>
      <w:pPr>
        <w:tabs>
          <w:tab w:val="num" w:pos="2592"/>
        </w:tabs>
        <w:ind w:left="2592" w:hanging="360"/>
      </w:pPr>
      <w:rPr>
        <w:rFonts w:ascii="Courier New" w:hAnsi="Courier New" w:hint="default"/>
      </w:rPr>
    </w:lvl>
    <w:lvl w:ilvl="2" w:tplc="04090005" w:tentative="1">
      <w:start w:val="1"/>
      <w:numFmt w:val="bullet"/>
      <w:lvlText w:val=""/>
      <w:lvlJc w:val="left"/>
      <w:pPr>
        <w:tabs>
          <w:tab w:val="num" w:pos="3312"/>
        </w:tabs>
        <w:ind w:left="3312" w:hanging="360"/>
      </w:pPr>
      <w:rPr>
        <w:rFonts w:ascii="Wingdings" w:hAnsi="Wingdings" w:hint="default"/>
      </w:rPr>
    </w:lvl>
    <w:lvl w:ilvl="3" w:tplc="77101410">
      <w:start w:val="1"/>
      <w:numFmt w:val="decimal"/>
      <w:pStyle w:val="number"/>
      <w:lvlText w:val="%4."/>
      <w:lvlJc w:val="left"/>
      <w:pPr>
        <w:tabs>
          <w:tab w:val="num" w:pos="4032"/>
        </w:tabs>
        <w:ind w:left="4032" w:hanging="360"/>
      </w:pPr>
      <w:rPr>
        <w:rFonts w:hint="default"/>
      </w:rPr>
    </w:lvl>
    <w:lvl w:ilvl="4" w:tplc="04090003" w:tentative="1">
      <w:start w:val="1"/>
      <w:numFmt w:val="bullet"/>
      <w:lvlText w:val="o"/>
      <w:lvlJc w:val="left"/>
      <w:pPr>
        <w:tabs>
          <w:tab w:val="num" w:pos="4752"/>
        </w:tabs>
        <w:ind w:left="4752" w:hanging="360"/>
      </w:pPr>
      <w:rPr>
        <w:rFonts w:ascii="Courier New" w:hAnsi="Courier New" w:hint="default"/>
      </w:rPr>
    </w:lvl>
    <w:lvl w:ilvl="5" w:tplc="04090005" w:tentative="1">
      <w:start w:val="1"/>
      <w:numFmt w:val="bullet"/>
      <w:lvlText w:val=""/>
      <w:lvlJc w:val="left"/>
      <w:pPr>
        <w:tabs>
          <w:tab w:val="num" w:pos="5472"/>
        </w:tabs>
        <w:ind w:left="5472" w:hanging="360"/>
      </w:pPr>
      <w:rPr>
        <w:rFonts w:ascii="Wingdings" w:hAnsi="Wingdings" w:hint="default"/>
      </w:rPr>
    </w:lvl>
    <w:lvl w:ilvl="6" w:tplc="04090001" w:tentative="1">
      <w:start w:val="1"/>
      <w:numFmt w:val="bullet"/>
      <w:lvlText w:val=""/>
      <w:lvlJc w:val="left"/>
      <w:pPr>
        <w:tabs>
          <w:tab w:val="num" w:pos="6192"/>
        </w:tabs>
        <w:ind w:left="6192" w:hanging="360"/>
      </w:pPr>
      <w:rPr>
        <w:rFonts w:ascii="Symbol" w:hAnsi="Symbol" w:hint="default"/>
      </w:rPr>
    </w:lvl>
    <w:lvl w:ilvl="7" w:tplc="04090003" w:tentative="1">
      <w:start w:val="1"/>
      <w:numFmt w:val="bullet"/>
      <w:lvlText w:val="o"/>
      <w:lvlJc w:val="left"/>
      <w:pPr>
        <w:tabs>
          <w:tab w:val="num" w:pos="6912"/>
        </w:tabs>
        <w:ind w:left="6912" w:hanging="360"/>
      </w:pPr>
      <w:rPr>
        <w:rFonts w:ascii="Courier New" w:hAnsi="Courier New" w:hint="default"/>
      </w:rPr>
    </w:lvl>
    <w:lvl w:ilvl="8" w:tplc="04090005" w:tentative="1">
      <w:start w:val="1"/>
      <w:numFmt w:val="bullet"/>
      <w:lvlText w:val=""/>
      <w:lvlJc w:val="left"/>
      <w:pPr>
        <w:tabs>
          <w:tab w:val="num" w:pos="7632"/>
        </w:tabs>
        <w:ind w:left="7632" w:hanging="360"/>
      </w:pPr>
      <w:rPr>
        <w:rFonts w:ascii="Wingdings" w:hAnsi="Wingdings" w:hint="default"/>
      </w:rPr>
    </w:lvl>
  </w:abstractNum>
  <w:abstractNum w:abstractNumId="4">
    <w:nsid w:val="19F91FD2"/>
    <w:multiLevelType w:val="multilevel"/>
    <w:tmpl w:val="F440E134"/>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792"/>
        </w:tabs>
        <w:ind w:left="792" w:hanging="432"/>
      </w:pPr>
      <w:rPr>
        <w:rFonts w:hint="default"/>
      </w:rPr>
    </w:lvl>
    <w:lvl w:ilvl="2">
      <w:start w:val="1"/>
      <w:numFmt w:val="decimal"/>
      <w:pStyle w:val="Heading3"/>
      <w:lvlText w:val="%1.%2.%3."/>
      <w:lvlJc w:val="left"/>
      <w:pPr>
        <w:tabs>
          <w:tab w:val="num" w:pos="3960"/>
        </w:tabs>
        <w:ind w:left="3960" w:hanging="720"/>
      </w:pPr>
      <w:rPr>
        <w:rFonts w:hint="default"/>
        <w:sz w:val="20"/>
        <w:szCs w:val="20"/>
      </w:rPr>
    </w:lvl>
    <w:lvl w:ilvl="3">
      <w:start w:val="1"/>
      <w:numFmt w:val="decimal"/>
      <w:pStyle w:val="Heading4"/>
      <w:lvlText w:val="%1.%2.%3.%4."/>
      <w:lvlJc w:val="left"/>
      <w:pPr>
        <w:tabs>
          <w:tab w:val="num" w:pos="4867"/>
        </w:tabs>
        <w:ind w:left="5587" w:hanging="1440"/>
      </w:pPr>
      <w:rPr>
        <w:rFonts w:hint="default"/>
      </w:rPr>
    </w:lvl>
    <w:lvl w:ilvl="4">
      <w:start w:val="1"/>
      <w:numFmt w:val="decimal"/>
      <w:lvlText w:val="%1.%2.%3.%4.%5."/>
      <w:lvlJc w:val="left"/>
      <w:pPr>
        <w:tabs>
          <w:tab w:val="num" w:pos="727"/>
        </w:tabs>
        <w:ind w:left="439" w:hanging="792"/>
      </w:pPr>
      <w:rPr>
        <w:rFonts w:hint="default"/>
      </w:rPr>
    </w:lvl>
    <w:lvl w:ilvl="5">
      <w:start w:val="1"/>
      <w:numFmt w:val="decimal"/>
      <w:lvlText w:val="%1.%2.%3.%4.%5.%6."/>
      <w:lvlJc w:val="left"/>
      <w:pPr>
        <w:tabs>
          <w:tab w:val="num" w:pos="1087"/>
        </w:tabs>
        <w:ind w:left="943" w:hanging="936"/>
      </w:pPr>
      <w:rPr>
        <w:rFonts w:hint="default"/>
      </w:rPr>
    </w:lvl>
    <w:lvl w:ilvl="6">
      <w:start w:val="1"/>
      <w:numFmt w:val="decimal"/>
      <w:lvlText w:val="%1.%2.%3.%4.%5.%6.%7."/>
      <w:lvlJc w:val="left"/>
      <w:pPr>
        <w:tabs>
          <w:tab w:val="num" w:pos="1807"/>
        </w:tabs>
        <w:ind w:left="1447" w:hanging="1080"/>
      </w:pPr>
      <w:rPr>
        <w:rFonts w:hint="default"/>
      </w:rPr>
    </w:lvl>
    <w:lvl w:ilvl="7">
      <w:start w:val="1"/>
      <w:numFmt w:val="decimal"/>
      <w:lvlText w:val="%1.%2.%3.%4.%5.%6.%7.%8."/>
      <w:lvlJc w:val="left"/>
      <w:pPr>
        <w:tabs>
          <w:tab w:val="num" w:pos="2167"/>
        </w:tabs>
        <w:ind w:left="1951" w:hanging="1224"/>
      </w:pPr>
      <w:rPr>
        <w:rFonts w:hint="default"/>
      </w:rPr>
    </w:lvl>
    <w:lvl w:ilvl="8">
      <w:start w:val="1"/>
      <w:numFmt w:val="decimal"/>
      <w:lvlText w:val="%1.%2.%3.%4.%5.%6.%7.%8.%9."/>
      <w:lvlJc w:val="left"/>
      <w:pPr>
        <w:tabs>
          <w:tab w:val="num" w:pos="2887"/>
        </w:tabs>
        <w:ind w:left="2527" w:hanging="1440"/>
      </w:pPr>
      <w:rPr>
        <w:rFonts w:hint="default"/>
      </w:rPr>
    </w:lvl>
  </w:abstractNum>
  <w:abstractNum w:abstractNumId="5">
    <w:nsid w:val="1D8B23FF"/>
    <w:multiLevelType w:val="hybridMultilevel"/>
    <w:tmpl w:val="C85E67E4"/>
    <w:lvl w:ilvl="0" w:tplc="6596AFFC">
      <w:start w:val="1"/>
      <w:numFmt w:val="bullet"/>
      <w:lvlText w:val=""/>
      <w:lvlJc w:val="left"/>
      <w:pPr>
        <w:ind w:left="648" w:hanging="360"/>
      </w:pPr>
      <w:rPr>
        <w:rFonts w:ascii="Symbol" w:hAnsi="Symbol" w:hint="default"/>
      </w:rPr>
    </w:lvl>
    <w:lvl w:ilvl="1" w:tplc="04090003">
      <w:start w:val="1"/>
      <w:numFmt w:val="bullet"/>
      <w:lvlText w:val="o"/>
      <w:lvlJc w:val="left"/>
      <w:pPr>
        <w:tabs>
          <w:tab w:val="num" w:pos="2592"/>
        </w:tabs>
        <w:ind w:left="2592" w:hanging="360"/>
      </w:pPr>
      <w:rPr>
        <w:rFonts w:ascii="Courier New" w:hAnsi="Courier New" w:hint="default"/>
      </w:rPr>
    </w:lvl>
    <w:lvl w:ilvl="2" w:tplc="04090005" w:tentative="1">
      <w:start w:val="1"/>
      <w:numFmt w:val="bullet"/>
      <w:lvlText w:val=""/>
      <w:lvlJc w:val="left"/>
      <w:pPr>
        <w:tabs>
          <w:tab w:val="num" w:pos="3312"/>
        </w:tabs>
        <w:ind w:left="3312" w:hanging="360"/>
      </w:pPr>
      <w:rPr>
        <w:rFonts w:ascii="Wingdings" w:hAnsi="Wingdings" w:hint="default"/>
      </w:rPr>
    </w:lvl>
    <w:lvl w:ilvl="3" w:tplc="04090001">
      <w:start w:val="1"/>
      <w:numFmt w:val="bullet"/>
      <w:lvlText w:val=""/>
      <w:lvlJc w:val="left"/>
      <w:pPr>
        <w:tabs>
          <w:tab w:val="num" w:pos="4032"/>
        </w:tabs>
        <w:ind w:left="4032" w:hanging="360"/>
      </w:pPr>
      <w:rPr>
        <w:rFonts w:ascii="Symbol" w:hAnsi="Symbol" w:hint="default"/>
      </w:rPr>
    </w:lvl>
    <w:lvl w:ilvl="4" w:tplc="04090003" w:tentative="1">
      <w:start w:val="1"/>
      <w:numFmt w:val="bullet"/>
      <w:lvlText w:val="o"/>
      <w:lvlJc w:val="left"/>
      <w:pPr>
        <w:tabs>
          <w:tab w:val="num" w:pos="4752"/>
        </w:tabs>
        <w:ind w:left="4752" w:hanging="360"/>
      </w:pPr>
      <w:rPr>
        <w:rFonts w:ascii="Courier New" w:hAnsi="Courier New" w:hint="default"/>
      </w:rPr>
    </w:lvl>
    <w:lvl w:ilvl="5" w:tplc="04090005" w:tentative="1">
      <w:start w:val="1"/>
      <w:numFmt w:val="bullet"/>
      <w:lvlText w:val=""/>
      <w:lvlJc w:val="left"/>
      <w:pPr>
        <w:tabs>
          <w:tab w:val="num" w:pos="5472"/>
        </w:tabs>
        <w:ind w:left="5472" w:hanging="360"/>
      </w:pPr>
      <w:rPr>
        <w:rFonts w:ascii="Wingdings" w:hAnsi="Wingdings" w:hint="default"/>
      </w:rPr>
    </w:lvl>
    <w:lvl w:ilvl="6" w:tplc="04090001" w:tentative="1">
      <w:start w:val="1"/>
      <w:numFmt w:val="bullet"/>
      <w:lvlText w:val=""/>
      <w:lvlJc w:val="left"/>
      <w:pPr>
        <w:tabs>
          <w:tab w:val="num" w:pos="6192"/>
        </w:tabs>
        <w:ind w:left="6192" w:hanging="360"/>
      </w:pPr>
      <w:rPr>
        <w:rFonts w:ascii="Symbol" w:hAnsi="Symbol" w:hint="default"/>
      </w:rPr>
    </w:lvl>
    <w:lvl w:ilvl="7" w:tplc="04090003" w:tentative="1">
      <w:start w:val="1"/>
      <w:numFmt w:val="bullet"/>
      <w:lvlText w:val="o"/>
      <w:lvlJc w:val="left"/>
      <w:pPr>
        <w:tabs>
          <w:tab w:val="num" w:pos="6912"/>
        </w:tabs>
        <w:ind w:left="6912" w:hanging="360"/>
      </w:pPr>
      <w:rPr>
        <w:rFonts w:ascii="Courier New" w:hAnsi="Courier New" w:hint="default"/>
      </w:rPr>
    </w:lvl>
    <w:lvl w:ilvl="8" w:tplc="04090005" w:tentative="1">
      <w:start w:val="1"/>
      <w:numFmt w:val="bullet"/>
      <w:lvlText w:val=""/>
      <w:lvlJc w:val="left"/>
      <w:pPr>
        <w:tabs>
          <w:tab w:val="num" w:pos="7632"/>
        </w:tabs>
        <w:ind w:left="7632" w:hanging="360"/>
      </w:pPr>
      <w:rPr>
        <w:rFonts w:ascii="Wingdings" w:hAnsi="Wingdings" w:hint="default"/>
      </w:rPr>
    </w:lvl>
  </w:abstractNum>
  <w:abstractNum w:abstractNumId="6">
    <w:nsid w:val="1F232CF0"/>
    <w:multiLevelType w:val="hybridMultilevel"/>
    <w:tmpl w:val="6C82525A"/>
    <w:lvl w:ilvl="0" w:tplc="04090001">
      <w:start w:val="1"/>
      <w:numFmt w:val="bullet"/>
      <w:lvlText w:val=""/>
      <w:lvlJc w:val="left"/>
      <w:pPr>
        <w:tabs>
          <w:tab w:val="num" w:pos="2340"/>
        </w:tabs>
        <w:ind w:left="2340" w:hanging="360"/>
      </w:pPr>
      <w:rPr>
        <w:rFonts w:ascii="Symbol" w:hAnsi="Symbol" w:hint="default"/>
      </w:rPr>
    </w:lvl>
    <w:lvl w:ilvl="1" w:tplc="04090003" w:tentative="1">
      <w:start w:val="1"/>
      <w:numFmt w:val="bullet"/>
      <w:lvlText w:val="o"/>
      <w:lvlJc w:val="left"/>
      <w:pPr>
        <w:tabs>
          <w:tab w:val="num" w:pos="3060"/>
        </w:tabs>
        <w:ind w:left="3060" w:hanging="360"/>
      </w:pPr>
      <w:rPr>
        <w:rFonts w:ascii="Courier New" w:hAnsi="Courier New" w:cs="Courier New" w:hint="default"/>
      </w:rPr>
    </w:lvl>
    <w:lvl w:ilvl="2" w:tplc="04090005" w:tentative="1">
      <w:start w:val="1"/>
      <w:numFmt w:val="bullet"/>
      <w:lvlText w:val=""/>
      <w:lvlJc w:val="left"/>
      <w:pPr>
        <w:tabs>
          <w:tab w:val="num" w:pos="3780"/>
        </w:tabs>
        <w:ind w:left="3780" w:hanging="360"/>
      </w:pPr>
      <w:rPr>
        <w:rFonts w:ascii="Wingdings" w:hAnsi="Wingdings" w:hint="default"/>
      </w:rPr>
    </w:lvl>
    <w:lvl w:ilvl="3" w:tplc="04090001" w:tentative="1">
      <w:start w:val="1"/>
      <w:numFmt w:val="bullet"/>
      <w:lvlText w:val=""/>
      <w:lvlJc w:val="left"/>
      <w:pPr>
        <w:tabs>
          <w:tab w:val="num" w:pos="4500"/>
        </w:tabs>
        <w:ind w:left="4500" w:hanging="360"/>
      </w:pPr>
      <w:rPr>
        <w:rFonts w:ascii="Symbol" w:hAnsi="Symbol" w:hint="default"/>
      </w:rPr>
    </w:lvl>
    <w:lvl w:ilvl="4" w:tplc="04090003" w:tentative="1">
      <w:start w:val="1"/>
      <w:numFmt w:val="bullet"/>
      <w:lvlText w:val="o"/>
      <w:lvlJc w:val="left"/>
      <w:pPr>
        <w:tabs>
          <w:tab w:val="num" w:pos="5220"/>
        </w:tabs>
        <w:ind w:left="5220" w:hanging="360"/>
      </w:pPr>
      <w:rPr>
        <w:rFonts w:ascii="Courier New" w:hAnsi="Courier New" w:cs="Courier New" w:hint="default"/>
      </w:rPr>
    </w:lvl>
    <w:lvl w:ilvl="5" w:tplc="04090005" w:tentative="1">
      <w:start w:val="1"/>
      <w:numFmt w:val="bullet"/>
      <w:lvlText w:val=""/>
      <w:lvlJc w:val="left"/>
      <w:pPr>
        <w:tabs>
          <w:tab w:val="num" w:pos="5940"/>
        </w:tabs>
        <w:ind w:left="5940" w:hanging="360"/>
      </w:pPr>
      <w:rPr>
        <w:rFonts w:ascii="Wingdings" w:hAnsi="Wingdings" w:hint="default"/>
      </w:rPr>
    </w:lvl>
    <w:lvl w:ilvl="6" w:tplc="04090001" w:tentative="1">
      <w:start w:val="1"/>
      <w:numFmt w:val="bullet"/>
      <w:lvlText w:val=""/>
      <w:lvlJc w:val="left"/>
      <w:pPr>
        <w:tabs>
          <w:tab w:val="num" w:pos="6660"/>
        </w:tabs>
        <w:ind w:left="6660" w:hanging="360"/>
      </w:pPr>
      <w:rPr>
        <w:rFonts w:ascii="Symbol" w:hAnsi="Symbol" w:hint="default"/>
      </w:rPr>
    </w:lvl>
    <w:lvl w:ilvl="7" w:tplc="04090003" w:tentative="1">
      <w:start w:val="1"/>
      <w:numFmt w:val="bullet"/>
      <w:lvlText w:val="o"/>
      <w:lvlJc w:val="left"/>
      <w:pPr>
        <w:tabs>
          <w:tab w:val="num" w:pos="7380"/>
        </w:tabs>
        <w:ind w:left="7380" w:hanging="360"/>
      </w:pPr>
      <w:rPr>
        <w:rFonts w:ascii="Courier New" w:hAnsi="Courier New" w:cs="Courier New" w:hint="default"/>
      </w:rPr>
    </w:lvl>
    <w:lvl w:ilvl="8" w:tplc="04090005" w:tentative="1">
      <w:start w:val="1"/>
      <w:numFmt w:val="bullet"/>
      <w:lvlText w:val=""/>
      <w:lvlJc w:val="left"/>
      <w:pPr>
        <w:tabs>
          <w:tab w:val="num" w:pos="8100"/>
        </w:tabs>
        <w:ind w:left="8100" w:hanging="360"/>
      </w:pPr>
      <w:rPr>
        <w:rFonts w:ascii="Wingdings" w:hAnsi="Wingdings" w:hint="default"/>
      </w:rPr>
    </w:lvl>
  </w:abstractNum>
  <w:abstractNum w:abstractNumId="7">
    <w:nsid w:val="204C49E7"/>
    <w:multiLevelType w:val="hybridMultilevel"/>
    <w:tmpl w:val="837004B0"/>
    <w:lvl w:ilvl="0" w:tplc="04090001">
      <w:start w:val="1"/>
      <w:numFmt w:val="bullet"/>
      <w:lvlText w:val=""/>
      <w:lvlJc w:val="left"/>
      <w:pPr>
        <w:tabs>
          <w:tab w:val="num" w:pos="1620"/>
        </w:tabs>
        <w:ind w:left="1620" w:hanging="360"/>
      </w:pPr>
      <w:rPr>
        <w:rFonts w:ascii="Symbol" w:hAnsi="Symbol" w:hint="default"/>
      </w:rPr>
    </w:lvl>
    <w:lvl w:ilvl="1" w:tplc="04090003">
      <w:start w:val="1"/>
      <w:numFmt w:val="bullet"/>
      <w:lvlText w:val="o"/>
      <w:lvlJc w:val="left"/>
      <w:pPr>
        <w:tabs>
          <w:tab w:val="num" w:pos="2340"/>
        </w:tabs>
        <w:ind w:left="2340" w:hanging="360"/>
      </w:pPr>
      <w:rPr>
        <w:rFonts w:ascii="Courier New" w:hAnsi="Courier New" w:cs="Courier New" w:hint="default"/>
      </w:rPr>
    </w:lvl>
    <w:lvl w:ilvl="2" w:tplc="04090005">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8">
    <w:nsid w:val="22815BDF"/>
    <w:multiLevelType w:val="hybridMultilevel"/>
    <w:tmpl w:val="2FE265F4"/>
    <w:lvl w:ilvl="0" w:tplc="0409000F">
      <w:start w:val="1"/>
      <w:numFmt w:val="decimal"/>
      <w:lvlText w:val="%1."/>
      <w:lvlJc w:val="left"/>
      <w:pPr>
        <w:tabs>
          <w:tab w:val="num" w:pos="1620"/>
        </w:tabs>
        <w:ind w:left="1620" w:hanging="360"/>
      </w:pPr>
      <w:rPr>
        <w:rFonts w:hint="default"/>
      </w:rPr>
    </w:lvl>
    <w:lvl w:ilvl="1" w:tplc="04090001">
      <w:start w:val="1"/>
      <w:numFmt w:val="bullet"/>
      <w:lvlText w:val=""/>
      <w:lvlJc w:val="left"/>
      <w:pPr>
        <w:tabs>
          <w:tab w:val="num" w:pos="2340"/>
        </w:tabs>
        <w:ind w:left="2340" w:hanging="360"/>
      </w:pPr>
      <w:rPr>
        <w:rFonts w:ascii="Symbol" w:hAnsi="Symbol" w:hint="default"/>
      </w:r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9">
    <w:nsid w:val="24A044DA"/>
    <w:multiLevelType w:val="hybridMultilevel"/>
    <w:tmpl w:val="59CC3C72"/>
    <w:lvl w:ilvl="0" w:tplc="0409000F">
      <w:start w:val="1"/>
      <w:numFmt w:val="decimal"/>
      <w:lvlText w:val="%1."/>
      <w:lvlJc w:val="left"/>
      <w:pPr>
        <w:tabs>
          <w:tab w:val="num" w:pos="1800"/>
        </w:tabs>
        <w:ind w:left="1800" w:hanging="360"/>
      </w:p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0">
    <w:nsid w:val="258D3C7F"/>
    <w:multiLevelType w:val="hybridMultilevel"/>
    <w:tmpl w:val="433492BE"/>
    <w:lvl w:ilvl="0" w:tplc="0409000F">
      <w:start w:val="1"/>
      <w:numFmt w:val="decimal"/>
      <w:lvlText w:val="%1."/>
      <w:lvlJc w:val="left"/>
      <w:pPr>
        <w:tabs>
          <w:tab w:val="num" w:pos="1680"/>
        </w:tabs>
        <w:ind w:left="1680" w:hanging="360"/>
      </w:pPr>
    </w:lvl>
    <w:lvl w:ilvl="1" w:tplc="04090019" w:tentative="1">
      <w:start w:val="1"/>
      <w:numFmt w:val="lowerLetter"/>
      <w:lvlText w:val="%2."/>
      <w:lvlJc w:val="left"/>
      <w:pPr>
        <w:tabs>
          <w:tab w:val="num" w:pos="2400"/>
        </w:tabs>
        <w:ind w:left="2400" w:hanging="360"/>
      </w:pPr>
    </w:lvl>
    <w:lvl w:ilvl="2" w:tplc="0409001B" w:tentative="1">
      <w:start w:val="1"/>
      <w:numFmt w:val="lowerRoman"/>
      <w:lvlText w:val="%3."/>
      <w:lvlJc w:val="right"/>
      <w:pPr>
        <w:tabs>
          <w:tab w:val="num" w:pos="3120"/>
        </w:tabs>
        <w:ind w:left="3120" w:hanging="180"/>
      </w:pPr>
    </w:lvl>
    <w:lvl w:ilvl="3" w:tplc="0409000F" w:tentative="1">
      <w:start w:val="1"/>
      <w:numFmt w:val="decimal"/>
      <w:lvlText w:val="%4."/>
      <w:lvlJc w:val="left"/>
      <w:pPr>
        <w:tabs>
          <w:tab w:val="num" w:pos="3840"/>
        </w:tabs>
        <w:ind w:left="3840" w:hanging="360"/>
      </w:pPr>
    </w:lvl>
    <w:lvl w:ilvl="4" w:tplc="04090019" w:tentative="1">
      <w:start w:val="1"/>
      <w:numFmt w:val="lowerLetter"/>
      <w:lvlText w:val="%5."/>
      <w:lvlJc w:val="left"/>
      <w:pPr>
        <w:tabs>
          <w:tab w:val="num" w:pos="4560"/>
        </w:tabs>
        <w:ind w:left="4560" w:hanging="360"/>
      </w:pPr>
    </w:lvl>
    <w:lvl w:ilvl="5" w:tplc="0409001B" w:tentative="1">
      <w:start w:val="1"/>
      <w:numFmt w:val="lowerRoman"/>
      <w:lvlText w:val="%6."/>
      <w:lvlJc w:val="right"/>
      <w:pPr>
        <w:tabs>
          <w:tab w:val="num" w:pos="5280"/>
        </w:tabs>
        <w:ind w:left="5280" w:hanging="180"/>
      </w:pPr>
    </w:lvl>
    <w:lvl w:ilvl="6" w:tplc="0409000F" w:tentative="1">
      <w:start w:val="1"/>
      <w:numFmt w:val="decimal"/>
      <w:lvlText w:val="%7."/>
      <w:lvlJc w:val="left"/>
      <w:pPr>
        <w:tabs>
          <w:tab w:val="num" w:pos="6000"/>
        </w:tabs>
        <w:ind w:left="6000" w:hanging="360"/>
      </w:pPr>
    </w:lvl>
    <w:lvl w:ilvl="7" w:tplc="04090019" w:tentative="1">
      <w:start w:val="1"/>
      <w:numFmt w:val="lowerLetter"/>
      <w:lvlText w:val="%8."/>
      <w:lvlJc w:val="left"/>
      <w:pPr>
        <w:tabs>
          <w:tab w:val="num" w:pos="6720"/>
        </w:tabs>
        <w:ind w:left="6720" w:hanging="360"/>
      </w:pPr>
    </w:lvl>
    <w:lvl w:ilvl="8" w:tplc="0409001B" w:tentative="1">
      <w:start w:val="1"/>
      <w:numFmt w:val="lowerRoman"/>
      <w:lvlText w:val="%9."/>
      <w:lvlJc w:val="right"/>
      <w:pPr>
        <w:tabs>
          <w:tab w:val="num" w:pos="7440"/>
        </w:tabs>
        <w:ind w:left="7440" w:hanging="180"/>
      </w:pPr>
    </w:lvl>
  </w:abstractNum>
  <w:abstractNum w:abstractNumId="11">
    <w:nsid w:val="2C516D46"/>
    <w:multiLevelType w:val="hybridMultilevel"/>
    <w:tmpl w:val="DC22AC18"/>
    <w:lvl w:ilvl="0" w:tplc="04090001">
      <w:start w:val="1"/>
      <w:numFmt w:val="bullet"/>
      <w:lvlText w:val=""/>
      <w:lvlJc w:val="left"/>
      <w:pPr>
        <w:tabs>
          <w:tab w:val="num" w:pos="1620"/>
        </w:tabs>
        <w:ind w:left="1620" w:hanging="360"/>
      </w:pPr>
      <w:rPr>
        <w:rFonts w:ascii="Symbol" w:hAnsi="Symbol" w:hint="default"/>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12">
    <w:nsid w:val="32BB6610"/>
    <w:multiLevelType w:val="hybridMultilevel"/>
    <w:tmpl w:val="8B2CBA7E"/>
    <w:lvl w:ilvl="0" w:tplc="2B0247C4">
      <w:start w:val="1"/>
      <w:numFmt w:val="bullet"/>
      <w:lvlText w:val="•"/>
      <w:lvlJc w:val="left"/>
      <w:pPr>
        <w:tabs>
          <w:tab w:val="num" w:pos="720"/>
        </w:tabs>
        <w:ind w:left="720" w:hanging="360"/>
      </w:pPr>
      <w:rPr>
        <w:rFonts w:ascii="Arial" w:hAnsi="Arial" w:hint="default"/>
      </w:rPr>
    </w:lvl>
    <w:lvl w:ilvl="1" w:tplc="892E1088">
      <w:start w:val="1"/>
      <w:numFmt w:val="bullet"/>
      <w:lvlText w:val="•"/>
      <w:lvlJc w:val="left"/>
      <w:pPr>
        <w:tabs>
          <w:tab w:val="num" w:pos="1440"/>
        </w:tabs>
        <w:ind w:left="1440" w:hanging="360"/>
      </w:pPr>
      <w:rPr>
        <w:rFonts w:ascii="Arial" w:hAnsi="Arial" w:hint="default"/>
      </w:rPr>
    </w:lvl>
    <w:lvl w:ilvl="2" w:tplc="9640B52E" w:tentative="1">
      <w:start w:val="1"/>
      <w:numFmt w:val="bullet"/>
      <w:lvlText w:val="•"/>
      <w:lvlJc w:val="left"/>
      <w:pPr>
        <w:tabs>
          <w:tab w:val="num" w:pos="2160"/>
        </w:tabs>
        <w:ind w:left="2160" w:hanging="360"/>
      </w:pPr>
      <w:rPr>
        <w:rFonts w:ascii="Arial" w:hAnsi="Arial" w:hint="default"/>
      </w:rPr>
    </w:lvl>
    <w:lvl w:ilvl="3" w:tplc="1D302510" w:tentative="1">
      <w:start w:val="1"/>
      <w:numFmt w:val="bullet"/>
      <w:lvlText w:val="•"/>
      <w:lvlJc w:val="left"/>
      <w:pPr>
        <w:tabs>
          <w:tab w:val="num" w:pos="2880"/>
        </w:tabs>
        <w:ind w:left="2880" w:hanging="360"/>
      </w:pPr>
      <w:rPr>
        <w:rFonts w:ascii="Arial" w:hAnsi="Arial" w:hint="default"/>
      </w:rPr>
    </w:lvl>
    <w:lvl w:ilvl="4" w:tplc="241E0A28" w:tentative="1">
      <w:start w:val="1"/>
      <w:numFmt w:val="bullet"/>
      <w:lvlText w:val="•"/>
      <w:lvlJc w:val="left"/>
      <w:pPr>
        <w:tabs>
          <w:tab w:val="num" w:pos="3600"/>
        </w:tabs>
        <w:ind w:left="3600" w:hanging="360"/>
      </w:pPr>
      <w:rPr>
        <w:rFonts w:ascii="Arial" w:hAnsi="Arial" w:hint="default"/>
      </w:rPr>
    </w:lvl>
    <w:lvl w:ilvl="5" w:tplc="0BA414F8" w:tentative="1">
      <w:start w:val="1"/>
      <w:numFmt w:val="bullet"/>
      <w:lvlText w:val="•"/>
      <w:lvlJc w:val="left"/>
      <w:pPr>
        <w:tabs>
          <w:tab w:val="num" w:pos="4320"/>
        </w:tabs>
        <w:ind w:left="4320" w:hanging="360"/>
      </w:pPr>
      <w:rPr>
        <w:rFonts w:ascii="Arial" w:hAnsi="Arial" w:hint="default"/>
      </w:rPr>
    </w:lvl>
    <w:lvl w:ilvl="6" w:tplc="CBF64576" w:tentative="1">
      <w:start w:val="1"/>
      <w:numFmt w:val="bullet"/>
      <w:lvlText w:val="•"/>
      <w:lvlJc w:val="left"/>
      <w:pPr>
        <w:tabs>
          <w:tab w:val="num" w:pos="5040"/>
        </w:tabs>
        <w:ind w:left="5040" w:hanging="360"/>
      </w:pPr>
      <w:rPr>
        <w:rFonts w:ascii="Arial" w:hAnsi="Arial" w:hint="default"/>
      </w:rPr>
    </w:lvl>
    <w:lvl w:ilvl="7" w:tplc="3F9A7294" w:tentative="1">
      <w:start w:val="1"/>
      <w:numFmt w:val="bullet"/>
      <w:lvlText w:val="•"/>
      <w:lvlJc w:val="left"/>
      <w:pPr>
        <w:tabs>
          <w:tab w:val="num" w:pos="5760"/>
        </w:tabs>
        <w:ind w:left="5760" w:hanging="360"/>
      </w:pPr>
      <w:rPr>
        <w:rFonts w:ascii="Arial" w:hAnsi="Arial" w:hint="default"/>
      </w:rPr>
    </w:lvl>
    <w:lvl w:ilvl="8" w:tplc="F780B4A6" w:tentative="1">
      <w:start w:val="1"/>
      <w:numFmt w:val="bullet"/>
      <w:lvlText w:val="•"/>
      <w:lvlJc w:val="left"/>
      <w:pPr>
        <w:tabs>
          <w:tab w:val="num" w:pos="6480"/>
        </w:tabs>
        <w:ind w:left="6480" w:hanging="360"/>
      </w:pPr>
      <w:rPr>
        <w:rFonts w:ascii="Arial" w:hAnsi="Arial" w:hint="default"/>
      </w:rPr>
    </w:lvl>
  </w:abstractNum>
  <w:abstractNum w:abstractNumId="13">
    <w:nsid w:val="358B624C"/>
    <w:multiLevelType w:val="hybridMultilevel"/>
    <w:tmpl w:val="B296C82E"/>
    <w:lvl w:ilvl="0" w:tplc="325E8E92">
      <w:start w:val="1"/>
      <w:numFmt w:val="bullet"/>
      <w:lvlText w:val="•"/>
      <w:lvlJc w:val="left"/>
      <w:pPr>
        <w:tabs>
          <w:tab w:val="num" w:pos="720"/>
        </w:tabs>
        <w:ind w:left="720" w:hanging="360"/>
      </w:pPr>
      <w:rPr>
        <w:rFonts w:ascii="Arial" w:hAnsi="Arial" w:hint="default"/>
      </w:rPr>
    </w:lvl>
    <w:lvl w:ilvl="1" w:tplc="F64A19C0">
      <w:start w:val="1"/>
      <w:numFmt w:val="bullet"/>
      <w:lvlText w:val="•"/>
      <w:lvlJc w:val="left"/>
      <w:pPr>
        <w:tabs>
          <w:tab w:val="num" w:pos="1440"/>
        </w:tabs>
        <w:ind w:left="1440" w:hanging="360"/>
      </w:pPr>
      <w:rPr>
        <w:rFonts w:ascii="Arial" w:hAnsi="Arial" w:hint="default"/>
      </w:rPr>
    </w:lvl>
    <w:lvl w:ilvl="2" w:tplc="4A8AE536" w:tentative="1">
      <w:start w:val="1"/>
      <w:numFmt w:val="bullet"/>
      <w:lvlText w:val="•"/>
      <w:lvlJc w:val="left"/>
      <w:pPr>
        <w:tabs>
          <w:tab w:val="num" w:pos="2160"/>
        </w:tabs>
        <w:ind w:left="2160" w:hanging="360"/>
      </w:pPr>
      <w:rPr>
        <w:rFonts w:ascii="Arial" w:hAnsi="Arial" w:hint="default"/>
      </w:rPr>
    </w:lvl>
    <w:lvl w:ilvl="3" w:tplc="C5083A0A" w:tentative="1">
      <w:start w:val="1"/>
      <w:numFmt w:val="bullet"/>
      <w:lvlText w:val="•"/>
      <w:lvlJc w:val="left"/>
      <w:pPr>
        <w:tabs>
          <w:tab w:val="num" w:pos="2880"/>
        </w:tabs>
        <w:ind w:left="2880" w:hanging="360"/>
      </w:pPr>
      <w:rPr>
        <w:rFonts w:ascii="Arial" w:hAnsi="Arial" w:hint="default"/>
      </w:rPr>
    </w:lvl>
    <w:lvl w:ilvl="4" w:tplc="FE92B32E" w:tentative="1">
      <w:start w:val="1"/>
      <w:numFmt w:val="bullet"/>
      <w:lvlText w:val="•"/>
      <w:lvlJc w:val="left"/>
      <w:pPr>
        <w:tabs>
          <w:tab w:val="num" w:pos="3600"/>
        </w:tabs>
        <w:ind w:left="3600" w:hanging="360"/>
      </w:pPr>
      <w:rPr>
        <w:rFonts w:ascii="Arial" w:hAnsi="Arial" w:hint="default"/>
      </w:rPr>
    </w:lvl>
    <w:lvl w:ilvl="5" w:tplc="980A52C6" w:tentative="1">
      <w:start w:val="1"/>
      <w:numFmt w:val="bullet"/>
      <w:lvlText w:val="•"/>
      <w:lvlJc w:val="left"/>
      <w:pPr>
        <w:tabs>
          <w:tab w:val="num" w:pos="4320"/>
        </w:tabs>
        <w:ind w:left="4320" w:hanging="360"/>
      </w:pPr>
      <w:rPr>
        <w:rFonts w:ascii="Arial" w:hAnsi="Arial" w:hint="default"/>
      </w:rPr>
    </w:lvl>
    <w:lvl w:ilvl="6" w:tplc="00A292FC" w:tentative="1">
      <w:start w:val="1"/>
      <w:numFmt w:val="bullet"/>
      <w:lvlText w:val="•"/>
      <w:lvlJc w:val="left"/>
      <w:pPr>
        <w:tabs>
          <w:tab w:val="num" w:pos="5040"/>
        </w:tabs>
        <w:ind w:left="5040" w:hanging="360"/>
      </w:pPr>
      <w:rPr>
        <w:rFonts w:ascii="Arial" w:hAnsi="Arial" w:hint="default"/>
      </w:rPr>
    </w:lvl>
    <w:lvl w:ilvl="7" w:tplc="6872466C" w:tentative="1">
      <w:start w:val="1"/>
      <w:numFmt w:val="bullet"/>
      <w:lvlText w:val="•"/>
      <w:lvlJc w:val="left"/>
      <w:pPr>
        <w:tabs>
          <w:tab w:val="num" w:pos="5760"/>
        </w:tabs>
        <w:ind w:left="5760" w:hanging="360"/>
      </w:pPr>
      <w:rPr>
        <w:rFonts w:ascii="Arial" w:hAnsi="Arial" w:hint="default"/>
      </w:rPr>
    </w:lvl>
    <w:lvl w:ilvl="8" w:tplc="F8545D12" w:tentative="1">
      <w:start w:val="1"/>
      <w:numFmt w:val="bullet"/>
      <w:lvlText w:val="•"/>
      <w:lvlJc w:val="left"/>
      <w:pPr>
        <w:tabs>
          <w:tab w:val="num" w:pos="6480"/>
        </w:tabs>
        <w:ind w:left="6480" w:hanging="360"/>
      </w:pPr>
      <w:rPr>
        <w:rFonts w:ascii="Arial" w:hAnsi="Arial" w:hint="default"/>
      </w:rPr>
    </w:lvl>
  </w:abstractNum>
  <w:abstractNum w:abstractNumId="14">
    <w:nsid w:val="422D6CF5"/>
    <w:multiLevelType w:val="hybridMultilevel"/>
    <w:tmpl w:val="723C0676"/>
    <w:lvl w:ilvl="0" w:tplc="04090001">
      <w:start w:val="1"/>
      <w:numFmt w:val="bullet"/>
      <w:lvlText w:val=""/>
      <w:lvlJc w:val="left"/>
      <w:pPr>
        <w:tabs>
          <w:tab w:val="num" w:pos="1620"/>
        </w:tabs>
        <w:ind w:left="1620" w:hanging="360"/>
      </w:pPr>
      <w:rPr>
        <w:rFonts w:ascii="Symbol" w:hAnsi="Symbol" w:hint="default"/>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15">
    <w:nsid w:val="450A59D1"/>
    <w:multiLevelType w:val="hybridMultilevel"/>
    <w:tmpl w:val="E4D67644"/>
    <w:lvl w:ilvl="0" w:tplc="0409000F">
      <w:start w:val="1"/>
      <w:numFmt w:val="decimal"/>
      <w:lvlText w:val="%1."/>
      <w:lvlJc w:val="left"/>
      <w:pPr>
        <w:tabs>
          <w:tab w:val="num" w:pos="1620"/>
        </w:tabs>
        <w:ind w:left="1620" w:hanging="360"/>
      </w:p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16">
    <w:nsid w:val="498D6A29"/>
    <w:multiLevelType w:val="hybridMultilevel"/>
    <w:tmpl w:val="FF8C3A9E"/>
    <w:lvl w:ilvl="0" w:tplc="7C5EC3D6">
      <w:start w:val="1"/>
      <w:numFmt w:val="bullet"/>
      <w:pStyle w:val="NormalwithBullets"/>
      <w:lvlText w:val=""/>
      <w:lvlJc w:val="left"/>
      <w:pPr>
        <w:ind w:left="2016" w:hanging="360"/>
      </w:pPr>
      <w:rPr>
        <w:rFonts w:ascii="Symbol" w:hAnsi="Symbol" w:hint="default"/>
      </w:rPr>
    </w:lvl>
    <w:lvl w:ilvl="1" w:tplc="04090003" w:tentative="1">
      <w:start w:val="1"/>
      <w:numFmt w:val="bullet"/>
      <w:lvlText w:val="o"/>
      <w:lvlJc w:val="left"/>
      <w:pPr>
        <w:ind w:left="2736" w:hanging="360"/>
      </w:pPr>
      <w:rPr>
        <w:rFonts w:ascii="Courier New" w:hAnsi="Courier New" w:cs="Courier New" w:hint="default"/>
      </w:rPr>
    </w:lvl>
    <w:lvl w:ilvl="2" w:tplc="04090005" w:tentative="1">
      <w:start w:val="1"/>
      <w:numFmt w:val="bullet"/>
      <w:lvlText w:val=""/>
      <w:lvlJc w:val="left"/>
      <w:pPr>
        <w:ind w:left="3456" w:hanging="360"/>
      </w:pPr>
      <w:rPr>
        <w:rFonts w:ascii="Wingdings" w:hAnsi="Wingdings" w:hint="default"/>
      </w:rPr>
    </w:lvl>
    <w:lvl w:ilvl="3" w:tplc="04090001" w:tentative="1">
      <w:start w:val="1"/>
      <w:numFmt w:val="bullet"/>
      <w:lvlText w:val=""/>
      <w:lvlJc w:val="left"/>
      <w:pPr>
        <w:ind w:left="4176" w:hanging="360"/>
      </w:pPr>
      <w:rPr>
        <w:rFonts w:ascii="Symbol" w:hAnsi="Symbol" w:hint="default"/>
      </w:rPr>
    </w:lvl>
    <w:lvl w:ilvl="4" w:tplc="04090003" w:tentative="1">
      <w:start w:val="1"/>
      <w:numFmt w:val="bullet"/>
      <w:lvlText w:val="o"/>
      <w:lvlJc w:val="left"/>
      <w:pPr>
        <w:ind w:left="4896" w:hanging="360"/>
      </w:pPr>
      <w:rPr>
        <w:rFonts w:ascii="Courier New" w:hAnsi="Courier New" w:cs="Courier New" w:hint="default"/>
      </w:rPr>
    </w:lvl>
    <w:lvl w:ilvl="5" w:tplc="04090005" w:tentative="1">
      <w:start w:val="1"/>
      <w:numFmt w:val="bullet"/>
      <w:lvlText w:val=""/>
      <w:lvlJc w:val="left"/>
      <w:pPr>
        <w:ind w:left="5616" w:hanging="360"/>
      </w:pPr>
      <w:rPr>
        <w:rFonts w:ascii="Wingdings" w:hAnsi="Wingdings" w:hint="default"/>
      </w:rPr>
    </w:lvl>
    <w:lvl w:ilvl="6" w:tplc="04090001" w:tentative="1">
      <w:start w:val="1"/>
      <w:numFmt w:val="bullet"/>
      <w:lvlText w:val=""/>
      <w:lvlJc w:val="left"/>
      <w:pPr>
        <w:ind w:left="6336" w:hanging="360"/>
      </w:pPr>
      <w:rPr>
        <w:rFonts w:ascii="Symbol" w:hAnsi="Symbol" w:hint="default"/>
      </w:rPr>
    </w:lvl>
    <w:lvl w:ilvl="7" w:tplc="04090003" w:tentative="1">
      <w:start w:val="1"/>
      <w:numFmt w:val="bullet"/>
      <w:lvlText w:val="o"/>
      <w:lvlJc w:val="left"/>
      <w:pPr>
        <w:ind w:left="7056" w:hanging="360"/>
      </w:pPr>
      <w:rPr>
        <w:rFonts w:ascii="Courier New" w:hAnsi="Courier New" w:cs="Courier New" w:hint="default"/>
      </w:rPr>
    </w:lvl>
    <w:lvl w:ilvl="8" w:tplc="04090005" w:tentative="1">
      <w:start w:val="1"/>
      <w:numFmt w:val="bullet"/>
      <w:lvlText w:val=""/>
      <w:lvlJc w:val="left"/>
      <w:pPr>
        <w:ind w:left="7776" w:hanging="360"/>
      </w:pPr>
      <w:rPr>
        <w:rFonts w:ascii="Wingdings" w:hAnsi="Wingdings" w:hint="default"/>
      </w:rPr>
    </w:lvl>
  </w:abstractNum>
  <w:abstractNum w:abstractNumId="17">
    <w:nsid w:val="4A0E338B"/>
    <w:multiLevelType w:val="hybridMultilevel"/>
    <w:tmpl w:val="3790ED4A"/>
    <w:lvl w:ilvl="0" w:tplc="DB3C18D4">
      <w:start w:val="1"/>
      <w:numFmt w:val="bullet"/>
      <w:lvlText w:val="•"/>
      <w:lvlJc w:val="left"/>
      <w:pPr>
        <w:tabs>
          <w:tab w:val="num" w:pos="720"/>
        </w:tabs>
        <w:ind w:left="720" w:hanging="360"/>
      </w:pPr>
      <w:rPr>
        <w:rFonts w:ascii="Arial" w:hAnsi="Arial" w:hint="default"/>
      </w:rPr>
    </w:lvl>
    <w:lvl w:ilvl="1" w:tplc="E83A9E16">
      <w:start w:val="1"/>
      <w:numFmt w:val="bullet"/>
      <w:lvlText w:val="•"/>
      <w:lvlJc w:val="left"/>
      <w:pPr>
        <w:tabs>
          <w:tab w:val="num" w:pos="1440"/>
        </w:tabs>
        <w:ind w:left="1440" w:hanging="360"/>
      </w:pPr>
      <w:rPr>
        <w:rFonts w:ascii="Arial" w:hAnsi="Arial" w:hint="default"/>
      </w:rPr>
    </w:lvl>
    <w:lvl w:ilvl="2" w:tplc="5F1E9FEE" w:tentative="1">
      <w:start w:val="1"/>
      <w:numFmt w:val="bullet"/>
      <w:lvlText w:val="•"/>
      <w:lvlJc w:val="left"/>
      <w:pPr>
        <w:tabs>
          <w:tab w:val="num" w:pos="2160"/>
        </w:tabs>
        <w:ind w:left="2160" w:hanging="360"/>
      </w:pPr>
      <w:rPr>
        <w:rFonts w:ascii="Arial" w:hAnsi="Arial" w:hint="default"/>
      </w:rPr>
    </w:lvl>
    <w:lvl w:ilvl="3" w:tplc="02666DFE" w:tentative="1">
      <w:start w:val="1"/>
      <w:numFmt w:val="bullet"/>
      <w:lvlText w:val="•"/>
      <w:lvlJc w:val="left"/>
      <w:pPr>
        <w:tabs>
          <w:tab w:val="num" w:pos="2880"/>
        </w:tabs>
        <w:ind w:left="2880" w:hanging="360"/>
      </w:pPr>
      <w:rPr>
        <w:rFonts w:ascii="Arial" w:hAnsi="Arial" w:hint="default"/>
      </w:rPr>
    </w:lvl>
    <w:lvl w:ilvl="4" w:tplc="1E108F0E" w:tentative="1">
      <w:start w:val="1"/>
      <w:numFmt w:val="bullet"/>
      <w:lvlText w:val="•"/>
      <w:lvlJc w:val="left"/>
      <w:pPr>
        <w:tabs>
          <w:tab w:val="num" w:pos="3600"/>
        </w:tabs>
        <w:ind w:left="3600" w:hanging="360"/>
      </w:pPr>
      <w:rPr>
        <w:rFonts w:ascii="Arial" w:hAnsi="Arial" w:hint="default"/>
      </w:rPr>
    </w:lvl>
    <w:lvl w:ilvl="5" w:tplc="8D06B968" w:tentative="1">
      <w:start w:val="1"/>
      <w:numFmt w:val="bullet"/>
      <w:lvlText w:val="•"/>
      <w:lvlJc w:val="left"/>
      <w:pPr>
        <w:tabs>
          <w:tab w:val="num" w:pos="4320"/>
        </w:tabs>
        <w:ind w:left="4320" w:hanging="360"/>
      </w:pPr>
      <w:rPr>
        <w:rFonts w:ascii="Arial" w:hAnsi="Arial" w:hint="default"/>
      </w:rPr>
    </w:lvl>
    <w:lvl w:ilvl="6" w:tplc="5B20354E" w:tentative="1">
      <w:start w:val="1"/>
      <w:numFmt w:val="bullet"/>
      <w:lvlText w:val="•"/>
      <w:lvlJc w:val="left"/>
      <w:pPr>
        <w:tabs>
          <w:tab w:val="num" w:pos="5040"/>
        </w:tabs>
        <w:ind w:left="5040" w:hanging="360"/>
      </w:pPr>
      <w:rPr>
        <w:rFonts w:ascii="Arial" w:hAnsi="Arial" w:hint="default"/>
      </w:rPr>
    </w:lvl>
    <w:lvl w:ilvl="7" w:tplc="5C9A1A4C" w:tentative="1">
      <w:start w:val="1"/>
      <w:numFmt w:val="bullet"/>
      <w:lvlText w:val="•"/>
      <w:lvlJc w:val="left"/>
      <w:pPr>
        <w:tabs>
          <w:tab w:val="num" w:pos="5760"/>
        </w:tabs>
        <w:ind w:left="5760" w:hanging="360"/>
      </w:pPr>
      <w:rPr>
        <w:rFonts w:ascii="Arial" w:hAnsi="Arial" w:hint="default"/>
      </w:rPr>
    </w:lvl>
    <w:lvl w:ilvl="8" w:tplc="388EF300" w:tentative="1">
      <w:start w:val="1"/>
      <w:numFmt w:val="bullet"/>
      <w:lvlText w:val="•"/>
      <w:lvlJc w:val="left"/>
      <w:pPr>
        <w:tabs>
          <w:tab w:val="num" w:pos="6480"/>
        </w:tabs>
        <w:ind w:left="6480" w:hanging="360"/>
      </w:pPr>
      <w:rPr>
        <w:rFonts w:ascii="Arial" w:hAnsi="Arial" w:hint="default"/>
      </w:rPr>
    </w:lvl>
  </w:abstractNum>
  <w:abstractNum w:abstractNumId="18">
    <w:nsid w:val="4B5422A7"/>
    <w:multiLevelType w:val="hybridMultilevel"/>
    <w:tmpl w:val="8340A3C8"/>
    <w:lvl w:ilvl="0" w:tplc="CDFAAF0A">
      <w:start w:val="1"/>
      <w:numFmt w:val="bullet"/>
      <w:pStyle w:val="bullet4level2"/>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B640D24"/>
    <w:multiLevelType w:val="hybridMultilevel"/>
    <w:tmpl w:val="C1B6ED62"/>
    <w:lvl w:ilvl="0" w:tplc="04090001">
      <w:start w:val="1"/>
      <w:numFmt w:val="bullet"/>
      <w:lvlText w:val=""/>
      <w:lvlJc w:val="left"/>
      <w:pPr>
        <w:tabs>
          <w:tab w:val="num" w:pos="1620"/>
        </w:tabs>
        <w:ind w:left="1620" w:hanging="360"/>
      </w:pPr>
      <w:rPr>
        <w:rFonts w:ascii="Symbol" w:hAnsi="Symbol" w:hint="default"/>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20">
    <w:nsid w:val="513B16D4"/>
    <w:multiLevelType w:val="multilevel"/>
    <w:tmpl w:val="8642300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2196"/>
        </w:tabs>
        <w:ind w:left="219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nsid w:val="54580931"/>
    <w:multiLevelType w:val="hybridMultilevel"/>
    <w:tmpl w:val="ACA6EFF6"/>
    <w:lvl w:ilvl="0" w:tplc="04090001">
      <w:start w:val="1"/>
      <w:numFmt w:val="bullet"/>
      <w:lvlText w:val=""/>
      <w:lvlJc w:val="left"/>
      <w:pPr>
        <w:tabs>
          <w:tab w:val="num" w:pos="1620"/>
        </w:tabs>
        <w:ind w:left="1620" w:hanging="360"/>
      </w:pPr>
      <w:rPr>
        <w:rFonts w:ascii="Symbol" w:hAnsi="Symbol" w:hint="default"/>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22">
    <w:nsid w:val="55946763"/>
    <w:multiLevelType w:val="hybridMultilevel"/>
    <w:tmpl w:val="5AB093BA"/>
    <w:lvl w:ilvl="0" w:tplc="5ABEC632">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o"/>
      <w:lvlJc w:val="left"/>
      <w:pPr>
        <w:tabs>
          <w:tab w:val="num" w:pos="720"/>
        </w:tabs>
        <w:ind w:left="720" w:hanging="360"/>
      </w:pPr>
      <w:rPr>
        <w:rFonts w:ascii="Courier New" w:hAnsi="Courier New" w:cs="Courier New" w:hint="default"/>
      </w:rPr>
    </w:lvl>
    <w:lvl w:ilvl="2" w:tplc="D02A9AD4">
      <w:start w:val="1"/>
      <w:numFmt w:val="bullet"/>
      <w:pStyle w:val="bulletlevel3"/>
      <w:lvlText w:val="o"/>
      <w:lvlJc w:val="left"/>
      <w:pPr>
        <w:tabs>
          <w:tab w:val="num" w:pos="1800"/>
        </w:tabs>
        <w:ind w:left="1800" w:hanging="720"/>
      </w:pPr>
      <w:rPr>
        <w:rFonts w:ascii="Courier New" w:hAnsi="Courier New" w:hint="default"/>
      </w:rPr>
    </w:lvl>
    <w:lvl w:ilvl="3" w:tplc="0409000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3">
    <w:nsid w:val="5672099B"/>
    <w:multiLevelType w:val="hybridMultilevel"/>
    <w:tmpl w:val="30FE0E0C"/>
    <w:lvl w:ilvl="0" w:tplc="4EFC9D82">
      <w:start w:val="1"/>
      <w:numFmt w:val="bullet"/>
      <w:pStyle w:val="bulletlevel2"/>
      <w:lvlText w:val="­"/>
      <w:lvlJc w:val="left"/>
      <w:pPr>
        <w:tabs>
          <w:tab w:val="num" w:pos="1800"/>
        </w:tabs>
        <w:ind w:left="1800" w:hanging="360"/>
      </w:pPr>
      <w:rPr>
        <w:rFonts w:ascii="Courier New" w:hAnsi="Courier New" w:hint="default"/>
      </w:rPr>
    </w:lvl>
    <w:lvl w:ilvl="1" w:tplc="FB08EF4C">
      <w:start w:val="1"/>
      <w:numFmt w:val="bullet"/>
      <w:lvlText w:val="o"/>
      <w:lvlJc w:val="left"/>
      <w:pPr>
        <w:tabs>
          <w:tab w:val="num" w:pos="2016"/>
        </w:tabs>
        <w:ind w:left="2016" w:hanging="360"/>
      </w:pPr>
      <w:rPr>
        <w:rFonts w:ascii="Courier New" w:hAnsi="Courier New" w:cs="Courier New" w:hint="default"/>
      </w:rPr>
    </w:lvl>
    <w:lvl w:ilvl="2" w:tplc="F92A88B8" w:tentative="1">
      <w:start w:val="1"/>
      <w:numFmt w:val="bullet"/>
      <w:lvlText w:val=""/>
      <w:lvlJc w:val="left"/>
      <w:pPr>
        <w:tabs>
          <w:tab w:val="num" w:pos="2736"/>
        </w:tabs>
        <w:ind w:left="2736" w:hanging="360"/>
      </w:pPr>
      <w:rPr>
        <w:rFonts w:ascii="Wingdings" w:hAnsi="Wingdings" w:hint="default"/>
      </w:rPr>
    </w:lvl>
    <w:lvl w:ilvl="3" w:tplc="7436D5BA" w:tentative="1">
      <w:start w:val="1"/>
      <w:numFmt w:val="bullet"/>
      <w:lvlText w:val=""/>
      <w:lvlJc w:val="left"/>
      <w:pPr>
        <w:tabs>
          <w:tab w:val="num" w:pos="3456"/>
        </w:tabs>
        <w:ind w:left="3456" w:hanging="360"/>
      </w:pPr>
      <w:rPr>
        <w:rFonts w:ascii="Symbol" w:hAnsi="Symbol" w:hint="default"/>
      </w:rPr>
    </w:lvl>
    <w:lvl w:ilvl="4" w:tplc="C6B6DB14" w:tentative="1">
      <w:start w:val="1"/>
      <w:numFmt w:val="bullet"/>
      <w:lvlText w:val="o"/>
      <w:lvlJc w:val="left"/>
      <w:pPr>
        <w:tabs>
          <w:tab w:val="num" w:pos="4176"/>
        </w:tabs>
        <w:ind w:left="4176" w:hanging="360"/>
      </w:pPr>
      <w:rPr>
        <w:rFonts w:ascii="Courier New" w:hAnsi="Courier New" w:cs="Courier New" w:hint="default"/>
      </w:rPr>
    </w:lvl>
    <w:lvl w:ilvl="5" w:tplc="379CE1B6" w:tentative="1">
      <w:start w:val="1"/>
      <w:numFmt w:val="bullet"/>
      <w:lvlText w:val=""/>
      <w:lvlJc w:val="left"/>
      <w:pPr>
        <w:tabs>
          <w:tab w:val="num" w:pos="4896"/>
        </w:tabs>
        <w:ind w:left="4896" w:hanging="360"/>
      </w:pPr>
      <w:rPr>
        <w:rFonts w:ascii="Wingdings" w:hAnsi="Wingdings" w:hint="default"/>
      </w:rPr>
    </w:lvl>
    <w:lvl w:ilvl="6" w:tplc="8870AF68" w:tentative="1">
      <w:start w:val="1"/>
      <w:numFmt w:val="bullet"/>
      <w:lvlText w:val=""/>
      <w:lvlJc w:val="left"/>
      <w:pPr>
        <w:tabs>
          <w:tab w:val="num" w:pos="5616"/>
        </w:tabs>
        <w:ind w:left="5616" w:hanging="360"/>
      </w:pPr>
      <w:rPr>
        <w:rFonts w:ascii="Symbol" w:hAnsi="Symbol" w:hint="default"/>
      </w:rPr>
    </w:lvl>
    <w:lvl w:ilvl="7" w:tplc="D2E63AE6" w:tentative="1">
      <w:start w:val="1"/>
      <w:numFmt w:val="bullet"/>
      <w:lvlText w:val="o"/>
      <w:lvlJc w:val="left"/>
      <w:pPr>
        <w:tabs>
          <w:tab w:val="num" w:pos="6336"/>
        </w:tabs>
        <w:ind w:left="6336" w:hanging="360"/>
      </w:pPr>
      <w:rPr>
        <w:rFonts w:ascii="Courier New" w:hAnsi="Courier New" w:cs="Courier New" w:hint="default"/>
      </w:rPr>
    </w:lvl>
    <w:lvl w:ilvl="8" w:tplc="F4F292CC" w:tentative="1">
      <w:start w:val="1"/>
      <w:numFmt w:val="bullet"/>
      <w:lvlText w:val=""/>
      <w:lvlJc w:val="left"/>
      <w:pPr>
        <w:tabs>
          <w:tab w:val="num" w:pos="7056"/>
        </w:tabs>
        <w:ind w:left="7056" w:hanging="360"/>
      </w:pPr>
      <w:rPr>
        <w:rFonts w:ascii="Wingdings" w:hAnsi="Wingdings" w:hint="default"/>
      </w:rPr>
    </w:lvl>
  </w:abstractNum>
  <w:abstractNum w:abstractNumId="24">
    <w:nsid w:val="570119F6"/>
    <w:multiLevelType w:val="hybridMultilevel"/>
    <w:tmpl w:val="499ECA8E"/>
    <w:lvl w:ilvl="0" w:tplc="41468642">
      <w:start w:val="1"/>
      <w:numFmt w:val="bullet"/>
      <w:lvlText w:val="•"/>
      <w:lvlJc w:val="left"/>
      <w:pPr>
        <w:tabs>
          <w:tab w:val="num" w:pos="720"/>
        </w:tabs>
        <w:ind w:left="720" w:hanging="360"/>
      </w:pPr>
      <w:rPr>
        <w:rFonts w:ascii="Arial" w:hAnsi="Arial" w:hint="default"/>
      </w:rPr>
    </w:lvl>
    <w:lvl w:ilvl="1" w:tplc="0AF48A64">
      <w:start w:val="1"/>
      <w:numFmt w:val="bullet"/>
      <w:lvlText w:val="•"/>
      <w:lvlJc w:val="left"/>
      <w:pPr>
        <w:tabs>
          <w:tab w:val="num" w:pos="1440"/>
        </w:tabs>
        <w:ind w:left="1440" w:hanging="360"/>
      </w:pPr>
      <w:rPr>
        <w:rFonts w:ascii="Arial" w:hAnsi="Arial" w:hint="default"/>
      </w:rPr>
    </w:lvl>
    <w:lvl w:ilvl="2" w:tplc="9E268E8C" w:tentative="1">
      <w:start w:val="1"/>
      <w:numFmt w:val="bullet"/>
      <w:lvlText w:val="•"/>
      <w:lvlJc w:val="left"/>
      <w:pPr>
        <w:tabs>
          <w:tab w:val="num" w:pos="2160"/>
        </w:tabs>
        <w:ind w:left="2160" w:hanging="360"/>
      </w:pPr>
      <w:rPr>
        <w:rFonts w:ascii="Arial" w:hAnsi="Arial" w:hint="default"/>
      </w:rPr>
    </w:lvl>
    <w:lvl w:ilvl="3" w:tplc="16E47FE0" w:tentative="1">
      <w:start w:val="1"/>
      <w:numFmt w:val="bullet"/>
      <w:lvlText w:val="•"/>
      <w:lvlJc w:val="left"/>
      <w:pPr>
        <w:tabs>
          <w:tab w:val="num" w:pos="2880"/>
        </w:tabs>
        <w:ind w:left="2880" w:hanging="360"/>
      </w:pPr>
      <w:rPr>
        <w:rFonts w:ascii="Arial" w:hAnsi="Arial" w:hint="default"/>
      </w:rPr>
    </w:lvl>
    <w:lvl w:ilvl="4" w:tplc="512A3D6A" w:tentative="1">
      <w:start w:val="1"/>
      <w:numFmt w:val="bullet"/>
      <w:lvlText w:val="•"/>
      <w:lvlJc w:val="left"/>
      <w:pPr>
        <w:tabs>
          <w:tab w:val="num" w:pos="3600"/>
        </w:tabs>
        <w:ind w:left="3600" w:hanging="360"/>
      </w:pPr>
      <w:rPr>
        <w:rFonts w:ascii="Arial" w:hAnsi="Arial" w:hint="default"/>
      </w:rPr>
    </w:lvl>
    <w:lvl w:ilvl="5" w:tplc="9FBC7D86" w:tentative="1">
      <w:start w:val="1"/>
      <w:numFmt w:val="bullet"/>
      <w:lvlText w:val="•"/>
      <w:lvlJc w:val="left"/>
      <w:pPr>
        <w:tabs>
          <w:tab w:val="num" w:pos="4320"/>
        </w:tabs>
        <w:ind w:left="4320" w:hanging="360"/>
      </w:pPr>
      <w:rPr>
        <w:rFonts w:ascii="Arial" w:hAnsi="Arial" w:hint="default"/>
      </w:rPr>
    </w:lvl>
    <w:lvl w:ilvl="6" w:tplc="24147820" w:tentative="1">
      <w:start w:val="1"/>
      <w:numFmt w:val="bullet"/>
      <w:lvlText w:val="•"/>
      <w:lvlJc w:val="left"/>
      <w:pPr>
        <w:tabs>
          <w:tab w:val="num" w:pos="5040"/>
        </w:tabs>
        <w:ind w:left="5040" w:hanging="360"/>
      </w:pPr>
      <w:rPr>
        <w:rFonts w:ascii="Arial" w:hAnsi="Arial" w:hint="default"/>
      </w:rPr>
    </w:lvl>
    <w:lvl w:ilvl="7" w:tplc="BE7E7A38" w:tentative="1">
      <w:start w:val="1"/>
      <w:numFmt w:val="bullet"/>
      <w:lvlText w:val="•"/>
      <w:lvlJc w:val="left"/>
      <w:pPr>
        <w:tabs>
          <w:tab w:val="num" w:pos="5760"/>
        </w:tabs>
        <w:ind w:left="5760" w:hanging="360"/>
      </w:pPr>
      <w:rPr>
        <w:rFonts w:ascii="Arial" w:hAnsi="Arial" w:hint="default"/>
      </w:rPr>
    </w:lvl>
    <w:lvl w:ilvl="8" w:tplc="42DEA6EC" w:tentative="1">
      <w:start w:val="1"/>
      <w:numFmt w:val="bullet"/>
      <w:lvlText w:val="•"/>
      <w:lvlJc w:val="left"/>
      <w:pPr>
        <w:tabs>
          <w:tab w:val="num" w:pos="6480"/>
        </w:tabs>
        <w:ind w:left="6480" w:hanging="360"/>
      </w:pPr>
      <w:rPr>
        <w:rFonts w:ascii="Arial" w:hAnsi="Arial" w:hint="default"/>
      </w:rPr>
    </w:lvl>
  </w:abstractNum>
  <w:abstractNum w:abstractNumId="25">
    <w:nsid w:val="5B232750"/>
    <w:multiLevelType w:val="hybridMultilevel"/>
    <w:tmpl w:val="ABD48D90"/>
    <w:lvl w:ilvl="0" w:tplc="04090001">
      <w:start w:val="1"/>
      <w:numFmt w:val="bullet"/>
      <w:lvlText w:val=""/>
      <w:lvlJc w:val="left"/>
      <w:pPr>
        <w:tabs>
          <w:tab w:val="num" w:pos="1620"/>
        </w:tabs>
        <w:ind w:left="1620" w:hanging="360"/>
      </w:pPr>
      <w:rPr>
        <w:rFonts w:ascii="Symbol" w:hAnsi="Symbol" w:hint="default"/>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26">
    <w:nsid w:val="5E813EEA"/>
    <w:multiLevelType w:val="hybridMultilevel"/>
    <w:tmpl w:val="91CCBB46"/>
    <w:lvl w:ilvl="0" w:tplc="0409000F">
      <w:start w:val="1"/>
      <w:numFmt w:val="decimal"/>
      <w:lvlText w:val="%1."/>
      <w:lvlJc w:val="left"/>
      <w:pPr>
        <w:tabs>
          <w:tab w:val="num" w:pos="1620"/>
        </w:tabs>
        <w:ind w:left="1620" w:hanging="360"/>
      </w:p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27">
    <w:nsid w:val="68FE2F1A"/>
    <w:multiLevelType w:val="hybridMultilevel"/>
    <w:tmpl w:val="58620B62"/>
    <w:lvl w:ilvl="0" w:tplc="08981804">
      <w:start w:val="1"/>
      <w:numFmt w:val="bullet"/>
      <w:lvlText w:val="•"/>
      <w:lvlJc w:val="left"/>
      <w:pPr>
        <w:tabs>
          <w:tab w:val="num" w:pos="720"/>
        </w:tabs>
        <w:ind w:left="720" w:hanging="360"/>
      </w:pPr>
      <w:rPr>
        <w:rFonts w:ascii="Arial" w:hAnsi="Arial" w:hint="default"/>
      </w:rPr>
    </w:lvl>
    <w:lvl w:ilvl="1" w:tplc="B77EE37C">
      <w:start w:val="1"/>
      <w:numFmt w:val="bullet"/>
      <w:lvlText w:val="•"/>
      <w:lvlJc w:val="left"/>
      <w:pPr>
        <w:tabs>
          <w:tab w:val="num" w:pos="1440"/>
        </w:tabs>
        <w:ind w:left="1440" w:hanging="360"/>
      </w:pPr>
      <w:rPr>
        <w:rFonts w:ascii="Arial" w:hAnsi="Arial" w:hint="default"/>
      </w:rPr>
    </w:lvl>
    <w:lvl w:ilvl="2" w:tplc="9F865618" w:tentative="1">
      <w:start w:val="1"/>
      <w:numFmt w:val="bullet"/>
      <w:lvlText w:val="•"/>
      <w:lvlJc w:val="left"/>
      <w:pPr>
        <w:tabs>
          <w:tab w:val="num" w:pos="2160"/>
        </w:tabs>
        <w:ind w:left="2160" w:hanging="360"/>
      </w:pPr>
      <w:rPr>
        <w:rFonts w:ascii="Arial" w:hAnsi="Arial" w:hint="default"/>
      </w:rPr>
    </w:lvl>
    <w:lvl w:ilvl="3" w:tplc="4784EDDC" w:tentative="1">
      <w:start w:val="1"/>
      <w:numFmt w:val="bullet"/>
      <w:lvlText w:val="•"/>
      <w:lvlJc w:val="left"/>
      <w:pPr>
        <w:tabs>
          <w:tab w:val="num" w:pos="2880"/>
        </w:tabs>
        <w:ind w:left="2880" w:hanging="360"/>
      </w:pPr>
      <w:rPr>
        <w:rFonts w:ascii="Arial" w:hAnsi="Arial" w:hint="default"/>
      </w:rPr>
    </w:lvl>
    <w:lvl w:ilvl="4" w:tplc="9446E79C" w:tentative="1">
      <w:start w:val="1"/>
      <w:numFmt w:val="bullet"/>
      <w:lvlText w:val="•"/>
      <w:lvlJc w:val="left"/>
      <w:pPr>
        <w:tabs>
          <w:tab w:val="num" w:pos="3600"/>
        </w:tabs>
        <w:ind w:left="3600" w:hanging="360"/>
      </w:pPr>
      <w:rPr>
        <w:rFonts w:ascii="Arial" w:hAnsi="Arial" w:hint="default"/>
      </w:rPr>
    </w:lvl>
    <w:lvl w:ilvl="5" w:tplc="0DC48E58" w:tentative="1">
      <w:start w:val="1"/>
      <w:numFmt w:val="bullet"/>
      <w:lvlText w:val="•"/>
      <w:lvlJc w:val="left"/>
      <w:pPr>
        <w:tabs>
          <w:tab w:val="num" w:pos="4320"/>
        </w:tabs>
        <w:ind w:left="4320" w:hanging="360"/>
      </w:pPr>
      <w:rPr>
        <w:rFonts w:ascii="Arial" w:hAnsi="Arial" w:hint="default"/>
      </w:rPr>
    </w:lvl>
    <w:lvl w:ilvl="6" w:tplc="572475E4" w:tentative="1">
      <w:start w:val="1"/>
      <w:numFmt w:val="bullet"/>
      <w:lvlText w:val="•"/>
      <w:lvlJc w:val="left"/>
      <w:pPr>
        <w:tabs>
          <w:tab w:val="num" w:pos="5040"/>
        </w:tabs>
        <w:ind w:left="5040" w:hanging="360"/>
      </w:pPr>
      <w:rPr>
        <w:rFonts w:ascii="Arial" w:hAnsi="Arial" w:hint="default"/>
      </w:rPr>
    </w:lvl>
    <w:lvl w:ilvl="7" w:tplc="3866315C" w:tentative="1">
      <w:start w:val="1"/>
      <w:numFmt w:val="bullet"/>
      <w:lvlText w:val="•"/>
      <w:lvlJc w:val="left"/>
      <w:pPr>
        <w:tabs>
          <w:tab w:val="num" w:pos="5760"/>
        </w:tabs>
        <w:ind w:left="5760" w:hanging="360"/>
      </w:pPr>
      <w:rPr>
        <w:rFonts w:ascii="Arial" w:hAnsi="Arial" w:hint="default"/>
      </w:rPr>
    </w:lvl>
    <w:lvl w:ilvl="8" w:tplc="10FE3B40" w:tentative="1">
      <w:start w:val="1"/>
      <w:numFmt w:val="bullet"/>
      <w:lvlText w:val="•"/>
      <w:lvlJc w:val="left"/>
      <w:pPr>
        <w:tabs>
          <w:tab w:val="num" w:pos="6480"/>
        </w:tabs>
        <w:ind w:left="6480" w:hanging="360"/>
      </w:pPr>
      <w:rPr>
        <w:rFonts w:ascii="Arial" w:hAnsi="Arial" w:hint="default"/>
      </w:rPr>
    </w:lvl>
  </w:abstractNum>
  <w:abstractNum w:abstractNumId="28">
    <w:nsid w:val="74ED7274"/>
    <w:multiLevelType w:val="hybridMultilevel"/>
    <w:tmpl w:val="311685EC"/>
    <w:lvl w:ilvl="0" w:tplc="04090001">
      <w:start w:val="1"/>
      <w:numFmt w:val="bullet"/>
      <w:lvlText w:val=""/>
      <w:lvlJc w:val="left"/>
      <w:pPr>
        <w:ind w:left="1620" w:hanging="360"/>
      </w:pPr>
      <w:rPr>
        <w:rFonts w:ascii="Symbol" w:hAnsi="Symbol" w:hint="default"/>
      </w:rPr>
    </w:lvl>
    <w:lvl w:ilvl="1" w:tplc="04090003">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9">
    <w:nsid w:val="7ABB1D37"/>
    <w:multiLevelType w:val="hybridMultilevel"/>
    <w:tmpl w:val="16201556"/>
    <w:lvl w:ilvl="0" w:tplc="0409000F">
      <w:start w:val="1"/>
      <w:numFmt w:val="decimal"/>
      <w:lvlText w:val="%1."/>
      <w:lvlJc w:val="left"/>
      <w:pPr>
        <w:tabs>
          <w:tab w:val="num" w:pos="1620"/>
        </w:tabs>
        <w:ind w:left="1620" w:hanging="360"/>
      </w:p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30">
    <w:nsid w:val="7C1E6D96"/>
    <w:multiLevelType w:val="hybridMultilevel"/>
    <w:tmpl w:val="6CA2003A"/>
    <w:lvl w:ilvl="0" w:tplc="04090015">
      <w:start w:val="1"/>
      <w:numFmt w:val="upperLetter"/>
      <w:lvlText w:val="%1."/>
      <w:lvlJc w:val="left"/>
      <w:pPr>
        <w:tabs>
          <w:tab w:val="num" w:pos="1620"/>
        </w:tabs>
        <w:ind w:left="1620" w:hanging="360"/>
      </w:pPr>
      <w:rPr>
        <w:rFonts w:hint="default"/>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num w:numId="1">
    <w:abstractNumId w:val="5"/>
  </w:num>
  <w:num w:numId="2">
    <w:abstractNumId w:val="23"/>
  </w:num>
  <w:num w:numId="3">
    <w:abstractNumId w:val="20"/>
  </w:num>
  <w:num w:numId="4">
    <w:abstractNumId w:val="22"/>
  </w:num>
  <w:num w:numId="5">
    <w:abstractNumId w:val="3"/>
  </w:num>
  <w:num w:numId="6">
    <w:abstractNumId w:val="4"/>
  </w:num>
  <w:num w:numId="7">
    <w:abstractNumId w:val="18"/>
  </w:num>
  <w:num w:numId="8">
    <w:abstractNumId w:val="15"/>
  </w:num>
  <w:num w:numId="9">
    <w:abstractNumId w:val="29"/>
  </w:num>
  <w:num w:numId="10">
    <w:abstractNumId w:val="30"/>
  </w:num>
  <w:num w:numId="11">
    <w:abstractNumId w:val="14"/>
  </w:num>
  <w:num w:numId="12">
    <w:abstractNumId w:val="7"/>
  </w:num>
  <w:num w:numId="13">
    <w:abstractNumId w:val="11"/>
  </w:num>
  <w:num w:numId="14">
    <w:abstractNumId w:val="19"/>
  </w:num>
  <w:num w:numId="15">
    <w:abstractNumId w:val="21"/>
  </w:num>
  <w:num w:numId="16">
    <w:abstractNumId w:val="8"/>
  </w:num>
  <w:num w:numId="17">
    <w:abstractNumId w:val="6"/>
  </w:num>
  <w:num w:numId="18">
    <w:abstractNumId w:val="25"/>
  </w:num>
  <w:num w:numId="19">
    <w:abstractNumId w:val="26"/>
  </w:num>
  <w:num w:numId="20">
    <w:abstractNumId w:val="9"/>
  </w:num>
  <w:num w:numId="21">
    <w:abstractNumId w:val="10"/>
  </w:num>
  <w:num w:numId="22">
    <w:abstractNumId w:val="2"/>
  </w:num>
  <w:num w:numId="23">
    <w:abstractNumId w:val="28"/>
  </w:num>
  <w:num w:numId="24">
    <w:abstractNumId w:val="0"/>
  </w:num>
  <w:num w:numId="25">
    <w:abstractNumId w:val="27"/>
  </w:num>
  <w:num w:numId="26">
    <w:abstractNumId w:val="13"/>
  </w:num>
  <w:num w:numId="27">
    <w:abstractNumId w:val="24"/>
  </w:num>
  <w:num w:numId="28">
    <w:abstractNumId w:val="12"/>
  </w:num>
  <w:num w:numId="29">
    <w:abstractNumId w:val="1"/>
  </w:num>
  <w:num w:numId="30">
    <w:abstractNumId w:val="17"/>
  </w:num>
  <w:num w:numId="31">
    <w:abstractNumId w:val="1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68F1"/>
    <w:rsid w:val="0000200C"/>
    <w:rsid w:val="00002163"/>
    <w:rsid w:val="000022B2"/>
    <w:rsid w:val="00002720"/>
    <w:rsid w:val="00002ABE"/>
    <w:rsid w:val="0000328B"/>
    <w:rsid w:val="00003986"/>
    <w:rsid w:val="000056F5"/>
    <w:rsid w:val="00005FE3"/>
    <w:rsid w:val="0000648D"/>
    <w:rsid w:val="00006F72"/>
    <w:rsid w:val="000071AB"/>
    <w:rsid w:val="000103AB"/>
    <w:rsid w:val="00011BD7"/>
    <w:rsid w:val="00011ECF"/>
    <w:rsid w:val="00012217"/>
    <w:rsid w:val="00015F6E"/>
    <w:rsid w:val="00016333"/>
    <w:rsid w:val="00017B99"/>
    <w:rsid w:val="00021320"/>
    <w:rsid w:val="00021C9A"/>
    <w:rsid w:val="00023BF3"/>
    <w:rsid w:val="00024927"/>
    <w:rsid w:val="00025CB2"/>
    <w:rsid w:val="00026313"/>
    <w:rsid w:val="00026479"/>
    <w:rsid w:val="0002722E"/>
    <w:rsid w:val="00027C93"/>
    <w:rsid w:val="000311AE"/>
    <w:rsid w:val="00031636"/>
    <w:rsid w:val="00031EF3"/>
    <w:rsid w:val="00031F10"/>
    <w:rsid w:val="000327A4"/>
    <w:rsid w:val="0003319C"/>
    <w:rsid w:val="00033E63"/>
    <w:rsid w:val="000340DF"/>
    <w:rsid w:val="000346A3"/>
    <w:rsid w:val="00034C09"/>
    <w:rsid w:val="00034FDB"/>
    <w:rsid w:val="00036058"/>
    <w:rsid w:val="00036676"/>
    <w:rsid w:val="000366BC"/>
    <w:rsid w:val="00036F6E"/>
    <w:rsid w:val="00037C30"/>
    <w:rsid w:val="0004057A"/>
    <w:rsid w:val="000455FA"/>
    <w:rsid w:val="0004665D"/>
    <w:rsid w:val="00046794"/>
    <w:rsid w:val="00047BED"/>
    <w:rsid w:val="00050021"/>
    <w:rsid w:val="00051980"/>
    <w:rsid w:val="00051C80"/>
    <w:rsid w:val="000523BE"/>
    <w:rsid w:val="000528CF"/>
    <w:rsid w:val="000532C9"/>
    <w:rsid w:val="000547DB"/>
    <w:rsid w:val="000553FA"/>
    <w:rsid w:val="00057828"/>
    <w:rsid w:val="0006042D"/>
    <w:rsid w:val="00061AA6"/>
    <w:rsid w:val="00061DAF"/>
    <w:rsid w:val="00062311"/>
    <w:rsid w:val="00062DE9"/>
    <w:rsid w:val="00063F24"/>
    <w:rsid w:val="000660FD"/>
    <w:rsid w:val="00066675"/>
    <w:rsid w:val="0006673A"/>
    <w:rsid w:val="0007013F"/>
    <w:rsid w:val="0007030C"/>
    <w:rsid w:val="0007194A"/>
    <w:rsid w:val="00071A87"/>
    <w:rsid w:val="0007384F"/>
    <w:rsid w:val="00074951"/>
    <w:rsid w:val="00074C70"/>
    <w:rsid w:val="00074EC8"/>
    <w:rsid w:val="00075124"/>
    <w:rsid w:val="00075C03"/>
    <w:rsid w:val="000763B8"/>
    <w:rsid w:val="000768D6"/>
    <w:rsid w:val="00082601"/>
    <w:rsid w:val="00082816"/>
    <w:rsid w:val="000841C8"/>
    <w:rsid w:val="00084D48"/>
    <w:rsid w:val="0008593E"/>
    <w:rsid w:val="00086436"/>
    <w:rsid w:val="00086478"/>
    <w:rsid w:val="00086FAF"/>
    <w:rsid w:val="000874A8"/>
    <w:rsid w:val="00090CE4"/>
    <w:rsid w:val="00092B0F"/>
    <w:rsid w:val="00092C4B"/>
    <w:rsid w:val="00093C35"/>
    <w:rsid w:val="00094E1F"/>
    <w:rsid w:val="000955D7"/>
    <w:rsid w:val="000971C8"/>
    <w:rsid w:val="00097ACC"/>
    <w:rsid w:val="000A1288"/>
    <w:rsid w:val="000A5AB5"/>
    <w:rsid w:val="000A62C5"/>
    <w:rsid w:val="000A6C5C"/>
    <w:rsid w:val="000A724A"/>
    <w:rsid w:val="000B0A2F"/>
    <w:rsid w:val="000B0A53"/>
    <w:rsid w:val="000B15BD"/>
    <w:rsid w:val="000B1B49"/>
    <w:rsid w:val="000B716F"/>
    <w:rsid w:val="000B7518"/>
    <w:rsid w:val="000C0410"/>
    <w:rsid w:val="000C084F"/>
    <w:rsid w:val="000C0CB0"/>
    <w:rsid w:val="000C1A27"/>
    <w:rsid w:val="000C1D8E"/>
    <w:rsid w:val="000C37E7"/>
    <w:rsid w:val="000C4440"/>
    <w:rsid w:val="000C539E"/>
    <w:rsid w:val="000C5746"/>
    <w:rsid w:val="000C5F76"/>
    <w:rsid w:val="000C6702"/>
    <w:rsid w:val="000C6FDE"/>
    <w:rsid w:val="000C6FF3"/>
    <w:rsid w:val="000D030A"/>
    <w:rsid w:val="000D16B3"/>
    <w:rsid w:val="000D3061"/>
    <w:rsid w:val="000D35A7"/>
    <w:rsid w:val="000D42FD"/>
    <w:rsid w:val="000D5CFA"/>
    <w:rsid w:val="000D63C1"/>
    <w:rsid w:val="000D6628"/>
    <w:rsid w:val="000D6D5C"/>
    <w:rsid w:val="000D73B4"/>
    <w:rsid w:val="000D7806"/>
    <w:rsid w:val="000D7848"/>
    <w:rsid w:val="000E1882"/>
    <w:rsid w:val="000E1D35"/>
    <w:rsid w:val="000E2170"/>
    <w:rsid w:val="000E3A97"/>
    <w:rsid w:val="000E3E8A"/>
    <w:rsid w:val="000E40E1"/>
    <w:rsid w:val="000E641D"/>
    <w:rsid w:val="000E7A98"/>
    <w:rsid w:val="000F02EF"/>
    <w:rsid w:val="000F3618"/>
    <w:rsid w:val="000F4772"/>
    <w:rsid w:val="000F5056"/>
    <w:rsid w:val="000F5FB3"/>
    <w:rsid w:val="000F7238"/>
    <w:rsid w:val="001004EA"/>
    <w:rsid w:val="001004F7"/>
    <w:rsid w:val="00100C1A"/>
    <w:rsid w:val="00100F43"/>
    <w:rsid w:val="001022AF"/>
    <w:rsid w:val="001022DB"/>
    <w:rsid w:val="00103965"/>
    <w:rsid w:val="00105C48"/>
    <w:rsid w:val="0011023C"/>
    <w:rsid w:val="0011061C"/>
    <w:rsid w:val="00110E09"/>
    <w:rsid w:val="001115E2"/>
    <w:rsid w:val="00111E33"/>
    <w:rsid w:val="001133E3"/>
    <w:rsid w:val="00113C69"/>
    <w:rsid w:val="00113DDA"/>
    <w:rsid w:val="0011471F"/>
    <w:rsid w:val="00114A14"/>
    <w:rsid w:val="00116A7A"/>
    <w:rsid w:val="001172B2"/>
    <w:rsid w:val="0011740E"/>
    <w:rsid w:val="00120C0B"/>
    <w:rsid w:val="0012271F"/>
    <w:rsid w:val="00123236"/>
    <w:rsid w:val="00123A43"/>
    <w:rsid w:val="001244B1"/>
    <w:rsid w:val="001253A1"/>
    <w:rsid w:val="00130E6B"/>
    <w:rsid w:val="001320E0"/>
    <w:rsid w:val="00133339"/>
    <w:rsid w:val="001349CB"/>
    <w:rsid w:val="0013523E"/>
    <w:rsid w:val="00135D6D"/>
    <w:rsid w:val="00136D6C"/>
    <w:rsid w:val="00136EB5"/>
    <w:rsid w:val="00140646"/>
    <w:rsid w:val="00141157"/>
    <w:rsid w:val="001420B4"/>
    <w:rsid w:val="00142189"/>
    <w:rsid w:val="001429EF"/>
    <w:rsid w:val="0014376E"/>
    <w:rsid w:val="00144243"/>
    <w:rsid w:val="00144561"/>
    <w:rsid w:val="001446BF"/>
    <w:rsid w:val="00144A6C"/>
    <w:rsid w:val="00145162"/>
    <w:rsid w:val="00145827"/>
    <w:rsid w:val="0015049D"/>
    <w:rsid w:val="00150940"/>
    <w:rsid w:val="00150D42"/>
    <w:rsid w:val="001514F4"/>
    <w:rsid w:val="00151B27"/>
    <w:rsid w:val="001523BE"/>
    <w:rsid w:val="00152686"/>
    <w:rsid w:val="00152E03"/>
    <w:rsid w:val="001536D3"/>
    <w:rsid w:val="001547F4"/>
    <w:rsid w:val="00154BD8"/>
    <w:rsid w:val="00155E89"/>
    <w:rsid w:val="0015612C"/>
    <w:rsid w:val="00160F35"/>
    <w:rsid w:val="00162BB6"/>
    <w:rsid w:val="00163AFB"/>
    <w:rsid w:val="00164EF3"/>
    <w:rsid w:val="00165001"/>
    <w:rsid w:val="00165087"/>
    <w:rsid w:val="00170017"/>
    <w:rsid w:val="0017100B"/>
    <w:rsid w:val="001712ED"/>
    <w:rsid w:val="00171495"/>
    <w:rsid w:val="00172D20"/>
    <w:rsid w:val="00177778"/>
    <w:rsid w:val="00177B76"/>
    <w:rsid w:val="0018028B"/>
    <w:rsid w:val="0018331C"/>
    <w:rsid w:val="00183540"/>
    <w:rsid w:val="00183D28"/>
    <w:rsid w:val="00185C59"/>
    <w:rsid w:val="00186309"/>
    <w:rsid w:val="00187623"/>
    <w:rsid w:val="001901F2"/>
    <w:rsid w:val="00191839"/>
    <w:rsid w:val="00191A0B"/>
    <w:rsid w:val="00192827"/>
    <w:rsid w:val="001A0476"/>
    <w:rsid w:val="001A131B"/>
    <w:rsid w:val="001A1B56"/>
    <w:rsid w:val="001A3AC3"/>
    <w:rsid w:val="001A3E3F"/>
    <w:rsid w:val="001A49F4"/>
    <w:rsid w:val="001A75AC"/>
    <w:rsid w:val="001B0E55"/>
    <w:rsid w:val="001B1E4E"/>
    <w:rsid w:val="001B3654"/>
    <w:rsid w:val="001B4B7E"/>
    <w:rsid w:val="001B4C5B"/>
    <w:rsid w:val="001B5BCC"/>
    <w:rsid w:val="001B6121"/>
    <w:rsid w:val="001B6A0A"/>
    <w:rsid w:val="001B7841"/>
    <w:rsid w:val="001C0C16"/>
    <w:rsid w:val="001C15B1"/>
    <w:rsid w:val="001C1B66"/>
    <w:rsid w:val="001C22DB"/>
    <w:rsid w:val="001C25FF"/>
    <w:rsid w:val="001C3FA7"/>
    <w:rsid w:val="001C4412"/>
    <w:rsid w:val="001C53C6"/>
    <w:rsid w:val="001C542F"/>
    <w:rsid w:val="001C55D3"/>
    <w:rsid w:val="001C5A84"/>
    <w:rsid w:val="001C6428"/>
    <w:rsid w:val="001C6541"/>
    <w:rsid w:val="001D19F0"/>
    <w:rsid w:val="001D3CD4"/>
    <w:rsid w:val="001D4A2D"/>
    <w:rsid w:val="001D509D"/>
    <w:rsid w:val="001D50E9"/>
    <w:rsid w:val="001D6AFE"/>
    <w:rsid w:val="001D7822"/>
    <w:rsid w:val="001D7EA4"/>
    <w:rsid w:val="001E0634"/>
    <w:rsid w:val="001E1A9F"/>
    <w:rsid w:val="001E376F"/>
    <w:rsid w:val="001E4050"/>
    <w:rsid w:val="001E413D"/>
    <w:rsid w:val="001E54B3"/>
    <w:rsid w:val="001E6803"/>
    <w:rsid w:val="001E75E6"/>
    <w:rsid w:val="001E77D7"/>
    <w:rsid w:val="001E7864"/>
    <w:rsid w:val="001F02CD"/>
    <w:rsid w:val="001F04A1"/>
    <w:rsid w:val="001F0DC8"/>
    <w:rsid w:val="001F0F0A"/>
    <w:rsid w:val="001F1640"/>
    <w:rsid w:val="001F2C60"/>
    <w:rsid w:val="001F362E"/>
    <w:rsid w:val="001F36CA"/>
    <w:rsid w:val="001F3F1B"/>
    <w:rsid w:val="001F7C8D"/>
    <w:rsid w:val="00200290"/>
    <w:rsid w:val="00200B00"/>
    <w:rsid w:val="002017DA"/>
    <w:rsid w:val="00202945"/>
    <w:rsid w:val="00202D4D"/>
    <w:rsid w:val="0020315E"/>
    <w:rsid w:val="00203190"/>
    <w:rsid w:val="002032E0"/>
    <w:rsid w:val="00204369"/>
    <w:rsid w:val="00204E48"/>
    <w:rsid w:val="00205124"/>
    <w:rsid w:val="0020598D"/>
    <w:rsid w:val="002060D7"/>
    <w:rsid w:val="00207689"/>
    <w:rsid w:val="00210148"/>
    <w:rsid w:val="00210F4E"/>
    <w:rsid w:val="002118C9"/>
    <w:rsid w:val="00211B94"/>
    <w:rsid w:val="002129A3"/>
    <w:rsid w:val="00214332"/>
    <w:rsid w:val="00215921"/>
    <w:rsid w:val="00216814"/>
    <w:rsid w:val="002169C1"/>
    <w:rsid w:val="0021708C"/>
    <w:rsid w:val="00217CC7"/>
    <w:rsid w:val="00220ACC"/>
    <w:rsid w:val="002227A5"/>
    <w:rsid w:val="00222ED1"/>
    <w:rsid w:val="00223F83"/>
    <w:rsid w:val="00224872"/>
    <w:rsid w:val="00227095"/>
    <w:rsid w:val="00227EC4"/>
    <w:rsid w:val="002300A7"/>
    <w:rsid w:val="00230AD9"/>
    <w:rsid w:val="00230C1B"/>
    <w:rsid w:val="002325C8"/>
    <w:rsid w:val="002326F0"/>
    <w:rsid w:val="00232851"/>
    <w:rsid w:val="00233F51"/>
    <w:rsid w:val="00234289"/>
    <w:rsid w:val="00234B7B"/>
    <w:rsid w:val="00237F2F"/>
    <w:rsid w:val="002400A5"/>
    <w:rsid w:val="0024094C"/>
    <w:rsid w:val="0024365D"/>
    <w:rsid w:val="002436CF"/>
    <w:rsid w:val="00243795"/>
    <w:rsid w:val="0024424F"/>
    <w:rsid w:val="00244DFC"/>
    <w:rsid w:val="002465EA"/>
    <w:rsid w:val="00250F6F"/>
    <w:rsid w:val="00252646"/>
    <w:rsid w:val="0025322A"/>
    <w:rsid w:val="002535DA"/>
    <w:rsid w:val="00254051"/>
    <w:rsid w:val="00254209"/>
    <w:rsid w:val="00254584"/>
    <w:rsid w:val="0025677B"/>
    <w:rsid w:val="00257624"/>
    <w:rsid w:val="0025762A"/>
    <w:rsid w:val="00257D0F"/>
    <w:rsid w:val="002622DC"/>
    <w:rsid w:val="00262426"/>
    <w:rsid w:val="00263E95"/>
    <w:rsid w:val="002648C8"/>
    <w:rsid w:val="00267C4C"/>
    <w:rsid w:val="00267C9D"/>
    <w:rsid w:val="002719C6"/>
    <w:rsid w:val="00271AF8"/>
    <w:rsid w:val="00271C9E"/>
    <w:rsid w:val="00272837"/>
    <w:rsid w:val="00272F5D"/>
    <w:rsid w:val="002740EA"/>
    <w:rsid w:val="00274FDD"/>
    <w:rsid w:val="00276082"/>
    <w:rsid w:val="00276D89"/>
    <w:rsid w:val="00276F60"/>
    <w:rsid w:val="002801D8"/>
    <w:rsid w:val="0028035D"/>
    <w:rsid w:val="002805F4"/>
    <w:rsid w:val="002806C4"/>
    <w:rsid w:val="00281B16"/>
    <w:rsid w:val="0028233A"/>
    <w:rsid w:val="002825A6"/>
    <w:rsid w:val="002856A2"/>
    <w:rsid w:val="002867D9"/>
    <w:rsid w:val="00287E7F"/>
    <w:rsid w:val="0029042B"/>
    <w:rsid w:val="00290C5F"/>
    <w:rsid w:val="002912F8"/>
    <w:rsid w:val="00291712"/>
    <w:rsid w:val="0029287E"/>
    <w:rsid w:val="002928E2"/>
    <w:rsid w:val="002929E6"/>
    <w:rsid w:val="002931CE"/>
    <w:rsid w:val="00293726"/>
    <w:rsid w:val="00293913"/>
    <w:rsid w:val="0029395B"/>
    <w:rsid w:val="002943E5"/>
    <w:rsid w:val="002972D1"/>
    <w:rsid w:val="00297D8C"/>
    <w:rsid w:val="002A0CC8"/>
    <w:rsid w:val="002A1200"/>
    <w:rsid w:val="002A21C7"/>
    <w:rsid w:val="002A2B82"/>
    <w:rsid w:val="002A758D"/>
    <w:rsid w:val="002B1034"/>
    <w:rsid w:val="002B2C8A"/>
    <w:rsid w:val="002B2E41"/>
    <w:rsid w:val="002B2EE8"/>
    <w:rsid w:val="002B2FE4"/>
    <w:rsid w:val="002B5182"/>
    <w:rsid w:val="002B58A6"/>
    <w:rsid w:val="002B6590"/>
    <w:rsid w:val="002B77CC"/>
    <w:rsid w:val="002C156B"/>
    <w:rsid w:val="002C1B3E"/>
    <w:rsid w:val="002C2497"/>
    <w:rsid w:val="002C453B"/>
    <w:rsid w:val="002C4BD9"/>
    <w:rsid w:val="002C5793"/>
    <w:rsid w:val="002C5CA4"/>
    <w:rsid w:val="002C6EA4"/>
    <w:rsid w:val="002D03CF"/>
    <w:rsid w:val="002D10AF"/>
    <w:rsid w:val="002D20F9"/>
    <w:rsid w:val="002D498C"/>
    <w:rsid w:val="002D4D91"/>
    <w:rsid w:val="002D5406"/>
    <w:rsid w:val="002E0080"/>
    <w:rsid w:val="002E090E"/>
    <w:rsid w:val="002E1AD8"/>
    <w:rsid w:val="002E21FD"/>
    <w:rsid w:val="002E2AA1"/>
    <w:rsid w:val="002E3309"/>
    <w:rsid w:val="002E3EAF"/>
    <w:rsid w:val="002E55A1"/>
    <w:rsid w:val="002E5719"/>
    <w:rsid w:val="002E605E"/>
    <w:rsid w:val="002E6835"/>
    <w:rsid w:val="002E7CCA"/>
    <w:rsid w:val="002F0C78"/>
    <w:rsid w:val="002F0D92"/>
    <w:rsid w:val="002F1CCD"/>
    <w:rsid w:val="002F268D"/>
    <w:rsid w:val="002F2CB6"/>
    <w:rsid w:val="002F3EC7"/>
    <w:rsid w:val="002F448F"/>
    <w:rsid w:val="002F56C2"/>
    <w:rsid w:val="002F58B7"/>
    <w:rsid w:val="002F5E4D"/>
    <w:rsid w:val="002F68F1"/>
    <w:rsid w:val="002F6EC2"/>
    <w:rsid w:val="00300E27"/>
    <w:rsid w:val="00302001"/>
    <w:rsid w:val="0030207C"/>
    <w:rsid w:val="0030212C"/>
    <w:rsid w:val="00302872"/>
    <w:rsid w:val="00305537"/>
    <w:rsid w:val="00305AC8"/>
    <w:rsid w:val="0030649A"/>
    <w:rsid w:val="00307ABD"/>
    <w:rsid w:val="00310324"/>
    <w:rsid w:val="003108E0"/>
    <w:rsid w:val="00311777"/>
    <w:rsid w:val="003119F7"/>
    <w:rsid w:val="0031213C"/>
    <w:rsid w:val="003136BD"/>
    <w:rsid w:val="003143FB"/>
    <w:rsid w:val="003145E5"/>
    <w:rsid w:val="0031492C"/>
    <w:rsid w:val="00316161"/>
    <w:rsid w:val="003162BB"/>
    <w:rsid w:val="0031630E"/>
    <w:rsid w:val="00317888"/>
    <w:rsid w:val="00317CB1"/>
    <w:rsid w:val="00320AD5"/>
    <w:rsid w:val="00322717"/>
    <w:rsid w:val="0032342A"/>
    <w:rsid w:val="00323CAF"/>
    <w:rsid w:val="00323F72"/>
    <w:rsid w:val="00324B55"/>
    <w:rsid w:val="003262AF"/>
    <w:rsid w:val="00327B4C"/>
    <w:rsid w:val="00332C24"/>
    <w:rsid w:val="0033355E"/>
    <w:rsid w:val="00333FA6"/>
    <w:rsid w:val="00334865"/>
    <w:rsid w:val="003348A5"/>
    <w:rsid w:val="00334C1C"/>
    <w:rsid w:val="00335F35"/>
    <w:rsid w:val="00337D80"/>
    <w:rsid w:val="00340017"/>
    <w:rsid w:val="00340AF6"/>
    <w:rsid w:val="00341BFA"/>
    <w:rsid w:val="003434F9"/>
    <w:rsid w:val="00343621"/>
    <w:rsid w:val="0034436B"/>
    <w:rsid w:val="00346172"/>
    <w:rsid w:val="00347A9D"/>
    <w:rsid w:val="00350105"/>
    <w:rsid w:val="00350B82"/>
    <w:rsid w:val="00351A67"/>
    <w:rsid w:val="00355C0B"/>
    <w:rsid w:val="003560D8"/>
    <w:rsid w:val="00357BD3"/>
    <w:rsid w:val="00360891"/>
    <w:rsid w:val="00361807"/>
    <w:rsid w:val="00362FC8"/>
    <w:rsid w:val="0036371D"/>
    <w:rsid w:val="00363D03"/>
    <w:rsid w:val="00364865"/>
    <w:rsid w:val="00364CEE"/>
    <w:rsid w:val="00367F33"/>
    <w:rsid w:val="00367F9F"/>
    <w:rsid w:val="00370479"/>
    <w:rsid w:val="00371AA5"/>
    <w:rsid w:val="00372A69"/>
    <w:rsid w:val="00372F2A"/>
    <w:rsid w:val="00373882"/>
    <w:rsid w:val="00375CCE"/>
    <w:rsid w:val="00376CB7"/>
    <w:rsid w:val="0037733A"/>
    <w:rsid w:val="003779C3"/>
    <w:rsid w:val="00377E8D"/>
    <w:rsid w:val="0038139E"/>
    <w:rsid w:val="003816B8"/>
    <w:rsid w:val="00383EEE"/>
    <w:rsid w:val="00384199"/>
    <w:rsid w:val="00385204"/>
    <w:rsid w:val="00386149"/>
    <w:rsid w:val="0038636F"/>
    <w:rsid w:val="003865AD"/>
    <w:rsid w:val="00387971"/>
    <w:rsid w:val="00390091"/>
    <w:rsid w:val="00390A89"/>
    <w:rsid w:val="00390AED"/>
    <w:rsid w:val="0039349F"/>
    <w:rsid w:val="003959F5"/>
    <w:rsid w:val="00396292"/>
    <w:rsid w:val="003965F2"/>
    <w:rsid w:val="00397FD4"/>
    <w:rsid w:val="003A01FA"/>
    <w:rsid w:val="003A06A6"/>
    <w:rsid w:val="003A13BB"/>
    <w:rsid w:val="003A1A41"/>
    <w:rsid w:val="003A2B5C"/>
    <w:rsid w:val="003A4AD8"/>
    <w:rsid w:val="003A5DD8"/>
    <w:rsid w:val="003A7F88"/>
    <w:rsid w:val="003B225D"/>
    <w:rsid w:val="003B23AC"/>
    <w:rsid w:val="003B3438"/>
    <w:rsid w:val="003B3CD5"/>
    <w:rsid w:val="003B4577"/>
    <w:rsid w:val="003B59E6"/>
    <w:rsid w:val="003B6910"/>
    <w:rsid w:val="003B6CF9"/>
    <w:rsid w:val="003C0537"/>
    <w:rsid w:val="003C0B0E"/>
    <w:rsid w:val="003C221E"/>
    <w:rsid w:val="003C3378"/>
    <w:rsid w:val="003C4CFB"/>
    <w:rsid w:val="003C4E29"/>
    <w:rsid w:val="003C5767"/>
    <w:rsid w:val="003C58BB"/>
    <w:rsid w:val="003C5900"/>
    <w:rsid w:val="003C7109"/>
    <w:rsid w:val="003D0186"/>
    <w:rsid w:val="003D1E14"/>
    <w:rsid w:val="003D37B8"/>
    <w:rsid w:val="003D42A7"/>
    <w:rsid w:val="003D4462"/>
    <w:rsid w:val="003D70EE"/>
    <w:rsid w:val="003E16AA"/>
    <w:rsid w:val="003E4072"/>
    <w:rsid w:val="003E419E"/>
    <w:rsid w:val="003E5CA4"/>
    <w:rsid w:val="003E67BA"/>
    <w:rsid w:val="003E688A"/>
    <w:rsid w:val="003E71F2"/>
    <w:rsid w:val="003F04B0"/>
    <w:rsid w:val="003F2E87"/>
    <w:rsid w:val="003F2FE1"/>
    <w:rsid w:val="003F3D05"/>
    <w:rsid w:val="003F6439"/>
    <w:rsid w:val="003F6BE0"/>
    <w:rsid w:val="003F6EE7"/>
    <w:rsid w:val="003F7B1C"/>
    <w:rsid w:val="00400806"/>
    <w:rsid w:val="00401335"/>
    <w:rsid w:val="004021F0"/>
    <w:rsid w:val="0040249F"/>
    <w:rsid w:val="004027BB"/>
    <w:rsid w:val="00402EC2"/>
    <w:rsid w:val="00405BB1"/>
    <w:rsid w:val="00405E23"/>
    <w:rsid w:val="004073DE"/>
    <w:rsid w:val="00410A9F"/>
    <w:rsid w:val="00411B1B"/>
    <w:rsid w:val="00412628"/>
    <w:rsid w:val="00412CFB"/>
    <w:rsid w:val="00413600"/>
    <w:rsid w:val="00413FC1"/>
    <w:rsid w:val="00415046"/>
    <w:rsid w:val="0041518E"/>
    <w:rsid w:val="004157F0"/>
    <w:rsid w:val="00415BCC"/>
    <w:rsid w:val="004170E9"/>
    <w:rsid w:val="004171BC"/>
    <w:rsid w:val="004171F7"/>
    <w:rsid w:val="0042112D"/>
    <w:rsid w:val="004212B1"/>
    <w:rsid w:val="00423569"/>
    <w:rsid w:val="0042378B"/>
    <w:rsid w:val="0042473F"/>
    <w:rsid w:val="004247A7"/>
    <w:rsid w:val="00425DCB"/>
    <w:rsid w:val="00426BFC"/>
    <w:rsid w:val="00426CE8"/>
    <w:rsid w:val="0043025C"/>
    <w:rsid w:val="00431327"/>
    <w:rsid w:val="00431329"/>
    <w:rsid w:val="0043177B"/>
    <w:rsid w:val="00431912"/>
    <w:rsid w:val="00432FE8"/>
    <w:rsid w:val="004330A5"/>
    <w:rsid w:val="004340E2"/>
    <w:rsid w:val="00434199"/>
    <w:rsid w:val="004342DA"/>
    <w:rsid w:val="00434E97"/>
    <w:rsid w:val="00435F35"/>
    <w:rsid w:val="0044031F"/>
    <w:rsid w:val="0044039F"/>
    <w:rsid w:val="004406A8"/>
    <w:rsid w:val="004407D2"/>
    <w:rsid w:val="0044128A"/>
    <w:rsid w:val="004412D0"/>
    <w:rsid w:val="00441AFB"/>
    <w:rsid w:val="00441D3A"/>
    <w:rsid w:val="0044306E"/>
    <w:rsid w:val="00444394"/>
    <w:rsid w:val="0044594C"/>
    <w:rsid w:val="004463CD"/>
    <w:rsid w:val="004465F7"/>
    <w:rsid w:val="004472D5"/>
    <w:rsid w:val="00447A01"/>
    <w:rsid w:val="00447C3A"/>
    <w:rsid w:val="00447C84"/>
    <w:rsid w:val="004510CB"/>
    <w:rsid w:val="004524AA"/>
    <w:rsid w:val="00453798"/>
    <w:rsid w:val="0045409B"/>
    <w:rsid w:val="004547C5"/>
    <w:rsid w:val="00455A55"/>
    <w:rsid w:val="00456FB1"/>
    <w:rsid w:val="004573DE"/>
    <w:rsid w:val="0045772C"/>
    <w:rsid w:val="00457BDE"/>
    <w:rsid w:val="00457E70"/>
    <w:rsid w:val="00460F6D"/>
    <w:rsid w:val="004610F5"/>
    <w:rsid w:val="00461674"/>
    <w:rsid w:val="00462073"/>
    <w:rsid w:val="00462B08"/>
    <w:rsid w:val="00462B49"/>
    <w:rsid w:val="00462F0B"/>
    <w:rsid w:val="004630C0"/>
    <w:rsid w:val="004639DC"/>
    <w:rsid w:val="00463B9C"/>
    <w:rsid w:val="004641C1"/>
    <w:rsid w:val="0046712F"/>
    <w:rsid w:val="004676AC"/>
    <w:rsid w:val="00467AD6"/>
    <w:rsid w:val="00471667"/>
    <w:rsid w:val="0047335F"/>
    <w:rsid w:val="004734CD"/>
    <w:rsid w:val="00474FFD"/>
    <w:rsid w:val="004763AD"/>
    <w:rsid w:val="00477E2E"/>
    <w:rsid w:val="00481830"/>
    <w:rsid w:val="00481C04"/>
    <w:rsid w:val="004822CF"/>
    <w:rsid w:val="00485C92"/>
    <w:rsid w:val="004860E1"/>
    <w:rsid w:val="00486C83"/>
    <w:rsid w:val="00487A9F"/>
    <w:rsid w:val="00490337"/>
    <w:rsid w:val="00490744"/>
    <w:rsid w:val="00491FE8"/>
    <w:rsid w:val="00493EB8"/>
    <w:rsid w:val="00493F86"/>
    <w:rsid w:val="0049468C"/>
    <w:rsid w:val="004947AD"/>
    <w:rsid w:val="0049510B"/>
    <w:rsid w:val="00495B45"/>
    <w:rsid w:val="00496D90"/>
    <w:rsid w:val="00496F7B"/>
    <w:rsid w:val="00496FF6"/>
    <w:rsid w:val="00497326"/>
    <w:rsid w:val="00497932"/>
    <w:rsid w:val="00497D58"/>
    <w:rsid w:val="004A004D"/>
    <w:rsid w:val="004A161D"/>
    <w:rsid w:val="004A2903"/>
    <w:rsid w:val="004A2DE6"/>
    <w:rsid w:val="004A3138"/>
    <w:rsid w:val="004A3478"/>
    <w:rsid w:val="004A4F4F"/>
    <w:rsid w:val="004A5365"/>
    <w:rsid w:val="004A720C"/>
    <w:rsid w:val="004B00FB"/>
    <w:rsid w:val="004B0F46"/>
    <w:rsid w:val="004B114F"/>
    <w:rsid w:val="004B1B4D"/>
    <w:rsid w:val="004B294F"/>
    <w:rsid w:val="004B374C"/>
    <w:rsid w:val="004B3F56"/>
    <w:rsid w:val="004B4043"/>
    <w:rsid w:val="004B4C44"/>
    <w:rsid w:val="004B4C9C"/>
    <w:rsid w:val="004B5315"/>
    <w:rsid w:val="004B5B63"/>
    <w:rsid w:val="004B5B6C"/>
    <w:rsid w:val="004B5C9A"/>
    <w:rsid w:val="004B5CED"/>
    <w:rsid w:val="004B7256"/>
    <w:rsid w:val="004B7B20"/>
    <w:rsid w:val="004C0D8B"/>
    <w:rsid w:val="004C31F6"/>
    <w:rsid w:val="004C3243"/>
    <w:rsid w:val="004C3A40"/>
    <w:rsid w:val="004C474C"/>
    <w:rsid w:val="004C4C7A"/>
    <w:rsid w:val="004C73E1"/>
    <w:rsid w:val="004C77D1"/>
    <w:rsid w:val="004D00B4"/>
    <w:rsid w:val="004D1675"/>
    <w:rsid w:val="004D32FD"/>
    <w:rsid w:val="004D3B32"/>
    <w:rsid w:val="004D3FE5"/>
    <w:rsid w:val="004D4AD8"/>
    <w:rsid w:val="004D659D"/>
    <w:rsid w:val="004D7D40"/>
    <w:rsid w:val="004E1A0C"/>
    <w:rsid w:val="004E264A"/>
    <w:rsid w:val="004E31CB"/>
    <w:rsid w:val="004E3C47"/>
    <w:rsid w:val="004E4FC9"/>
    <w:rsid w:val="004E5076"/>
    <w:rsid w:val="004E5822"/>
    <w:rsid w:val="004E5B88"/>
    <w:rsid w:val="004E5BBB"/>
    <w:rsid w:val="004E5C91"/>
    <w:rsid w:val="004E6098"/>
    <w:rsid w:val="004E64CA"/>
    <w:rsid w:val="004E6C56"/>
    <w:rsid w:val="004E6DF5"/>
    <w:rsid w:val="004F0BC0"/>
    <w:rsid w:val="004F2084"/>
    <w:rsid w:val="004F2756"/>
    <w:rsid w:val="004F295C"/>
    <w:rsid w:val="004F3036"/>
    <w:rsid w:val="004F42E8"/>
    <w:rsid w:val="004F607E"/>
    <w:rsid w:val="004F6F02"/>
    <w:rsid w:val="004F6F3C"/>
    <w:rsid w:val="004F77ED"/>
    <w:rsid w:val="004F7956"/>
    <w:rsid w:val="004F7FBC"/>
    <w:rsid w:val="00500B39"/>
    <w:rsid w:val="00500F7D"/>
    <w:rsid w:val="005026D2"/>
    <w:rsid w:val="00502A7D"/>
    <w:rsid w:val="00503D67"/>
    <w:rsid w:val="00503FCD"/>
    <w:rsid w:val="00505374"/>
    <w:rsid w:val="00506394"/>
    <w:rsid w:val="005073B3"/>
    <w:rsid w:val="00507FF2"/>
    <w:rsid w:val="005101FF"/>
    <w:rsid w:val="0051148F"/>
    <w:rsid w:val="00511FD5"/>
    <w:rsid w:val="0051328B"/>
    <w:rsid w:val="00513656"/>
    <w:rsid w:val="005168CD"/>
    <w:rsid w:val="00517A0D"/>
    <w:rsid w:val="00517CC6"/>
    <w:rsid w:val="005207B0"/>
    <w:rsid w:val="00520F6D"/>
    <w:rsid w:val="0052177F"/>
    <w:rsid w:val="00521A3A"/>
    <w:rsid w:val="00522097"/>
    <w:rsid w:val="0052225C"/>
    <w:rsid w:val="00522381"/>
    <w:rsid w:val="00523475"/>
    <w:rsid w:val="0052397F"/>
    <w:rsid w:val="005249B6"/>
    <w:rsid w:val="00525CF3"/>
    <w:rsid w:val="00526078"/>
    <w:rsid w:val="00527443"/>
    <w:rsid w:val="00527A3F"/>
    <w:rsid w:val="00530861"/>
    <w:rsid w:val="005324F4"/>
    <w:rsid w:val="00533425"/>
    <w:rsid w:val="00534899"/>
    <w:rsid w:val="0053534F"/>
    <w:rsid w:val="005358DB"/>
    <w:rsid w:val="00535C69"/>
    <w:rsid w:val="00535DC8"/>
    <w:rsid w:val="00537F65"/>
    <w:rsid w:val="005418C2"/>
    <w:rsid w:val="00542C38"/>
    <w:rsid w:val="00543EE9"/>
    <w:rsid w:val="005453BE"/>
    <w:rsid w:val="005453D8"/>
    <w:rsid w:val="00546D9E"/>
    <w:rsid w:val="00551688"/>
    <w:rsid w:val="0055189B"/>
    <w:rsid w:val="005533F3"/>
    <w:rsid w:val="00553624"/>
    <w:rsid w:val="005536A8"/>
    <w:rsid w:val="005631BA"/>
    <w:rsid w:val="005640DC"/>
    <w:rsid w:val="00564427"/>
    <w:rsid w:val="005649AD"/>
    <w:rsid w:val="0056504D"/>
    <w:rsid w:val="00565282"/>
    <w:rsid w:val="0056559B"/>
    <w:rsid w:val="00566015"/>
    <w:rsid w:val="0056673E"/>
    <w:rsid w:val="00566A4D"/>
    <w:rsid w:val="00567ACD"/>
    <w:rsid w:val="00567E19"/>
    <w:rsid w:val="00567F3C"/>
    <w:rsid w:val="0057043C"/>
    <w:rsid w:val="005706E4"/>
    <w:rsid w:val="0057214D"/>
    <w:rsid w:val="00572A03"/>
    <w:rsid w:val="00572C82"/>
    <w:rsid w:val="00573536"/>
    <w:rsid w:val="00573DAC"/>
    <w:rsid w:val="00575B31"/>
    <w:rsid w:val="00575D08"/>
    <w:rsid w:val="0057778F"/>
    <w:rsid w:val="00580857"/>
    <w:rsid w:val="00580FD2"/>
    <w:rsid w:val="005816FE"/>
    <w:rsid w:val="0058171C"/>
    <w:rsid w:val="00582334"/>
    <w:rsid w:val="0058275C"/>
    <w:rsid w:val="005829EE"/>
    <w:rsid w:val="005832F0"/>
    <w:rsid w:val="005839FE"/>
    <w:rsid w:val="0058411B"/>
    <w:rsid w:val="00584685"/>
    <w:rsid w:val="00584A2B"/>
    <w:rsid w:val="00584AD5"/>
    <w:rsid w:val="005859CE"/>
    <w:rsid w:val="00586191"/>
    <w:rsid w:val="00586EFF"/>
    <w:rsid w:val="00591093"/>
    <w:rsid w:val="0059193E"/>
    <w:rsid w:val="005941AA"/>
    <w:rsid w:val="00594D46"/>
    <w:rsid w:val="005973B4"/>
    <w:rsid w:val="005A068A"/>
    <w:rsid w:val="005A0CC6"/>
    <w:rsid w:val="005A0DC3"/>
    <w:rsid w:val="005A0E09"/>
    <w:rsid w:val="005A143D"/>
    <w:rsid w:val="005A14B2"/>
    <w:rsid w:val="005A2A6D"/>
    <w:rsid w:val="005A33F4"/>
    <w:rsid w:val="005A49BC"/>
    <w:rsid w:val="005A57BB"/>
    <w:rsid w:val="005A5B28"/>
    <w:rsid w:val="005A67C6"/>
    <w:rsid w:val="005A77E8"/>
    <w:rsid w:val="005B12D1"/>
    <w:rsid w:val="005B1727"/>
    <w:rsid w:val="005B2D9C"/>
    <w:rsid w:val="005B2E82"/>
    <w:rsid w:val="005B3B5D"/>
    <w:rsid w:val="005B4964"/>
    <w:rsid w:val="005B54A6"/>
    <w:rsid w:val="005B5522"/>
    <w:rsid w:val="005B6149"/>
    <w:rsid w:val="005C090B"/>
    <w:rsid w:val="005C0BD0"/>
    <w:rsid w:val="005C11A7"/>
    <w:rsid w:val="005C1DB3"/>
    <w:rsid w:val="005C37FA"/>
    <w:rsid w:val="005C6D89"/>
    <w:rsid w:val="005C7323"/>
    <w:rsid w:val="005D1229"/>
    <w:rsid w:val="005D1800"/>
    <w:rsid w:val="005D254C"/>
    <w:rsid w:val="005D3090"/>
    <w:rsid w:val="005D3DAE"/>
    <w:rsid w:val="005D5390"/>
    <w:rsid w:val="005D56E3"/>
    <w:rsid w:val="005D601B"/>
    <w:rsid w:val="005D659F"/>
    <w:rsid w:val="005D7B84"/>
    <w:rsid w:val="005E0CB0"/>
    <w:rsid w:val="005E14F7"/>
    <w:rsid w:val="005E158F"/>
    <w:rsid w:val="005E24E8"/>
    <w:rsid w:val="005E27BE"/>
    <w:rsid w:val="005E3513"/>
    <w:rsid w:val="005E3750"/>
    <w:rsid w:val="005E39DF"/>
    <w:rsid w:val="005E3C42"/>
    <w:rsid w:val="005E3C4D"/>
    <w:rsid w:val="005E444F"/>
    <w:rsid w:val="005E6AA3"/>
    <w:rsid w:val="005F10AA"/>
    <w:rsid w:val="005F1F38"/>
    <w:rsid w:val="005F28B3"/>
    <w:rsid w:val="005F2CBD"/>
    <w:rsid w:val="005F33EB"/>
    <w:rsid w:val="005F35F0"/>
    <w:rsid w:val="005F378B"/>
    <w:rsid w:val="005F3BD3"/>
    <w:rsid w:val="005F4296"/>
    <w:rsid w:val="005F458A"/>
    <w:rsid w:val="005F55D6"/>
    <w:rsid w:val="005F574D"/>
    <w:rsid w:val="005F5FB6"/>
    <w:rsid w:val="005F65F3"/>
    <w:rsid w:val="005F7467"/>
    <w:rsid w:val="00600C43"/>
    <w:rsid w:val="00601503"/>
    <w:rsid w:val="00604D00"/>
    <w:rsid w:val="00604EAA"/>
    <w:rsid w:val="00605166"/>
    <w:rsid w:val="00605D4E"/>
    <w:rsid w:val="00606A64"/>
    <w:rsid w:val="00607543"/>
    <w:rsid w:val="00607B89"/>
    <w:rsid w:val="00610954"/>
    <w:rsid w:val="00612D8C"/>
    <w:rsid w:val="00612DC1"/>
    <w:rsid w:val="00612E9C"/>
    <w:rsid w:val="00612FB4"/>
    <w:rsid w:val="00614670"/>
    <w:rsid w:val="00614765"/>
    <w:rsid w:val="0061526B"/>
    <w:rsid w:val="006158FA"/>
    <w:rsid w:val="00616C67"/>
    <w:rsid w:val="00616E68"/>
    <w:rsid w:val="00617F68"/>
    <w:rsid w:val="006202D6"/>
    <w:rsid w:val="00620AC6"/>
    <w:rsid w:val="00620DE4"/>
    <w:rsid w:val="00621B13"/>
    <w:rsid w:val="006245C1"/>
    <w:rsid w:val="006257FF"/>
    <w:rsid w:val="0062587D"/>
    <w:rsid w:val="00630DCF"/>
    <w:rsid w:val="0063152A"/>
    <w:rsid w:val="00631784"/>
    <w:rsid w:val="006318A1"/>
    <w:rsid w:val="006324C1"/>
    <w:rsid w:val="0063364A"/>
    <w:rsid w:val="00633A9B"/>
    <w:rsid w:val="00634038"/>
    <w:rsid w:val="0063524F"/>
    <w:rsid w:val="00636763"/>
    <w:rsid w:val="00636B30"/>
    <w:rsid w:val="00637177"/>
    <w:rsid w:val="00637643"/>
    <w:rsid w:val="00637C9F"/>
    <w:rsid w:val="00640F35"/>
    <w:rsid w:val="00643A97"/>
    <w:rsid w:val="00644262"/>
    <w:rsid w:val="0064443D"/>
    <w:rsid w:val="00644D90"/>
    <w:rsid w:val="00645BFC"/>
    <w:rsid w:val="00645D58"/>
    <w:rsid w:val="006472E5"/>
    <w:rsid w:val="0064774B"/>
    <w:rsid w:val="00647896"/>
    <w:rsid w:val="006479C4"/>
    <w:rsid w:val="00654670"/>
    <w:rsid w:val="00655F0B"/>
    <w:rsid w:val="006571ED"/>
    <w:rsid w:val="00660E1B"/>
    <w:rsid w:val="00661016"/>
    <w:rsid w:val="0066193C"/>
    <w:rsid w:val="0066232F"/>
    <w:rsid w:val="006633ED"/>
    <w:rsid w:val="006634EC"/>
    <w:rsid w:val="00663B3C"/>
    <w:rsid w:val="006640F6"/>
    <w:rsid w:val="0066436F"/>
    <w:rsid w:val="00664963"/>
    <w:rsid w:val="00665C4C"/>
    <w:rsid w:val="00665CC1"/>
    <w:rsid w:val="006668D3"/>
    <w:rsid w:val="00666BE1"/>
    <w:rsid w:val="006700C7"/>
    <w:rsid w:val="00673D7D"/>
    <w:rsid w:val="00675150"/>
    <w:rsid w:val="006752FD"/>
    <w:rsid w:val="0067545B"/>
    <w:rsid w:val="0067568B"/>
    <w:rsid w:val="00675B0E"/>
    <w:rsid w:val="00675F88"/>
    <w:rsid w:val="00675FD0"/>
    <w:rsid w:val="006761BD"/>
    <w:rsid w:val="0067773B"/>
    <w:rsid w:val="00680F51"/>
    <w:rsid w:val="0068137C"/>
    <w:rsid w:val="00682108"/>
    <w:rsid w:val="006828CB"/>
    <w:rsid w:val="00683E0B"/>
    <w:rsid w:val="00683EA6"/>
    <w:rsid w:val="006841E2"/>
    <w:rsid w:val="00684848"/>
    <w:rsid w:val="00685E4A"/>
    <w:rsid w:val="00685F6D"/>
    <w:rsid w:val="00686B70"/>
    <w:rsid w:val="00690728"/>
    <w:rsid w:val="006932D8"/>
    <w:rsid w:val="00693C3F"/>
    <w:rsid w:val="00693C8C"/>
    <w:rsid w:val="00695628"/>
    <w:rsid w:val="00695F77"/>
    <w:rsid w:val="006968BF"/>
    <w:rsid w:val="00696B40"/>
    <w:rsid w:val="00697237"/>
    <w:rsid w:val="006972F6"/>
    <w:rsid w:val="006A001A"/>
    <w:rsid w:val="006A0759"/>
    <w:rsid w:val="006A08E9"/>
    <w:rsid w:val="006A23CD"/>
    <w:rsid w:val="006A41A2"/>
    <w:rsid w:val="006A49A2"/>
    <w:rsid w:val="006A4E8F"/>
    <w:rsid w:val="006A5112"/>
    <w:rsid w:val="006A5E53"/>
    <w:rsid w:val="006A6C5A"/>
    <w:rsid w:val="006A6D76"/>
    <w:rsid w:val="006A7DB2"/>
    <w:rsid w:val="006B0333"/>
    <w:rsid w:val="006B0B56"/>
    <w:rsid w:val="006C2CDA"/>
    <w:rsid w:val="006C3421"/>
    <w:rsid w:val="006C3CF5"/>
    <w:rsid w:val="006C45D2"/>
    <w:rsid w:val="006C46C1"/>
    <w:rsid w:val="006C480B"/>
    <w:rsid w:val="006C48F4"/>
    <w:rsid w:val="006C4D7A"/>
    <w:rsid w:val="006C5737"/>
    <w:rsid w:val="006C5D36"/>
    <w:rsid w:val="006C5D3C"/>
    <w:rsid w:val="006C7C91"/>
    <w:rsid w:val="006D0DCF"/>
    <w:rsid w:val="006D2CC0"/>
    <w:rsid w:val="006D496E"/>
    <w:rsid w:val="006D515A"/>
    <w:rsid w:val="006D6C3D"/>
    <w:rsid w:val="006E03DE"/>
    <w:rsid w:val="006E181F"/>
    <w:rsid w:val="006E1D87"/>
    <w:rsid w:val="006E35D0"/>
    <w:rsid w:val="006E489C"/>
    <w:rsid w:val="006E4DEB"/>
    <w:rsid w:val="006E6538"/>
    <w:rsid w:val="006E7031"/>
    <w:rsid w:val="006E7265"/>
    <w:rsid w:val="006E798B"/>
    <w:rsid w:val="006F0614"/>
    <w:rsid w:val="006F0A00"/>
    <w:rsid w:val="006F1619"/>
    <w:rsid w:val="006F247B"/>
    <w:rsid w:val="006F260D"/>
    <w:rsid w:val="006F2D25"/>
    <w:rsid w:val="006F35FA"/>
    <w:rsid w:val="006F4BAA"/>
    <w:rsid w:val="006F53BD"/>
    <w:rsid w:val="006F6104"/>
    <w:rsid w:val="007015D7"/>
    <w:rsid w:val="0070321D"/>
    <w:rsid w:val="00703C0A"/>
    <w:rsid w:val="00704DD2"/>
    <w:rsid w:val="007062FD"/>
    <w:rsid w:val="007071CC"/>
    <w:rsid w:val="007108B0"/>
    <w:rsid w:val="007118B3"/>
    <w:rsid w:val="00712D9F"/>
    <w:rsid w:val="0071459B"/>
    <w:rsid w:val="00714A34"/>
    <w:rsid w:val="00714DE0"/>
    <w:rsid w:val="00717235"/>
    <w:rsid w:val="00720DDF"/>
    <w:rsid w:val="00721C35"/>
    <w:rsid w:val="00721F4E"/>
    <w:rsid w:val="00722090"/>
    <w:rsid w:val="007221A5"/>
    <w:rsid w:val="00723AE4"/>
    <w:rsid w:val="007243DE"/>
    <w:rsid w:val="0072587A"/>
    <w:rsid w:val="00726226"/>
    <w:rsid w:val="007262C3"/>
    <w:rsid w:val="00726E85"/>
    <w:rsid w:val="00727D39"/>
    <w:rsid w:val="0073049C"/>
    <w:rsid w:val="007306C7"/>
    <w:rsid w:val="00731100"/>
    <w:rsid w:val="00732B7B"/>
    <w:rsid w:val="00733149"/>
    <w:rsid w:val="00733F61"/>
    <w:rsid w:val="00734A0C"/>
    <w:rsid w:val="00735B4B"/>
    <w:rsid w:val="00735F97"/>
    <w:rsid w:val="00736DEB"/>
    <w:rsid w:val="00736EEE"/>
    <w:rsid w:val="00737EDA"/>
    <w:rsid w:val="00742F01"/>
    <w:rsid w:val="00743EF6"/>
    <w:rsid w:val="00744469"/>
    <w:rsid w:val="00744DF8"/>
    <w:rsid w:val="00745520"/>
    <w:rsid w:val="00746E0C"/>
    <w:rsid w:val="00747A4E"/>
    <w:rsid w:val="00752138"/>
    <w:rsid w:val="0075250C"/>
    <w:rsid w:val="00753771"/>
    <w:rsid w:val="00753D75"/>
    <w:rsid w:val="00754912"/>
    <w:rsid w:val="00755A5C"/>
    <w:rsid w:val="00755B1F"/>
    <w:rsid w:val="00755C31"/>
    <w:rsid w:val="00757123"/>
    <w:rsid w:val="00757208"/>
    <w:rsid w:val="00761376"/>
    <w:rsid w:val="00761E21"/>
    <w:rsid w:val="00765AB5"/>
    <w:rsid w:val="00765DFC"/>
    <w:rsid w:val="00766869"/>
    <w:rsid w:val="00766D2F"/>
    <w:rsid w:val="007701EB"/>
    <w:rsid w:val="00771EAC"/>
    <w:rsid w:val="00772A8B"/>
    <w:rsid w:val="007731ED"/>
    <w:rsid w:val="00774A75"/>
    <w:rsid w:val="00774CD0"/>
    <w:rsid w:val="00775E85"/>
    <w:rsid w:val="0077615A"/>
    <w:rsid w:val="00776C27"/>
    <w:rsid w:val="00776FA4"/>
    <w:rsid w:val="0078068C"/>
    <w:rsid w:val="00780BFB"/>
    <w:rsid w:val="007810FD"/>
    <w:rsid w:val="007812C2"/>
    <w:rsid w:val="007820F3"/>
    <w:rsid w:val="007829CC"/>
    <w:rsid w:val="0078329E"/>
    <w:rsid w:val="0078515E"/>
    <w:rsid w:val="007854A0"/>
    <w:rsid w:val="0078592D"/>
    <w:rsid w:val="00785AF4"/>
    <w:rsid w:val="00786500"/>
    <w:rsid w:val="0078652F"/>
    <w:rsid w:val="00786914"/>
    <w:rsid w:val="00786931"/>
    <w:rsid w:val="00786E5E"/>
    <w:rsid w:val="00787271"/>
    <w:rsid w:val="007879BE"/>
    <w:rsid w:val="00787B2D"/>
    <w:rsid w:val="00790283"/>
    <w:rsid w:val="0079077B"/>
    <w:rsid w:val="00793432"/>
    <w:rsid w:val="00793B5C"/>
    <w:rsid w:val="00793D81"/>
    <w:rsid w:val="007944ED"/>
    <w:rsid w:val="00794715"/>
    <w:rsid w:val="00795357"/>
    <w:rsid w:val="00795790"/>
    <w:rsid w:val="00795D65"/>
    <w:rsid w:val="00796EEF"/>
    <w:rsid w:val="00796F26"/>
    <w:rsid w:val="00797708"/>
    <w:rsid w:val="00797AE4"/>
    <w:rsid w:val="007A1B36"/>
    <w:rsid w:val="007A21FA"/>
    <w:rsid w:val="007A290A"/>
    <w:rsid w:val="007A2E95"/>
    <w:rsid w:val="007A3AB3"/>
    <w:rsid w:val="007A3FDA"/>
    <w:rsid w:val="007A443A"/>
    <w:rsid w:val="007A4526"/>
    <w:rsid w:val="007A4E36"/>
    <w:rsid w:val="007A5D61"/>
    <w:rsid w:val="007A653F"/>
    <w:rsid w:val="007A6EDB"/>
    <w:rsid w:val="007A70EA"/>
    <w:rsid w:val="007B080D"/>
    <w:rsid w:val="007B1C2A"/>
    <w:rsid w:val="007B1D05"/>
    <w:rsid w:val="007B203D"/>
    <w:rsid w:val="007B2A3A"/>
    <w:rsid w:val="007B32D9"/>
    <w:rsid w:val="007B3974"/>
    <w:rsid w:val="007B3E9C"/>
    <w:rsid w:val="007B5DF7"/>
    <w:rsid w:val="007B63DE"/>
    <w:rsid w:val="007B6F3A"/>
    <w:rsid w:val="007C0C31"/>
    <w:rsid w:val="007C1281"/>
    <w:rsid w:val="007C14A1"/>
    <w:rsid w:val="007C15B3"/>
    <w:rsid w:val="007C221F"/>
    <w:rsid w:val="007C2288"/>
    <w:rsid w:val="007C2C48"/>
    <w:rsid w:val="007C642A"/>
    <w:rsid w:val="007C6CBB"/>
    <w:rsid w:val="007D20E1"/>
    <w:rsid w:val="007D3981"/>
    <w:rsid w:val="007D415A"/>
    <w:rsid w:val="007D52B4"/>
    <w:rsid w:val="007D6CE8"/>
    <w:rsid w:val="007D73A1"/>
    <w:rsid w:val="007D7825"/>
    <w:rsid w:val="007D7C50"/>
    <w:rsid w:val="007D7CBD"/>
    <w:rsid w:val="007E0367"/>
    <w:rsid w:val="007E1DE7"/>
    <w:rsid w:val="007E26B4"/>
    <w:rsid w:val="007E2C7D"/>
    <w:rsid w:val="007E334A"/>
    <w:rsid w:val="007E4C84"/>
    <w:rsid w:val="007E4EFE"/>
    <w:rsid w:val="007E5B58"/>
    <w:rsid w:val="007E604B"/>
    <w:rsid w:val="007E73BE"/>
    <w:rsid w:val="007E7EDD"/>
    <w:rsid w:val="007F02CE"/>
    <w:rsid w:val="007F0852"/>
    <w:rsid w:val="007F0D29"/>
    <w:rsid w:val="007F0FA1"/>
    <w:rsid w:val="007F2136"/>
    <w:rsid w:val="007F2193"/>
    <w:rsid w:val="007F2A21"/>
    <w:rsid w:val="007F477D"/>
    <w:rsid w:val="007F4B10"/>
    <w:rsid w:val="007F4D4A"/>
    <w:rsid w:val="007F527E"/>
    <w:rsid w:val="007F5883"/>
    <w:rsid w:val="007F5A75"/>
    <w:rsid w:val="007F5CBE"/>
    <w:rsid w:val="007F6333"/>
    <w:rsid w:val="007F63E0"/>
    <w:rsid w:val="007F65C0"/>
    <w:rsid w:val="00800465"/>
    <w:rsid w:val="00801D40"/>
    <w:rsid w:val="0080273A"/>
    <w:rsid w:val="00802847"/>
    <w:rsid w:val="0080285D"/>
    <w:rsid w:val="00804A46"/>
    <w:rsid w:val="00804F0C"/>
    <w:rsid w:val="0080582D"/>
    <w:rsid w:val="00805A00"/>
    <w:rsid w:val="00807260"/>
    <w:rsid w:val="008112D5"/>
    <w:rsid w:val="00811871"/>
    <w:rsid w:val="008123FD"/>
    <w:rsid w:val="008124AB"/>
    <w:rsid w:val="008132C7"/>
    <w:rsid w:val="0081333B"/>
    <w:rsid w:val="00815331"/>
    <w:rsid w:val="00815F0F"/>
    <w:rsid w:val="00817064"/>
    <w:rsid w:val="00817171"/>
    <w:rsid w:val="00817193"/>
    <w:rsid w:val="0082062E"/>
    <w:rsid w:val="00820D15"/>
    <w:rsid w:val="00822895"/>
    <w:rsid w:val="00823868"/>
    <w:rsid w:val="00823DA8"/>
    <w:rsid w:val="008252E4"/>
    <w:rsid w:val="0083194B"/>
    <w:rsid w:val="008345BA"/>
    <w:rsid w:val="00834C0F"/>
    <w:rsid w:val="00835531"/>
    <w:rsid w:val="008362F6"/>
    <w:rsid w:val="008379A6"/>
    <w:rsid w:val="00837F66"/>
    <w:rsid w:val="008400B5"/>
    <w:rsid w:val="00840411"/>
    <w:rsid w:val="00842417"/>
    <w:rsid w:val="00842E9B"/>
    <w:rsid w:val="00843749"/>
    <w:rsid w:val="00843BAF"/>
    <w:rsid w:val="00845089"/>
    <w:rsid w:val="0084619D"/>
    <w:rsid w:val="008471E6"/>
    <w:rsid w:val="008475E6"/>
    <w:rsid w:val="0084767F"/>
    <w:rsid w:val="00847C44"/>
    <w:rsid w:val="00847DD5"/>
    <w:rsid w:val="008503EE"/>
    <w:rsid w:val="00850F65"/>
    <w:rsid w:val="00851EA9"/>
    <w:rsid w:val="00852ED8"/>
    <w:rsid w:val="008539F0"/>
    <w:rsid w:val="00853BBE"/>
    <w:rsid w:val="00854DB5"/>
    <w:rsid w:val="0085678D"/>
    <w:rsid w:val="00856AF6"/>
    <w:rsid w:val="00856B0F"/>
    <w:rsid w:val="008579E2"/>
    <w:rsid w:val="00857D33"/>
    <w:rsid w:val="00857DA7"/>
    <w:rsid w:val="00857F0A"/>
    <w:rsid w:val="00860E11"/>
    <w:rsid w:val="00861006"/>
    <w:rsid w:val="00861EB0"/>
    <w:rsid w:val="00861F51"/>
    <w:rsid w:val="008626BE"/>
    <w:rsid w:val="00864129"/>
    <w:rsid w:val="0086438D"/>
    <w:rsid w:val="0086679D"/>
    <w:rsid w:val="008704C0"/>
    <w:rsid w:val="00870546"/>
    <w:rsid w:val="0087092B"/>
    <w:rsid w:val="00871C46"/>
    <w:rsid w:val="0087362B"/>
    <w:rsid w:val="0087404A"/>
    <w:rsid w:val="00874CE8"/>
    <w:rsid w:val="00874D44"/>
    <w:rsid w:val="008758B4"/>
    <w:rsid w:val="00877477"/>
    <w:rsid w:val="008803D1"/>
    <w:rsid w:val="00880CF6"/>
    <w:rsid w:val="00882E64"/>
    <w:rsid w:val="0088307D"/>
    <w:rsid w:val="00884612"/>
    <w:rsid w:val="00885177"/>
    <w:rsid w:val="00885F86"/>
    <w:rsid w:val="008872E9"/>
    <w:rsid w:val="008926D5"/>
    <w:rsid w:val="00892BED"/>
    <w:rsid w:val="00892FAD"/>
    <w:rsid w:val="00893649"/>
    <w:rsid w:val="00894517"/>
    <w:rsid w:val="00894B51"/>
    <w:rsid w:val="008964AE"/>
    <w:rsid w:val="00896F5E"/>
    <w:rsid w:val="00896FD2"/>
    <w:rsid w:val="008A0DC1"/>
    <w:rsid w:val="008A110F"/>
    <w:rsid w:val="008A11D8"/>
    <w:rsid w:val="008A14BA"/>
    <w:rsid w:val="008A3224"/>
    <w:rsid w:val="008A354A"/>
    <w:rsid w:val="008A3F9C"/>
    <w:rsid w:val="008A4CAB"/>
    <w:rsid w:val="008A57A9"/>
    <w:rsid w:val="008A7881"/>
    <w:rsid w:val="008B0EA3"/>
    <w:rsid w:val="008B2EFD"/>
    <w:rsid w:val="008B52B5"/>
    <w:rsid w:val="008B54BC"/>
    <w:rsid w:val="008B57F7"/>
    <w:rsid w:val="008B5AB0"/>
    <w:rsid w:val="008B6E50"/>
    <w:rsid w:val="008C17B5"/>
    <w:rsid w:val="008C2843"/>
    <w:rsid w:val="008C28FB"/>
    <w:rsid w:val="008C36BB"/>
    <w:rsid w:val="008C4E40"/>
    <w:rsid w:val="008C6198"/>
    <w:rsid w:val="008D1829"/>
    <w:rsid w:val="008D297B"/>
    <w:rsid w:val="008D3283"/>
    <w:rsid w:val="008D337C"/>
    <w:rsid w:val="008D34F7"/>
    <w:rsid w:val="008D38BE"/>
    <w:rsid w:val="008D395B"/>
    <w:rsid w:val="008D3A6B"/>
    <w:rsid w:val="008D48C9"/>
    <w:rsid w:val="008D4E03"/>
    <w:rsid w:val="008D5619"/>
    <w:rsid w:val="008D61CE"/>
    <w:rsid w:val="008E0D57"/>
    <w:rsid w:val="008E14EC"/>
    <w:rsid w:val="008E1766"/>
    <w:rsid w:val="008E24CA"/>
    <w:rsid w:val="008E29FF"/>
    <w:rsid w:val="008E3AF2"/>
    <w:rsid w:val="008E5A8B"/>
    <w:rsid w:val="008E66AD"/>
    <w:rsid w:val="008E6B74"/>
    <w:rsid w:val="008F037A"/>
    <w:rsid w:val="008F0732"/>
    <w:rsid w:val="008F0FDA"/>
    <w:rsid w:val="008F200A"/>
    <w:rsid w:val="008F2314"/>
    <w:rsid w:val="008F50BB"/>
    <w:rsid w:val="008F5E9F"/>
    <w:rsid w:val="008F629F"/>
    <w:rsid w:val="008F633E"/>
    <w:rsid w:val="008F6FF2"/>
    <w:rsid w:val="009006ED"/>
    <w:rsid w:val="00901A03"/>
    <w:rsid w:val="00902A5A"/>
    <w:rsid w:val="00903D3A"/>
    <w:rsid w:val="00905103"/>
    <w:rsid w:val="00905844"/>
    <w:rsid w:val="00911792"/>
    <w:rsid w:val="009136F3"/>
    <w:rsid w:val="00913887"/>
    <w:rsid w:val="00913CBC"/>
    <w:rsid w:val="00913D3B"/>
    <w:rsid w:val="00913DB4"/>
    <w:rsid w:val="009143CA"/>
    <w:rsid w:val="009151DA"/>
    <w:rsid w:val="009156BD"/>
    <w:rsid w:val="00917787"/>
    <w:rsid w:val="00920066"/>
    <w:rsid w:val="0092018B"/>
    <w:rsid w:val="00920733"/>
    <w:rsid w:val="00921D28"/>
    <w:rsid w:val="00921EEB"/>
    <w:rsid w:val="00922F2B"/>
    <w:rsid w:val="00923D91"/>
    <w:rsid w:val="009249C6"/>
    <w:rsid w:val="00926A97"/>
    <w:rsid w:val="009270F4"/>
    <w:rsid w:val="00932735"/>
    <w:rsid w:val="009348FB"/>
    <w:rsid w:val="00936C6A"/>
    <w:rsid w:val="00936E65"/>
    <w:rsid w:val="00942962"/>
    <w:rsid w:val="00944A93"/>
    <w:rsid w:val="00945F3D"/>
    <w:rsid w:val="00945F70"/>
    <w:rsid w:val="009477A7"/>
    <w:rsid w:val="00947901"/>
    <w:rsid w:val="009500B2"/>
    <w:rsid w:val="009504D1"/>
    <w:rsid w:val="00950C6F"/>
    <w:rsid w:val="00950DDE"/>
    <w:rsid w:val="00950EF2"/>
    <w:rsid w:val="009511C8"/>
    <w:rsid w:val="009532F9"/>
    <w:rsid w:val="0095376B"/>
    <w:rsid w:val="009538E5"/>
    <w:rsid w:val="00955EF9"/>
    <w:rsid w:val="0095736D"/>
    <w:rsid w:val="00960F48"/>
    <w:rsid w:val="009617E7"/>
    <w:rsid w:val="00961DBA"/>
    <w:rsid w:val="00962CE0"/>
    <w:rsid w:val="009630A4"/>
    <w:rsid w:val="00963622"/>
    <w:rsid w:val="0096534A"/>
    <w:rsid w:val="009653CB"/>
    <w:rsid w:val="009656AD"/>
    <w:rsid w:val="009668C0"/>
    <w:rsid w:val="00967B91"/>
    <w:rsid w:val="00970DB6"/>
    <w:rsid w:val="00970EBD"/>
    <w:rsid w:val="00971171"/>
    <w:rsid w:val="00973A06"/>
    <w:rsid w:val="009741D1"/>
    <w:rsid w:val="00974E2B"/>
    <w:rsid w:val="00977590"/>
    <w:rsid w:val="00980F59"/>
    <w:rsid w:val="009812DC"/>
    <w:rsid w:val="00981873"/>
    <w:rsid w:val="00982791"/>
    <w:rsid w:val="0098282D"/>
    <w:rsid w:val="0098370D"/>
    <w:rsid w:val="009846B2"/>
    <w:rsid w:val="0098552A"/>
    <w:rsid w:val="00985566"/>
    <w:rsid w:val="00986957"/>
    <w:rsid w:val="00986C28"/>
    <w:rsid w:val="00987E50"/>
    <w:rsid w:val="00987F8C"/>
    <w:rsid w:val="00990D5C"/>
    <w:rsid w:val="00991624"/>
    <w:rsid w:val="00992261"/>
    <w:rsid w:val="009922A9"/>
    <w:rsid w:val="00992AEA"/>
    <w:rsid w:val="00992F29"/>
    <w:rsid w:val="0099334B"/>
    <w:rsid w:val="009942FE"/>
    <w:rsid w:val="009955E2"/>
    <w:rsid w:val="00995D1D"/>
    <w:rsid w:val="00995E93"/>
    <w:rsid w:val="00996272"/>
    <w:rsid w:val="00997179"/>
    <w:rsid w:val="00997C27"/>
    <w:rsid w:val="009A27D4"/>
    <w:rsid w:val="009A2A0A"/>
    <w:rsid w:val="009A3155"/>
    <w:rsid w:val="009A3F6C"/>
    <w:rsid w:val="009A4164"/>
    <w:rsid w:val="009A4B3C"/>
    <w:rsid w:val="009A4C07"/>
    <w:rsid w:val="009B02BA"/>
    <w:rsid w:val="009B088F"/>
    <w:rsid w:val="009B2226"/>
    <w:rsid w:val="009B3C47"/>
    <w:rsid w:val="009B49B3"/>
    <w:rsid w:val="009B58C3"/>
    <w:rsid w:val="009B77D5"/>
    <w:rsid w:val="009C1C1C"/>
    <w:rsid w:val="009C1C29"/>
    <w:rsid w:val="009C1C96"/>
    <w:rsid w:val="009C1D54"/>
    <w:rsid w:val="009C283C"/>
    <w:rsid w:val="009C497F"/>
    <w:rsid w:val="009C49D5"/>
    <w:rsid w:val="009C4A64"/>
    <w:rsid w:val="009C53A5"/>
    <w:rsid w:val="009D0A09"/>
    <w:rsid w:val="009D1145"/>
    <w:rsid w:val="009D1913"/>
    <w:rsid w:val="009D2CFE"/>
    <w:rsid w:val="009D30AA"/>
    <w:rsid w:val="009D3C74"/>
    <w:rsid w:val="009D4372"/>
    <w:rsid w:val="009D4F76"/>
    <w:rsid w:val="009D6375"/>
    <w:rsid w:val="009D6A15"/>
    <w:rsid w:val="009D6A58"/>
    <w:rsid w:val="009D6ED5"/>
    <w:rsid w:val="009D7A83"/>
    <w:rsid w:val="009D7F05"/>
    <w:rsid w:val="009E196C"/>
    <w:rsid w:val="009E3CD5"/>
    <w:rsid w:val="009E496E"/>
    <w:rsid w:val="009E4E0A"/>
    <w:rsid w:val="009E65A0"/>
    <w:rsid w:val="009F0179"/>
    <w:rsid w:val="009F07F6"/>
    <w:rsid w:val="009F0B62"/>
    <w:rsid w:val="009F0BF8"/>
    <w:rsid w:val="009F0FDC"/>
    <w:rsid w:val="009F2167"/>
    <w:rsid w:val="009F2B5B"/>
    <w:rsid w:val="009F2F2D"/>
    <w:rsid w:val="009F5A45"/>
    <w:rsid w:val="009F5B87"/>
    <w:rsid w:val="009F7610"/>
    <w:rsid w:val="009F7814"/>
    <w:rsid w:val="00A00166"/>
    <w:rsid w:val="00A00CD2"/>
    <w:rsid w:val="00A013C4"/>
    <w:rsid w:val="00A02018"/>
    <w:rsid w:val="00A02636"/>
    <w:rsid w:val="00A03A33"/>
    <w:rsid w:val="00A04615"/>
    <w:rsid w:val="00A049D0"/>
    <w:rsid w:val="00A05C38"/>
    <w:rsid w:val="00A07E57"/>
    <w:rsid w:val="00A113BD"/>
    <w:rsid w:val="00A11BA2"/>
    <w:rsid w:val="00A12D71"/>
    <w:rsid w:val="00A144A2"/>
    <w:rsid w:val="00A14C25"/>
    <w:rsid w:val="00A155CB"/>
    <w:rsid w:val="00A16D55"/>
    <w:rsid w:val="00A206C3"/>
    <w:rsid w:val="00A210F1"/>
    <w:rsid w:val="00A21CA3"/>
    <w:rsid w:val="00A23753"/>
    <w:rsid w:val="00A2387C"/>
    <w:rsid w:val="00A23F7F"/>
    <w:rsid w:val="00A26FE3"/>
    <w:rsid w:val="00A27526"/>
    <w:rsid w:val="00A30187"/>
    <w:rsid w:val="00A30AD9"/>
    <w:rsid w:val="00A30CB5"/>
    <w:rsid w:val="00A310AB"/>
    <w:rsid w:val="00A31E42"/>
    <w:rsid w:val="00A354F8"/>
    <w:rsid w:val="00A355A6"/>
    <w:rsid w:val="00A3688C"/>
    <w:rsid w:val="00A37A36"/>
    <w:rsid w:val="00A40A4D"/>
    <w:rsid w:val="00A429E1"/>
    <w:rsid w:val="00A4429C"/>
    <w:rsid w:val="00A44FED"/>
    <w:rsid w:val="00A45508"/>
    <w:rsid w:val="00A45C9F"/>
    <w:rsid w:val="00A473D9"/>
    <w:rsid w:val="00A47C58"/>
    <w:rsid w:val="00A512B9"/>
    <w:rsid w:val="00A51B17"/>
    <w:rsid w:val="00A53056"/>
    <w:rsid w:val="00A5447A"/>
    <w:rsid w:val="00A544BA"/>
    <w:rsid w:val="00A557EA"/>
    <w:rsid w:val="00A5686C"/>
    <w:rsid w:val="00A57062"/>
    <w:rsid w:val="00A5748B"/>
    <w:rsid w:val="00A604A8"/>
    <w:rsid w:val="00A60B7C"/>
    <w:rsid w:val="00A60BE5"/>
    <w:rsid w:val="00A60C8D"/>
    <w:rsid w:val="00A63050"/>
    <w:rsid w:val="00A6401B"/>
    <w:rsid w:val="00A64642"/>
    <w:rsid w:val="00A6632E"/>
    <w:rsid w:val="00A66F1C"/>
    <w:rsid w:val="00A70F4D"/>
    <w:rsid w:val="00A71710"/>
    <w:rsid w:val="00A72EE1"/>
    <w:rsid w:val="00A734A9"/>
    <w:rsid w:val="00A741CE"/>
    <w:rsid w:val="00A74652"/>
    <w:rsid w:val="00A74924"/>
    <w:rsid w:val="00A7530C"/>
    <w:rsid w:val="00A7731A"/>
    <w:rsid w:val="00A77CF0"/>
    <w:rsid w:val="00A80C3E"/>
    <w:rsid w:val="00A82F7A"/>
    <w:rsid w:val="00A830FE"/>
    <w:rsid w:val="00A83C68"/>
    <w:rsid w:val="00A867E2"/>
    <w:rsid w:val="00A86B61"/>
    <w:rsid w:val="00A87220"/>
    <w:rsid w:val="00A87BD7"/>
    <w:rsid w:val="00A9054F"/>
    <w:rsid w:val="00A9154B"/>
    <w:rsid w:val="00A935FC"/>
    <w:rsid w:val="00A936EB"/>
    <w:rsid w:val="00A95C70"/>
    <w:rsid w:val="00AA063D"/>
    <w:rsid w:val="00AA145E"/>
    <w:rsid w:val="00AA1920"/>
    <w:rsid w:val="00AA33FA"/>
    <w:rsid w:val="00AA34A1"/>
    <w:rsid w:val="00AA75EA"/>
    <w:rsid w:val="00AB20C2"/>
    <w:rsid w:val="00AB2A30"/>
    <w:rsid w:val="00AB2F84"/>
    <w:rsid w:val="00AB3175"/>
    <w:rsid w:val="00AB36AA"/>
    <w:rsid w:val="00AB4483"/>
    <w:rsid w:val="00AB47FC"/>
    <w:rsid w:val="00AB4FB9"/>
    <w:rsid w:val="00AB5469"/>
    <w:rsid w:val="00AB5EF8"/>
    <w:rsid w:val="00AB6600"/>
    <w:rsid w:val="00AC0980"/>
    <w:rsid w:val="00AC0CF3"/>
    <w:rsid w:val="00AC0EDB"/>
    <w:rsid w:val="00AC1A00"/>
    <w:rsid w:val="00AC254C"/>
    <w:rsid w:val="00AC280B"/>
    <w:rsid w:val="00AC2C75"/>
    <w:rsid w:val="00AC3A2C"/>
    <w:rsid w:val="00AC4F79"/>
    <w:rsid w:val="00AC544F"/>
    <w:rsid w:val="00AC5CC9"/>
    <w:rsid w:val="00AC5E09"/>
    <w:rsid w:val="00AC5E4F"/>
    <w:rsid w:val="00AC6A64"/>
    <w:rsid w:val="00AD1421"/>
    <w:rsid w:val="00AD1459"/>
    <w:rsid w:val="00AD152D"/>
    <w:rsid w:val="00AD1B10"/>
    <w:rsid w:val="00AD1BCF"/>
    <w:rsid w:val="00AD257E"/>
    <w:rsid w:val="00AD3B70"/>
    <w:rsid w:val="00AD4ACF"/>
    <w:rsid w:val="00AD613C"/>
    <w:rsid w:val="00AD6994"/>
    <w:rsid w:val="00AD7461"/>
    <w:rsid w:val="00AD78F2"/>
    <w:rsid w:val="00AD7AF0"/>
    <w:rsid w:val="00AE178E"/>
    <w:rsid w:val="00AE1937"/>
    <w:rsid w:val="00AE28C8"/>
    <w:rsid w:val="00AE2A51"/>
    <w:rsid w:val="00AE3940"/>
    <w:rsid w:val="00AE5059"/>
    <w:rsid w:val="00AE5CF4"/>
    <w:rsid w:val="00AE5E78"/>
    <w:rsid w:val="00AE5F0D"/>
    <w:rsid w:val="00AE616C"/>
    <w:rsid w:val="00AE70F7"/>
    <w:rsid w:val="00AE74A3"/>
    <w:rsid w:val="00AE7F1E"/>
    <w:rsid w:val="00AF135E"/>
    <w:rsid w:val="00AF1F53"/>
    <w:rsid w:val="00AF28EA"/>
    <w:rsid w:val="00AF2D3E"/>
    <w:rsid w:val="00AF392D"/>
    <w:rsid w:val="00AF4E4E"/>
    <w:rsid w:val="00AF5908"/>
    <w:rsid w:val="00AF62CB"/>
    <w:rsid w:val="00AF729B"/>
    <w:rsid w:val="00AF78D8"/>
    <w:rsid w:val="00B01D92"/>
    <w:rsid w:val="00B01F0F"/>
    <w:rsid w:val="00B042D4"/>
    <w:rsid w:val="00B04546"/>
    <w:rsid w:val="00B05D58"/>
    <w:rsid w:val="00B070BD"/>
    <w:rsid w:val="00B0784A"/>
    <w:rsid w:val="00B107FB"/>
    <w:rsid w:val="00B10D83"/>
    <w:rsid w:val="00B12C09"/>
    <w:rsid w:val="00B13022"/>
    <w:rsid w:val="00B133D4"/>
    <w:rsid w:val="00B13A99"/>
    <w:rsid w:val="00B20617"/>
    <w:rsid w:val="00B20CCB"/>
    <w:rsid w:val="00B20F6B"/>
    <w:rsid w:val="00B2112B"/>
    <w:rsid w:val="00B21749"/>
    <w:rsid w:val="00B22C28"/>
    <w:rsid w:val="00B22D28"/>
    <w:rsid w:val="00B22E51"/>
    <w:rsid w:val="00B25DC1"/>
    <w:rsid w:val="00B26668"/>
    <w:rsid w:val="00B3035F"/>
    <w:rsid w:val="00B303AC"/>
    <w:rsid w:val="00B3104D"/>
    <w:rsid w:val="00B31D41"/>
    <w:rsid w:val="00B323BF"/>
    <w:rsid w:val="00B33596"/>
    <w:rsid w:val="00B33B13"/>
    <w:rsid w:val="00B33CE9"/>
    <w:rsid w:val="00B33E74"/>
    <w:rsid w:val="00B35003"/>
    <w:rsid w:val="00B35652"/>
    <w:rsid w:val="00B3616D"/>
    <w:rsid w:val="00B3669E"/>
    <w:rsid w:val="00B36864"/>
    <w:rsid w:val="00B3709D"/>
    <w:rsid w:val="00B401C0"/>
    <w:rsid w:val="00B40B5C"/>
    <w:rsid w:val="00B4164A"/>
    <w:rsid w:val="00B41B85"/>
    <w:rsid w:val="00B423D5"/>
    <w:rsid w:val="00B43C18"/>
    <w:rsid w:val="00B44532"/>
    <w:rsid w:val="00B4595F"/>
    <w:rsid w:val="00B468B2"/>
    <w:rsid w:val="00B471D5"/>
    <w:rsid w:val="00B51596"/>
    <w:rsid w:val="00B52A89"/>
    <w:rsid w:val="00B534FB"/>
    <w:rsid w:val="00B54588"/>
    <w:rsid w:val="00B54C8C"/>
    <w:rsid w:val="00B557C7"/>
    <w:rsid w:val="00B56617"/>
    <w:rsid w:val="00B57102"/>
    <w:rsid w:val="00B5730A"/>
    <w:rsid w:val="00B60911"/>
    <w:rsid w:val="00B611BA"/>
    <w:rsid w:val="00B6133D"/>
    <w:rsid w:val="00B625D1"/>
    <w:rsid w:val="00B62722"/>
    <w:rsid w:val="00B629CF"/>
    <w:rsid w:val="00B6412E"/>
    <w:rsid w:val="00B64318"/>
    <w:rsid w:val="00B64693"/>
    <w:rsid w:val="00B64F5F"/>
    <w:rsid w:val="00B6511E"/>
    <w:rsid w:val="00B65F5C"/>
    <w:rsid w:val="00B66523"/>
    <w:rsid w:val="00B666E5"/>
    <w:rsid w:val="00B673F0"/>
    <w:rsid w:val="00B67473"/>
    <w:rsid w:val="00B67A4A"/>
    <w:rsid w:val="00B70383"/>
    <w:rsid w:val="00B70554"/>
    <w:rsid w:val="00B70647"/>
    <w:rsid w:val="00B70AD7"/>
    <w:rsid w:val="00B70EB7"/>
    <w:rsid w:val="00B71195"/>
    <w:rsid w:val="00B7195A"/>
    <w:rsid w:val="00B71DCF"/>
    <w:rsid w:val="00B7201A"/>
    <w:rsid w:val="00B732C6"/>
    <w:rsid w:val="00B73365"/>
    <w:rsid w:val="00B757AF"/>
    <w:rsid w:val="00B75C8F"/>
    <w:rsid w:val="00B76442"/>
    <w:rsid w:val="00B76460"/>
    <w:rsid w:val="00B7718B"/>
    <w:rsid w:val="00B77DC9"/>
    <w:rsid w:val="00B77EF2"/>
    <w:rsid w:val="00B817A0"/>
    <w:rsid w:val="00B827A3"/>
    <w:rsid w:val="00B828E1"/>
    <w:rsid w:val="00B829AD"/>
    <w:rsid w:val="00B83680"/>
    <w:rsid w:val="00B85E64"/>
    <w:rsid w:val="00B86072"/>
    <w:rsid w:val="00B8748E"/>
    <w:rsid w:val="00B90201"/>
    <w:rsid w:val="00B90976"/>
    <w:rsid w:val="00B90DC0"/>
    <w:rsid w:val="00B90F49"/>
    <w:rsid w:val="00B9246D"/>
    <w:rsid w:val="00B92A52"/>
    <w:rsid w:val="00B93886"/>
    <w:rsid w:val="00B94E30"/>
    <w:rsid w:val="00B95C54"/>
    <w:rsid w:val="00B95D55"/>
    <w:rsid w:val="00B96050"/>
    <w:rsid w:val="00B968A0"/>
    <w:rsid w:val="00B96976"/>
    <w:rsid w:val="00B97060"/>
    <w:rsid w:val="00B974E1"/>
    <w:rsid w:val="00B97DAF"/>
    <w:rsid w:val="00B97E8C"/>
    <w:rsid w:val="00BA0EF3"/>
    <w:rsid w:val="00BA226D"/>
    <w:rsid w:val="00BA236F"/>
    <w:rsid w:val="00BA45D6"/>
    <w:rsid w:val="00BA7CC4"/>
    <w:rsid w:val="00BB0838"/>
    <w:rsid w:val="00BB2CB2"/>
    <w:rsid w:val="00BB34AF"/>
    <w:rsid w:val="00BB3F50"/>
    <w:rsid w:val="00BB417A"/>
    <w:rsid w:val="00BB475D"/>
    <w:rsid w:val="00BB51DA"/>
    <w:rsid w:val="00BB555A"/>
    <w:rsid w:val="00BB5CF4"/>
    <w:rsid w:val="00BB65F7"/>
    <w:rsid w:val="00BB6A73"/>
    <w:rsid w:val="00BC09BE"/>
    <w:rsid w:val="00BC09FE"/>
    <w:rsid w:val="00BC389C"/>
    <w:rsid w:val="00BC3DD6"/>
    <w:rsid w:val="00BC4864"/>
    <w:rsid w:val="00BD121D"/>
    <w:rsid w:val="00BD2232"/>
    <w:rsid w:val="00BD3396"/>
    <w:rsid w:val="00BD3486"/>
    <w:rsid w:val="00BD5032"/>
    <w:rsid w:val="00BD5288"/>
    <w:rsid w:val="00BE3D26"/>
    <w:rsid w:val="00BE4AC3"/>
    <w:rsid w:val="00BE53BC"/>
    <w:rsid w:val="00BE6A48"/>
    <w:rsid w:val="00BF00E8"/>
    <w:rsid w:val="00BF1012"/>
    <w:rsid w:val="00BF23FF"/>
    <w:rsid w:val="00BF3340"/>
    <w:rsid w:val="00BF3708"/>
    <w:rsid w:val="00BF4973"/>
    <w:rsid w:val="00BF4EE1"/>
    <w:rsid w:val="00BF6224"/>
    <w:rsid w:val="00BF7DF0"/>
    <w:rsid w:val="00C0055D"/>
    <w:rsid w:val="00C00882"/>
    <w:rsid w:val="00C00E60"/>
    <w:rsid w:val="00C02F64"/>
    <w:rsid w:val="00C03D02"/>
    <w:rsid w:val="00C045E6"/>
    <w:rsid w:val="00C0612A"/>
    <w:rsid w:val="00C068D1"/>
    <w:rsid w:val="00C07769"/>
    <w:rsid w:val="00C1033F"/>
    <w:rsid w:val="00C10665"/>
    <w:rsid w:val="00C12F9F"/>
    <w:rsid w:val="00C14165"/>
    <w:rsid w:val="00C15027"/>
    <w:rsid w:val="00C16434"/>
    <w:rsid w:val="00C22D4C"/>
    <w:rsid w:val="00C24513"/>
    <w:rsid w:val="00C262E7"/>
    <w:rsid w:val="00C2650A"/>
    <w:rsid w:val="00C27252"/>
    <w:rsid w:val="00C27575"/>
    <w:rsid w:val="00C27D14"/>
    <w:rsid w:val="00C27D26"/>
    <w:rsid w:val="00C27E6F"/>
    <w:rsid w:val="00C307F5"/>
    <w:rsid w:val="00C31790"/>
    <w:rsid w:val="00C31AF0"/>
    <w:rsid w:val="00C347F9"/>
    <w:rsid w:val="00C35E9D"/>
    <w:rsid w:val="00C36BB4"/>
    <w:rsid w:val="00C36EAE"/>
    <w:rsid w:val="00C36F23"/>
    <w:rsid w:val="00C40014"/>
    <w:rsid w:val="00C40041"/>
    <w:rsid w:val="00C40A0E"/>
    <w:rsid w:val="00C4226A"/>
    <w:rsid w:val="00C42395"/>
    <w:rsid w:val="00C423D8"/>
    <w:rsid w:val="00C426A4"/>
    <w:rsid w:val="00C42E66"/>
    <w:rsid w:val="00C43650"/>
    <w:rsid w:val="00C43C51"/>
    <w:rsid w:val="00C4494D"/>
    <w:rsid w:val="00C44A54"/>
    <w:rsid w:val="00C44B52"/>
    <w:rsid w:val="00C456A9"/>
    <w:rsid w:val="00C45739"/>
    <w:rsid w:val="00C46009"/>
    <w:rsid w:val="00C4637D"/>
    <w:rsid w:val="00C469BB"/>
    <w:rsid w:val="00C46FB2"/>
    <w:rsid w:val="00C500A4"/>
    <w:rsid w:val="00C5112A"/>
    <w:rsid w:val="00C519B1"/>
    <w:rsid w:val="00C52051"/>
    <w:rsid w:val="00C5286B"/>
    <w:rsid w:val="00C53940"/>
    <w:rsid w:val="00C54DD2"/>
    <w:rsid w:val="00C57481"/>
    <w:rsid w:val="00C61182"/>
    <w:rsid w:val="00C61885"/>
    <w:rsid w:val="00C62F6B"/>
    <w:rsid w:val="00C63208"/>
    <w:rsid w:val="00C654E7"/>
    <w:rsid w:val="00C6627E"/>
    <w:rsid w:val="00C67F49"/>
    <w:rsid w:val="00C71A66"/>
    <w:rsid w:val="00C7592F"/>
    <w:rsid w:val="00C75FF4"/>
    <w:rsid w:val="00C76383"/>
    <w:rsid w:val="00C77865"/>
    <w:rsid w:val="00C8041C"/>
    <w:rsid w:val="00C80F64"/>
    <w:rsid w:val="00C81181"/>
    <w:rsid w:val="00C81B13"/>
    <w:rsid w:val="00C8203A"/>
    <w:rsid w:val="00C827EF"/>
    <w:rsid w:val="00C83E43"/>
    <w:rsid w:val="00C8521E"/>
    <w:rsid w:val="00C85473"/>
    <w:rsid w:val="00C85DD8"/>
    <w:rsid w:val="00C862B5"/>
    <w:rsid w:val="00C864CE"/>
    <w:rsid w:val="00C90347"/>
    <w:rsid w:val="00C90732"/>
    <w:rsid w:val="00C90B31"/>
    <w:rsid w:val="00C91E5F"/>
    <w:rsid w:val="00C91FD9"/>
    <w:rsid w:val="00C954AA"/>
    <w:rsid w:val="00C95634"/>
    <w:rsid w:val="00C9611D"/>
    <w:rsid w:val="00C9681A"/>
    <w:rsid w:val="00C96938"/>
    <w:rsid w:val="00C96DFF"/>
    <w:rsid w:val="00C9705E"/>
    <w:rsid w:val="00CA00ED"/>
    <w:rsid w:val="00CA1EB9"/>
    <w:rsid w:val="00CA23D5"/>
    <w:rsid w:val="00CA27D3"/>
    <w:rsid w:val="00CA37F7"/>
    <w:rsid w:val="00CB11F6"/>
    <w:rsid w:val="00CB2176"/>
    <w:rsid w:val="00CB26E5"/>
    <w:rsid w:val="00CB3FCE"/>
    <w:rsid w:val="00CB65FF"/>
    <w:rsid w:val="00CB73CD"/>
    <w:rsid w:val="00CB78B3"/>
    <w:rsid w:val="00CC2312"/>
    <w:rsid w:val="00CC291F"/>
    <w:rsid w:val="00CC2CF3"/>
    <w:rsid w:val="00CC4C58"/>
    <w:rsid w:val="00CC639B"/>
    <w:rsid w:val="00CC6413"/>
    <w:rsid w:val="00CC7F18"/>
    <w:rsid w:val="00CD334E"/>
    <w:rsid w:val="00CD4EC2"/>
    <w:rsid w:val="00CD58FA"/>
    <w:rsid w:val="00CD6099"/>
    <w:rsid w:val="00CD6847"/>
    <w:rsid w:val="00CD72BB"/>
    <w:rsid w:val="00CD7B82"/>
    <w:rsid w:val="00CD7E4F"/>
    <w:rsid w:val="00CE020B"/>
    <w:rsid w:val="00CE1455"/>
    <w:rsid w:val="00CE1844"/>
    <w:rsid w:val="00CE2250"/>
    <w:rsid w:val="00CE3E9B"/>
    <w:rsid w:val="00CE5991"/>
    <w:rsid w:val="00CE6E07"/>
    <w:rsid w:val="00CE700D"/>
    <w:rsid w:val="00CE762E"/>
    <w:rsid w:val="00CF0517"/>
    <w:rsid w:val="00CF0E06"/>
    <w:rsid w:val="00CF116E"/>
    <w:rsid w:val="00CF159D"/>
    <w:rsid w:val="00CF1EF3"/>
    <w:rsid w:val="00CF262C"/>
    <w:rsid w:val="00CF3BCB"/>
    <w:rsid w:val="00CF4602"/>
    <w:rsid w:val="00CF4799"/>
    <w:rsid w:val="00CF49A5"/>
    <w:rsid w:val="00CF4F7A"/>
    <w:rsid w:val="00CF57A2"/>
    <w:rsid w:val="00CF6B64"/>
    <w:rsid w:val="00CF7BD6"/>
    <w:rsid w:val="00D01DA7"/>
    <w:rsid w:val="00D035B8"/>
    <w:rsid w:val="00D055CC"/>
    <w:rsid w:val="00D05B7C"/>
    <w:rsid w:val="00D06194"/>
    <w:rsid w:val="00D071F0"/>
    <w:rsid w:val="00D072C4"/>
    <w:rsid w:val="00D077DC"/>
    <w:rsid w:val="00D07C1E"/>
    <w:rsid w:val="00D11CC9"/>
    <w:rsid w:val="00D122EC"/>
    <w:rsid w:val="00D12A53"/>
    <w:rsid w:val="00D13F83"/>
    <w:rsid w:val="00D13F89"/>
    <w:rsid w:val="00D147CF"/>
    <w:rsid w:val="00D16165"/>
    <w:rsid w:val="00D16B7D"/>
    <w:rsid w:val="00D17016"/>
    <w:rsid w:val="00D17CD4"/>
    <w:rsid w:val="00D217B8"/>
    <w:rsid w:val="00D22150"/>
    <w:rsid w:val="00D23652"/>
    <w:rsid w:val="00D2615D"/>
    <w:rsid w:val="00D26C41"/>
    <w:rsid w:val="00D31254"/>
    <w:rsid w:val="00D3212A"/>
    <w:rsid w:val="00D32872"/>
    <w:rsid w:val="00D33186"/>
    <w:rsid w:val="00D33718"/>
    <w:rsid w:val="00D34C65"/>
    <w:rsid w:val="00D3551D"/>
    <w:rsid w:val="00D35689"/>
    <w:rsid w:val="00D35B45"/>
    <w:rsid w:val="00D36236"/>
    <w:rsid w:val="00D3741E"/>
    <w:rsid w:val="00D40722"/>
    <w:rsid w:val="00D4087C"/>
    <w:rsid w:val="00D41984"/>
    <w:rsid w:val="00D42CD1"/>
    <w:rsid w:val="00D4374A"/>
    <w:rsid w:val="00D43B3B"/>
    <w:rsid w:val="00D4400C"/>
    <w:rsid w:val="00D45414"/>
    <w:rsid w:val="00D46EAE"/>
    <w:rsid w:val="00D46FD7"/>
    <w:rsid w:val="00D473A5"/>
    <w:rsid w:val="00D474CD"/>
    <w:rsid w:val="00D47991"/>
    <w:rsid w:val="00D511A5"/>
    <w:rsid w:val="00D51651"/>
    <w:rsid w:val="00D532F9"/>
    <w:rsid w:val="00D53BD6"/>
    <w:rsid w:val="00D5426C"/>
    <w:rsid w:val="00D554C6"/>
    <w:rsid w:val="00D55711"/>
    <w:rsid w:val="00D55950"/>
    <w:rsid w:val="00D56E36"/>
    <w:rsid w:val="00D60AA1"/>
    <w:rsid w:val="00D60CD6"/>
    <w:rsid w:val="00D61C54"/>
    <w:rsid w:val="00D62EFF"/>
    <w:rsid w:val="00D63974"/>
    <w:rsid w:val="00D63CA4"/>
    <w:rsid w:val="00D64094"/>
    <w:rsid w:val="00D64C29"/>
    <w:rsid w:val="00D64F0F"/>
    <w:rsid w:val="00D65A22"/>
    <w:rsid w:val="00D6610B"/>
    <w:rsid w:val="00D666DD"/>
    <w:rsid w:val="00D671D1"/>
    <w:rsid w:val="00D6787F"/>
    <w:rsid w:val="00D67BBA"/>
    <w:rsid w:val="00D700B4"/>
    <w:rsid w:val="00D700FA"/>
    <w:rsid w:val="00D70A37"/>
    <w:rsid w:val="00D71A23"/>
    <w:rsid w:val="00D72B59"/>
    <w:rsid w:val="00D738DE"/>
    <w:rsid w:val="00D738F8"/>
    <w:rsid w:val="00D74274"/>
    <w:rsid w:val="00D74463"/>
    <w:rsid w:val="00D75D9C"/>
    <w:rsid w:val="00D769EC"/>
    <w:rsid w:val="00D76CB5"/>
    <w:rsid w:val="00D774F1"/>
    <w:rsid w:val="00D777B2"/>
    <w:rsid w:val="00D779D6"/>
    <w:rsid w:val="00D815DB"/>
    <w:rsid w:val="00D821A0"/>
    <w:rsid w:val="00D82370"/>
    <w:rsid w:val="00D824EA"/>
    <w:rsid w:val="00D82A8E"/>
    <w:rsid w:val="00D85443"/>
    <w:rsid w:val="00D85768"/>
    <w:rsid w:val="00D90557"/>
    <w:rsid w:val="00D91ADC"/>
    <w:rsid w:val="00D93540"/>
    <w:rsid w:val="00D936B0"/>
    <w:rsid w:val="00D9404B"/>
    <w:rsid w:val="00D960E8"/>
    <w:rsid w:val="00DA0633"/>
    <w:rsid w:val="00DA0ADC"/>
    <w:rsid w:val="00DA0D5A"/>
    <w:rsid w:val="00DA17B3"/>
    <w:rsid w:val="00DA1936"/>
    <w:rsid w:val="00DA1FD9"/>
    <w:rsid w:val="00DA272F"/>
    <w:rsid w:val="00DA3798"/>
    <w:rsid w:val="00DA445F"/>
    <w:rsid w:val="00DA6B17"/>
    <w:rsid w:val="00DA6D2C"/>
    <w:rsid w:val="00DB0E9A"/>
    <w:rsid w:val="00DB129B"/>
    <w:rsid w:val="00DB12FA"/>
    <w:rsid w:val="00DB3296"/>
    <w:rsid w:val="00DB49D9"/>
    <w:rsid w:val="00DB4A2A"/>
    <w:rsid w:val="00DB5D7A"/>
    <w:rsid w:val="00DB5EA5"/>
    <w:rsid w:val="00DB5F5B"/>
    <w:rsid w:val="00DC0E6B"/>
    <w:rsid w:val="00DC104C"/>
    <w:rsid w:val="00DC1686"/>
    <w:rsid w:val="00DC20D9"/>
    <w:rsid w:val="00DC3E52"/>
    <w:rsid w:val="00DC4F8D"/>
    <w:rsid w:val="00DC522B"/>
    <w:rsid w:val="00DC5CC7"/>
    <w:rsid w:val="00DC6F5C"/>
    <w:rsid w:val="00DC719F"/>
    <w:rsid w:val="00DC7E73"/>
    <w:rsid w:val="00DD067B"/>
    <w:rsid w:val="00DD1B42"/>
    <w:rsid w:val="00DD29D6"/>
    <w:rsid w:val="00DD2CC9"/>
    <w:rsid w:val="00DD32BE"/>
    <w:rsid w:val="00DD3EFB"/>
    <w:rsid w:val="00DD4595"/>
    <w:rsid w:val="00DD5B0E"/>
    <w:rsid w:val="00DD68C9"/>
    <w:rsid w:val="00DD6ED3"/>
    <w:rsid w:val="00DD7911"/>
    <w:rsid w:val="00DE2FA7"/>
    <w:rsid w:val="00DE3654"/>
    <w:rsid w:val="00DE5A7A"/>
    <w:rsid w:val="00DE622C"/>
    <w:rsid w:val="00DE7BAC"/>
    <w:rsid w:val="00DE7D26"/>
    <w:rsid w:val="00DF0BE6"/>
    <w:rsid w:val="00DF0F64"/>
    <w:rsid w:val="00DF0FA9"/>
    <w:rsid w:val="00DF1FCB"/>
    <w:rsid w:val="00DF3055"/>
    <w:rsid w:val="00DF3423"/>
    <w:rsid w:val="00DF3F76"/>
    <w:rsid w:val="00DF4FE5"/>
    <w:rsid w:val="00DF500E"/>
    <w:rsid w:val="00DF5BF1"/>
    <w:rsid w:val="00DF5E8D"/>
    <w:rsid w:val="00DF7137"/>
    <w:rsid w:val="00DF71A5"/>
    <w:rsid w:val="00E0040B"/>
    <w:rsid w:val="00E0070A"/>
    <w:rsid w:val="00E00A21"/>
    <w:rsid w:val="00E0411C"/>
    <w:rsid w:val="00E04710"/>
    <w:rsid w:val="00E049BD"/>
    <w:rsid w:val="00E05042"/>
    <w:rsid w:val="00E053BF"/>
    <w:rsid w:val="00E07778"/>
    <w:rsid w:val="00E07AAE"/>
    <w:rsid w:val="00E1002D"/>
    <w:rsid w:val="00E1022D"/>
    <w:rsid w:val="00E10B29"/>
    <w:rsid w:val="00E10F05"/>
    <w:rsid w:val="00E112CC"/>
    <w:rsid w:val="00E13ADB"/>
    <w:rsid w:val="00E15DF7"/>
    <w:rsid w:val="00E170E4"/>
    <w:rsid w:val="00E17DCB"/>
    <w:rsid w:val="00E22E14"/>
    <w:rsid w:val="00E24401"/>
    <w:rsid w:val="00E249AD"/>
    <w:rsid w:val="00E24A92"/>
    <w:rsid w:val="00E24C3F"/>
    <w:rsid w:val="00E25490"/>
    <w:rsid w:val="00E2550A"/>
    <w:rsid w:val="00E30CA3"/>
    <w:rsid w:val="00E30E79"/>
    <w:rsid w:val="00E31255"/>
    <w:rsid w:val="00E331C9"/>
    <w:rsid w:val="00E33B32"/>
    <w:rsid w:val="00E33BE5"/>
    <w:rsid w:val="00E3442B"/>
    <w:rsid w:val="00E35DA4"/>
    <w:rsid w:val="00E36923"/>
    <w:rsid w:val="00E371E9"/>
    <w:rsid w:val="00E37619"/>
    <w:rsid w:val="00E37F02"/>
    <w:rsid w:val="00E4088A"/>
    <w:rsid w:val="00E41B17"/>
    <w:rsid w:val="00E45070"/>
    <w:rsid w:val="00E45412"/>
    <w:rsid w:val="00E46324"/>
    <w:rsid w:val="00E47D07"/>
    <w:rsid w:val="00E50E8B"/>
    <w:rsid w:val="00E51B81"/>
    <w:rsid w:val="00E5253A"/>
    <w:rsid w:val="00E529AD"/>
    <w:rsid w:val="00E52BA3"/>
    <w:rsid w:val="00E52CA4"/>
    <w:rsid w:val="00E52E35"/>
    <w:rsid w:val="00E5432D"/>
    <w:rsid w:val="00E558F3"/>
    <w:rsid w:val="00E561A1"/>
    <w:rsid w:val="00E562DF"/>
    <w:rsid w:val="00E56848"/>
    <w:rsid w:val="00E56CB9"/>
    <w:rsid w:val="00E57319"/>
    <w:rsid w:val="00E608CD"/>
    <w:rsid w:val="00E63638"/>
    <w:rsid w:val="00E63B05"/>
    <w:rsid w:val="00E63C43"/>
    <w:rsid w:val="00E65E4C"/>
    <w:rsid w:val="00E665A0"/>
    <w:rsid w:val="00E6715B"/>
    <w:rsid w:val="00E70674"/>
    <w:rsid w:val="00E71999"/>
    <w:rsid w:val="00E72628"/>
    <w:rsid w:val="00E7281E"/>
    <w:rsid w:val="00E72C2D"/>
    <w:rsid w:val="00E73196"/>
    <w:rsid w:val="00E7395A"/>
    <w:rsid w:val="00E743E5"/>
    <w:rsid w:val="00E74AD8"/>
    <w:rsid w:val="00E75476"/>
    <w:rsid w:val="00E76054"/>
    <w:rsid w:val="00E7636D"/>
    <w:rsid w:val="00E766C5"/>
    <w:rsid w:val="00E773E4"/>
    <w:rsid w:val="00E779CA"/>
    <w:rsid w:val="00E77CAF"/>
    <w:rsid w:val="00E80981"/>
    <w:rsid w:val="00E80A4D"/>
    <w:rsid w:val="00E80E15"/>
    <w:rsid w:val="00E810EA"/>
    <w:rsid w:val="00E8119F"/>
    <w:rsid w:val="00E81405"/>
    <w:rsid w:val="00E81881"/>
    <w:rsid w:val="00E82308"/>
    <w:rsid w:val="00E8240A"/>
    <w:rsid w:val="00E828B7"/>
    <w:rsid w:val="00E843C1"/>
    <w:rsid w:val="00E84599"/>
    <w:rsid w:val="00E84A0C"/>
    <w:rsid w:val="00E85FA6"/>
    <w:rsid w:val="00E864A9"/>
    <w:rsid w:val="00E90395"/>
    <w:rsid w:val="00E908AA"/>
    <w:rsid w:val="00E911E1"/>
    <w:rsid w:val="00E924C2"/>
    <w:rsid w:val="00E92FAD"/>
    <w:rsid w:val="00E93521"/>
    <w:rsid w:val="00E93E21"/>
    <w:rsid w:val="00E93EF3"/>
    <w:rsid w:val="00E95A58"/>
    <w:rsid w:val="00E96E55"/>
    <w:rsid w:val="00E970D4"/>
    <w:rsid w:val="00E975BF"/>
    <w:rsid w:val="00EA007F"/>
    <w:rsid w:val="00EA01A7"/>
    <w:rsid w:val="00EA0E65"/>
    <w:rsid w:val="00EA1C0A"/>
    <w:rsid w:val="00EA39E9"/>
    <w:rsid w:val="00EA3CB7"/>
    <w:rsid w:val="00EA439E"/>
    <w:rsid w:val="00EA5577"/>
    <w:rsid w:val="00EA6045"/>
    <w:rsid w:val="00EA7E20"/>
    <w:rsid w:val="00EB0920"/>
    <w:rsid w:val="00EB2A1B"/>
    <w:rsid w:val="00EB42D7"/>
    <w:rsid w:val="00EB48D2"/>
    <w:rsid w:val="00EB4C64"/>
    <w:rsid w:val="00EB4CFB"/>
    <w:rsid w:val="00EB5EDA"/>
    <w:rsid w:val="00EB5F87"/>
    <w:rsid w:val="00EB64CC"/>
    <w:rsid w:val="00EB7483"/>
    <w:rsid w:val="00EC0D6F"/>
    <w:rsid w:val="00EC1709"/>
    <w:rsid w:val="00EC2DCF"/>
    <w:rsid w:val="00EC2FF2"/>
    <w:rsid w:val="00EC33AE"/>
    <w:rsid w:val="00EC380E"/>
    <w:rsid w:val="00EC461F"/>
    <w:rsid w:val="00EC4DBB"/>
    <w:rsid w:val="00EC5327"/>
    <w:rsid w:val="00EC5517"/>
    <w:rsid w:val="00EC5BE3"/>
    <w:rsid w:val="00EC5E30"/>
    <w:rsid w:val="00ED126F"/>
    <w:rsid w:val="00ED2FC3"/>
    <w:rsid w:val="00ED39CA"/>
    <w:rsid w:val="00ED3AF0"/>
    <w:rsid w:val="00ED53C1"/>
    <w:rsid w:val="00ED5C69"/>
    <w:rsid w:val="00ED7F1C"/>
    <w:rsid w:val="00EE01AC"/>
    <w:rsid w:val="00EE059E"/>
    <w:rsid w:val="00EE12C6"/>
    <w:rsid w:val="00EE1631"/>
    <w:rsid w:val="00EE1A3C"/>
    <w:rsid w:val="00EE2C4B"/>
    <w:rsid w:val="00EE2FFE"/>
    <w:rsid w:val="00EE3847"/>
    <w:rsid w:val="00EE4892"/>
    <w:rsid w:val="00EE569D"/>
    <w:rsid w:val="00EE6985"/>
    <w:rsid w:val="00EF2D28"/>
    <w:rsid w:val="00EF334B"/>
    <w:rsid w:val="00EF3CBA"/>
    <w:rsid w:val="00EF4292"/>
    <w:rsid w:val="00EF5090"/>
    <w:rsid w:val="00EF54E5"/>
    <w:rsid w:val="00EF58F5"/>
    <w:rsid w:val="00EF5CC6"/>
    <w:rsid w:val="00EF6978"/>
    <w:rsid w:val="00EF7547"/>
    <w:rsid w:val="00EF786E"/>
    <w:rsid w:val="00EF7C10"/>
    <w:rsid w:val="00F015B8"/>
    <w:rsid w:val="00F0215B"/>
    <w:rsid w:val="00F03403"/>
    <w:rsid w:val="00F05233"/>
    <w:rsid w:val="00F059E6"/>
    <w:rsid w:val="00F05F58"/>
    <w:rsid w:val="00F07EF0"/>
    <w:rsid w:val="00F10483"/>
    <w:rsid w:val="00F11072"/>
    <w:rsid w:val="00F11198"/>
    <w:rsid w:val="00F11634"/>
    <w:rsid w:val="00F1199F"/>
    <w:rsid w:val="00F125D6"/>
    <w:rsid w:val="00F12FED"/>
    <w:rsid w:val="00F1405B"/>
    <w:rsid w:val="00F1484C"/>
    <w:rsid w:val="00F154FC"/>
    <w:rsid w:val="00F20592"/>
    <w:rsid w:val="00F207A0"/>
    <w:rsid w:val="00F20A02"/>
    <w:rsid w:val="00F230E2"/>
    <w:rsid w:val="00F233F5"/>
    <w:rsid w:val="00F2361B"/>
    <w:rsid w:val="00F2428A"/>
    <w:rsid w:val="00F25421"/>
    <w:rsid w:val="00F26783"/>
    <w:rsid w:val="00F27C71"/>
    <w:rsid w:val="00F3022A"/>
    <w:rsid w:val="00F31483"/>
    <w:rsid w:val="00F31485"/>
    <w:rsid w:val="00F31AE0"/>
    <w:rsid w:val="00F322F9"/>
    <w:rsid w:val="00F3232D"/>
    <w:rsid w:val="00F3292D"/>
    <w:rsid w:val="00F3350F"/>
    <w:rsid w:val="00F337F2"/>
    <w:rsid w:val="00F34411"/>
    <w:rsid w:val="00F344A1"/>
    <w:rsid w:val="00F3460F"/>
    <w:rsid w:val="00F364F0"/>
    <w:rsid w:val="00F36625"/>
    <w:rsid w:val="00F36A5C"/>
    <w:rsid w:val="00F37328"/>
    <w:rsid w:val="00F40071"/>
    <w:rsid w:val="00F44282"/>
    <w:rsid w:val="00F4555B"/>
    <w:rsid w:val="00F45A36"/>
    <w:rsid w:val="00F502CB"/>
    <w:rsid w:val="00F5219B"/>
    <w:rsid w:val="00F535F8"/>
    <w:rsid w:val="00F53C38"/>
    <w:rsid w:val="00F54E2A"/>
    <w:rsid w:val="00F56C3C"/>
    <w:rsid w:val="00F57E8B"/>
    <w:rsid w:val="00F600EF"/>
    <w:rsid w:val="00F6166E"/>
    <w:rsid w:val="00F62AD0"/>
    <w:rsid w:val="00F63031"/>
    <w:rsid w:val="00F6438F"/>
    <w:rsid w:val="00F6472F"/>
    <w:rsid w:val="00F65957"/>
    <w:rsid w:val="00F6636F"/>
    <w:rsid w:val="00F66702"/>
    <w:rsid w:val="00F6687D"/>
    <w:rsid w:val="00F66E58"/>
    <w:rsid w:val="00F673CF"/>
    <w:rsid w:val="00F71423"/>
    <w:rsid w:val="00F720AA"/>
    <w:rsid w:val="00F731EB"/>
    <w:rsid w:val="00F74506"/>
    <w:rsid w:val="00F74D12"/>
    <w:rsid w:val="00F76770"/>
    <w:rsid w:val="00F80105"/>
    <w:rsid w:val="00F80A91"/>
    <w:rsid w:val="00F80DA1"/>
    <w:rsid w:val="00F80DE0"/>
    <w:rsid w:val="00F822D8"/>
    <w:rsid w:val="00F82355"/>
    <w:rsid w:val="00F824CA"/>
    <w:rsid w:val="00F82672"/>
    <w:rsid w:val="00F827E0"/>
    <w:rsid w:val="00F83637"/>
    <w:rsid w:val="00F839C3"/>
    <w:rsid w:val="00F8424C"/>
    <w:rsid w:val="00F84C01"/>
    <w:rsid w:val="00F8792D"/>
    <w:rsid w:val="00F9064F"/>
    <w:rsid w:val="00F9075C"/>
    <w:rsid w:val="00F90DB0"/>
    <w:rsid w:val="00F9164E"/>
    <w:rsid w:val="00F921C1"/>
    <w:rsid w:val="00F93C4B"/>
    <w:rsid w:val="00F971E4"/>
    <w:rsid w:val="00F972BF"/>
    <w:rsid w:val="00F97D12"/>
    <w:rsid w:val="00FA049A"/>
    <w:rsid w:val="00FA1221"/>
    <w:rsid w:val="00FA13EB"/>
    <w:rsid w:val="00FA2812"/>
    <w:rsid w:val="00FA286C"/>
    <w:rsid w:val="00FA2C5C"/>
    <w:rsid w:val="00FA3200"/>
    <w:rsid w:val="00FA3ECE"/>
    <w:rsid w:val="00FA41F8"/>
    <w:rsid w:val="00FA5F02"/>
    <w:rsid w:val="00FA6421"/>
    <w:rsid w:val="00FA6A0D"/>
    <w:rsid w:val="00FA6C93"/>
    <w:rsid w:val="00FA7033"/>
    <w:rsid w:val="00FA7179"/>
    <w:rsid w:val="00FB0348"/>
    <w:rsid w:val="00FB0EE9"/>
    <w:rsid w:val="00FB17D0"/>
    <w:rsid w:val="00FB22BE"/>
    <w:rsid w:val="00FB234B"/>
    <w:rsid w:val="00FB37E9"/>
    <w:rsid w:val="00FB4BC0"/>
    <w:rsid w:val="00FB7AEB"/>
    <w:rsid w:val="00FC00A4"/>
    <w:rsid w:val="00FC17A4"/>
    <w:rsid w:val="00FC27C4"/>
    <w:rsid w:val="00FC3653"/>
    <w:rsid w:val="00FC3AB7"/>
    <w:rsid w:val="00FC3E61"/>
    <w:rsid w:val="00FC4C76"/>
    <w:rsid w:val="00FC5446"/>
    <w:rsid w:val="00FC57E1"/>
    <w:rsid w:val="00FC74F9"/>
    <w:rsid w:val="00FC796A"/>
    <w:rsid w:val="00FD1194"/>
    <w:rsid w:val="00FD2078"/>
    <w:rsid w:val="00FD238E"/>
    <w:rsid w:val="00FD2407"/>
    <w:rsid w:val="00FD4A2D"/>
    <w:rsid w:val="00FD58CE"/>
    <w:rsid w:val="00FD5AC6"/>
    <w:rsid w:val="00FD5DDB"/>
    <w:rsid w:val="00FD691A"/>
    <w:rsid w:val="00FE04C4"/>
    <w:rsid w:val="00FE064B"/>
    <w:rsid w:val="00FE0C52"/>
    <w:rsid w:val="00FE1614"/>
    <w:rsid w:val="00FE1AE3"/>
    <w:rsid w:val="00FE22E8"/>
    <w:rsid w:val="00FE233C"/>
    <w:rsid w:val="00FE3341"/>
    <w:rsid w:val="00FE38B1"/>
    <w:rsid w:val="00FE45B3"/>
    <w:rsid w:val="00FE68F8"/>
    <w:rsid w:val="00FF07EE"/>
    <w:rsid w:val="00FF1D11"/>
    <w:rsid w:val="00FF3C6F"/>
    <w:rsid w:val="00FF4441"/>
    <w:rsid w:val="00FF7E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A6045"/>
    <w:pPr>
      <w:spacing w:after="120" w:line="280" w:lineRule="exact"/>
      <w:ind w:left="720"/>
    </w:pPr>
    <w:rPr>
      <w:sz w:val="22"/>
    </w:rPr>
  </w:style>
  <w:style w:type="paragraph" w:styleId="Heading1">
    <w:name w:val="heading 1"/>
    <w:basedOn w:val="Normal"/>
    <w:next w:val="Normal"/>
    <w:link w:val="Heading1Char"/>
    <w:qFormat/>
    <w:rsid w:val="005D1229"/>
    <w:pPr>
      <w:keepNext/>
      <w:numPr>
        <w:numId w:val="6"/>
      </w:numPr>
      <w:spacing w:before="320" w:after="240"/>
      <w:outlineLvl w:val="0"/>
    </w:pPr>
    <w:rPr>
      <w:rFonts w:cs="Arial"/>
      <w:b/>
      <w:bCs/>
      <w:kern w:val="32"/>
      <w:sz w:val="28"/>
      <w:szCs w:val="32"/>
    </w:rPr>
  </w:style>
  <w:style w:type="paragraph" w:styleId="Heading2">
    <w:name w:val="heading 2"/>
    <w:basedOn w:val="Normal"/>
    <w:next w:val="Normal"/>
    <w:link w:val="Heading2Char"/>
    <w:qFormat/>
    <w:rsid w:val="001349CB"/>
    <w:pPr>
      <w:keepNext/>
      <w:numPr>
        <w:ilvl w:val="1"/>
        <w:numId w:val="6"/>
      </w:numPr>
      <w:spacing w:before="160" w:after="160"/>
      <w:outlineLvl w:val="1"/>
    </w:pPr>
    <w:rPr>
      <w:rFonts w:ascii="Arial" w:hAnsi="Arial" w:cs="Arial"/>
      <w:b/>
      <w:bCs/>
      <w:iCs/>
      <w:szCs w:val="28"/>
    </w:rPr>
  </w:style>
  <w:style w:type="paragraph" w:styleId="Heading3">
    <w:name w:val="heading 3"/>
    <w:basedOn w:val="Normal"/>
    <w:next w:val="Normal"/>
    <w:qFormat/>
    <w:rsid w:val="001349CB"/>
    <w:pPr>
      <w:keepNext/>
      <w:numPr>
        <w:ilvl w:val="2"/>
        <w:numId w:val="6"/>
      </w:numPr>
      <w:spacing w:before="160" w:after="160"/>
      <w:outlineLvl w:val="2"/>
    </w:pPr>
    <w:rPr>
      <w:rFonts w:ascii="Arial" w:hAnsi="Arial"/>
      <w:b/>
      <w:bCs/>
      <w:sz w:val="20"/>
      <w:szCs w:val="22"/>
    </w:rPr>
  </w:style>
  <w:style w:type="paragraph" w:styleId="Heading4">
    <w:name w:val="heading 4"/>
    <w:basedOn w:val="Heading3"/>
    <w:next w:val="Normal"/>
    <w:qFormat/>
    <w:rsid w:val="001349CB"/>
    <w:pPr>
      <w:numPr>
        <w:ilvl w:val="3"/>
      </w:numPr>
      <w:spacing w:after="60" w:line="260" w:lineRule="exact"/>
      <w:outlineLvl w:val="3"/>
    </w:pPr>
    <w:rPr>
      <w:bCs w:val="0"/>
      <w:sz w:val="18"/>
      <w:szCs w:val="21"/>
    </w:rPr>
  </w:style>
  <w:style w:type="paragraph" w:styleId="Heading5">
    <w:name w:val="heading 5"/>
    <w:basedOn w:val="Normal"/>
    <w:next w:val="Normal"/>
    <w:qFormat/>
    <w:rsid w:val="004E6DF5"/>
    <w:pPr>
      <w:numPr>
        <w:ilvl w:val="4"/>
        <w:numId w:val="3"/>
      </w:numPr>
      <w:spacing w:before="240" w:after="60"/>
      <w:outlineLvl w:val="4"/>
    </w:pPr>
    <w:rPr>
      <w:b/>
      <w:bCs/>
      <w:i/>
      <w:iCs/>
      <w:sz w:val="26"/>
      <w:szCs w:val="26"/>
    </w:rPr>
  </w:style>
  <w:style w:type="paragraph" w:styleId="Heading6">
    <w:name w:val="heading 6"/>
    <w:basedOn w:val="Normal"/>
    <w:next w:val="Normal"/>
    <w:qFormat/>
    <w:rsid w:val="004E6DF5"/>
    <w:pPr>
      <w:numPr>
        <w:ilvl w:val="5"/>
        <w:numId w:val="3"/>
      </w:numPr>
      <w:spacing w:before="240" w:after="60"/>
      <w:outlineLvl w:val="5"/>
    </w:pPr>
    <w:rPr>
      <w:b/>
      <w:bCs/>
      <w:szCs w:val="22"/>
    </w:rPr>
  </w:style>
  <w:style w:type="paragraph" w:styleId="Heading7">
    <w:name w:val="heading 7"/>
    <w:basedOn w:val="Normal"/>
    <w:next w:val="Normal"/>
    <w:qFormat/>
    <w:rsid w:val="004E6DF5"/>
    <w:pPr>
      <w:numPr>
        <w:ilvl w:val="6"/>
        <w:numId w:val="3"/>
      </w:numPr>
      <w:spacing w:before="240" w:after="60"/>
      <w:outlineLvl w:val="6"/>
    </w:pPr>
  </w:style>
  <w:style w:type="paragraph" w:styleId="Heading8">
    <w:name w:val="heading 8"/>
    <w:basedOn w:val="Normal"/>
    <w:next w:val="Normal"/>
    <w:qFormat/>
    <w:rsid w:val="004E6DF5"/>
    <w:pPr>
      <w:numPr>
        <w:ilvl w:val="7"/>
        <w:numId w:val="3"/>
      </w:numPr>
      <w:spacing w:before="240" w:after="60"/>
      <w:outlineLvl w:val="7"/>
    </w:pPr>
    <w:rPr>
      <w:i/>
      <w:iCs/>
    </w:rPr>
  </w:style>
  <w:style w:type="paragraph" w:styleId="Heading9">
    <w:name w:val="heading 9"/>
    <w:basedOn w:val="Normal"/>
    <w:next w:val="Normal"/>
    <w:qFormat/>
    <w:rsid w:val="004E6DF5"/>
    <w:pPr>
      <w:numPr>
        <w:ilvl w:val="8"/>
        <w:numId w:val="3"/>
      </w:num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D1229"/>
    <w:rPr>
      <w:rFonts w:cs="Arial"/>
      <w:b/>
      <w:bCs/>
      <w:kern w:val="32"/>
      <w:sz w:val="28"/>
      <w:szCs w:val="32"/>
    </w:rPr>
  </w:style>
  <w:style w:type="character" w:customStyle="1" w:styleId="Heading2Char">
    <w:name w:val="Heading 2 Char"/>
    <w:basedOn w:val="DefaultParagraphFont"/>
    <w:link w:val="Heading2"/>
    <w:rsid w:val="001349CB"/>
    <w:rPr>
      <w:rFonts w:ascii="Arial" w:hAnsi="Arial" w:cs="Arial"/>
      <w:b/>
      <w:bCs/>
      <w:iCs/>
      <w:sz w:val="22"/>
      <w:szCs w:val="28"/>
      <w:lang w:val="en-US" w:eastAsia="en-US" w:bidi="ar-SA"/>
    </w:rPr>
  </w:style>
  <w:style w:type="character" w:styleId="Hyperlink">
    <w:name w:val="Hyperlink"/>
    <w:basedOn w:val="DefaultParagraphFont"/>
    <w:uiPriority w:val="99"/>
    <w:rsid w:val="00E74AD8"/>
    <w:rPr>
      <w:color w:val="0000FF"/>
      <w:u w:val="single"/>
    </w:rPr>
  </w:style>
  <w:style w:type="paragraph" w:styleId="FootnoteText">
    <w:name w:val="footnote text"/>
    <w:basedOn w:val="Normal"/>
    <w:semiHidden/>
    <w:rsid w:val="00E82308"/>
    <w:rPr>
      <w:sz w:val="16"/>
    </w:rPr>
  </w:style>
  <w:style w:type="character" w:styleId="FootnoteReference">
    <w:name w:val="footnote reference"/>
    <w:basedOn w:val="DefaultParagraphFont"/>
    <w:semiHidden/>
    <w:rsid w:val="00E82308"/>
    <w:rPr>
      <w:rFonts w:ascii="Times New Roman" w:hAnsi="Times New Roman"/>
      <w:sz w:val="18"/>
      <w:vertAlign w:val="superscript"/>
    </w:rPr>
  </w:style>
  <w:style w:type="paragraph" w:customStyle="1" w:styleId="cutline">
    <w:name w:val="cutline"/>
    <w:basedOn w:val="Normal"/>
    <w:rsid w:val="00AC4F79"/>
    <w:pPr>
      <w:spacing w:before="40" w:after="160"/>
      <w:jc w:val="center"/>
    </w:pPr>
    <w:rPr>
      <w:rFonts w:ascii="Arial" w:hAnsi="Arial"/>
      <w:sz w:val="18"/>
    </w:rPr>
  </w:style>
  <w:style w:type="paragraph" w:styleId="BalloonText">
    <w:name w:val="Balloon Text"/>
    <w:basedOn w:val="Normal"/>
    <w:semiHidden/>
    <w:rsid w:val="00E74AD8"/>
    <w:rPr>
      <w:rFonts w:ascii="Tahoma" w:hAnsi="Tahoma" w:cs="Tahoma"/>
      <w:sz w:val="16"/>
      <w:szCs w:val="16"/>
    </w:rPr>
  </w:style>
  <w:style w:type="paragraph" w:customStyle="1" w:styleId="NormalwithBullets">
    <w:name w:val="Normal with Bullets"/>
    <w:basedOn w:val="Normal"/>
    <w:link w:val="bulletlevel1Char"/>
    <w:qFormat/>
    <w:rsid w:val="005F458A"/>
    <w:pPr>
      <w:numPr>
        <w:numId w:val="31"/>
      </w:numPr>
    </w:pPr>
  </w:style>
  <w:style w:type="paragraph" w:styleId="BodyText">
    <w:name w:val="Body Text"/>
    <w:basedOn w:val="Normal"/>
    <w:link w:val="BodyTextChar"/>
    <w:rsid w:val="00370479"/>
    <w:pPr>
      <w:spacing w:line="260" w:lineRule="exact"/>
      <w:ind w:left="900"/>
      <w:jc w:val="both"/>
    </w:pPr>
    <w:rPr>
      <w:iCs/>
      <w:sz w:val="21"/>
    </w:rPr>
  </w:style>
  <w:style w:type="character" w:customStyle="1" w:styleId="BodyTextChar">
    <w:name w:val="Body Text Char"/>
    <w:basedOn w:val="DefaultParagraphFont"/>
    <w:link w:val="BodyText"/>
    <w:rsid w:val="00370479"/>
    <w:rPr>
      <w:iCs/>
      <w:sz w:val="21"/>
      <w:szCs w:val="24"/>
    </w:rPr>
  </w:style>
  <w:style w:type="character" w:customStyle="1" w:styleId="bulletlevel1Char">
    <w:name w:val="bullet level 1 Char"/>
    <w:basedOn w:val="BodyTextChar"/>
    <w:link w:val="NormalwithBullets"/>
    <w:rsid w:val="005D1229"/>
    <w:rPr>
      <w:iCs w:val="0"/>
      <w:sz w:val="22"/>
      <w:szCs w:val="24"/>
    </w:rPr>
  </w:style>
  <w:style w:type="paragraph" w:customStyle="1" w:styleId="bulletlevel2">
    <w:name w:val="bullet level 2"/>
    <w:basedOn w:val="Normal"/>
    <w:link w:val="bulletlevel2Char"/>
    <w:rsid w:val="00B33B13"/>
    <w:pPr>
      <w:numPr>
        <w:numId w:val="2"/>
      </w:numPr>
      <w:tabs>
        <w:tab w:val="clear" w:pos="1800"/>
        <w:tab w:val="left" w:pos="864"/>
      </w:tabs>
      <w:ind w:left="864" w:hanging="288"/>
    </w:pPr>
  </w:style>
  <w:style w:type="character" w:customStyle="1" w:styleId="bulletlevel2Char">
    <w:name w:val="bullet level 2 Char"/>
    <w:basedOn w:val="bulletlevel1Char"/>
    <w:link w:val="bulletlevel2"/>
    <w:rsid w:val="00B33B13"/>
    <w:rPr>
      <w:iCs w:val="0"/>
      <w:sz w:val="21"/>
      <w:szCs w:val="24"/>
    </w:rPr>
  </w:style>
  <w:style w:type="paragraph" w:styleId="Header">
    <w:name w:val="header"/>
    <w:basedOn w:val="Normal"/>
    <w:rsid w:val="00E74AD8"/>
    <w:pPr>
      <w:tabs>
        <w:tab w:val="center" w:pos="4320"/>
        <w:tab w:val="right" w:pos="8640"/>
      </w:tabs>
    </w:pPr>
  </w:style>
  <w:style w:type="paragraph" w:styleId="Footer">
    <w:name w:val="footer"/>
    <w:basedOn w:val="Normal"/>
    <w:link w:val="FooterChar"/>
    <w:uiPriority w:val="99"/>
    <w:rsid w:val="00E74AD8"/>
    <w:pPr>
      <w:tabs>
        <w:tab w:val="center" w:pos="4320"/>
        <w:tab w:val="right" w:pos="8640"/>
      </w:tabs>
    </w:pPr>
  </w:style>
  <w:style w:type="character" w:styleId="PageNumber">
    <w:name w:val="page number"/>
    <w:basedOn w:val="DefaultParagraphFont"/>
    <w:rsid w:val="00400806"/>
    <w:rPr>
      <w:rFonts w:ascii="Arial" w:hAnsi="Arial"/>
    </w:rPr>
  </w:style>
  <w:style w:type="paragraph" w:customStyle="1" w:styleId="label">
    <w:name w:val="label"/>
    <w:basedOn w:val="Normal"/>
    <w:rsid w:val="00E74AD8"/>
    <w:pPr>
      <w:jc w:val="center"/>
    </w:pPr>
    <w:rPr>
      <w:rFonts w:ascii="Arial" w:hAnsi="Arial" w:cs="Arial"/>
      <w:sz w:val="20"/>
    </w:rPr>
  </w:style>
  <w:style w:type="table" w:styleId="TableGrid">
    <w:name w:val="Table Grid"/>
    <w:basedOn w:val="TableNormal"/>
    <w:rsid w:val="00497D5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BodyText"/>
    <w:next w:val="Normal"/>
    <w:autoRedefine/>
    <w:uiPriority w:val="39"/>
    <w:rsid w:val="00203190"/>
    <w:pPr>
      <w:tabs>
        <w:tab w:val="left" w:pos="360"/>
        <w:tab w:val="right" w:leader="dot" w:pos="8630"/>
      </w:tabs>
    </w:pPr>
  </w:style>
  <w:style w:type="paragraph" w:styleId="TOC2">
    <w:name w:val="toc 2"/>
    <w:basedOn w:val="BodyText"/>
    <w:next w:val="Normal"/>
    <w:autoRedefine/>
    <w:uiPriority w:val="39"/>
    <w:rsid w:val="00026479"/>
    <w:pPr>
      <w:tabs>
        <w:tab w:val="left" w:pos="720"/>
        <w:tab w:val="right" w:leader="dot" w:pos="8630"/>
      </w:tabs>
      <w:ind w:left="180"/>
    </w:pPr>
  </w:style>
  <w:style w:type="paragraph" w:styleId="TOC4">
    <w:name w:val="toc 4"/>
    <w:basedOn w:val="Normal"/>
    <w:next w:val="Normal"/>
    <w:autoRedefine/>
    <w:rsid w:val="00822895"/>
    <w:pPr>
      <w:tabs>
        <w:tab w:val="right" w:leader="dot" w:pos="8630"/>
      </w:tabs>
      <w:spacing w:line="260" w:lineRule="exact"/>
    </w:pPr>
    <w:rPr>
      <w:noProof/>
      <w:sz w:val="21"/>
    </w:rPr>
  </w:style>
  <w:style w:type="paragraph" w:styleId="NormalWeb">
    <w:name w:val="Normal (Web)"/>
    <w:basedOn w:val="Normal"/>
    <w:rsid w:val="003B59E6"/>
    <w:pPr>
      <w:spacing w:before="100" w:beforeAutospacing="1" w:after="100" w:afterAutospacing="1"/>
    </w:pPr>
  </w:style>
  <w:style w:type="paragraph" w:styleId="TOC3">
    <w:name w:val="toc 3"/>
    <w:basedOn w:val="BodyText"/>
    <w:next w:val="Normal"/>
    <w:autoRedefine/>
    <w:uiPriority w:val="39"/>
    <w:rsid w:val="00B33B13"/>
    <w:pPr>
      <w:tabs>
        <w:tab w:val="right" w:leader="dot" w:pos="8630"/>
      </w:tabs>
      <w:ind w:left="360"/>
    </w:pPr>
  </w:style>
  <w:style w:type="paragraph" w:customStyle="1" w:styleId="tablehead">
    <w:name w:val="table head"/>
    <w:basedOn w:val="BodyText"/>
    <w:rsid w:val="001A131B"/>
    <w:pPr>
      <w:spacing w:before="20" w:after="20" w:line="240" w:lineRule="exact"/>
    </w:pPr>
    <w:rPr>
      <w:rFonts w:ascii="Arial" w:hAnsi="Arial"/>
      <w:b/>
      <w:sz w:val="18"/>
    </w:rPr>
  </w:style>
  <w:style w:type="paragraph" w:customStyle="1" w:styleId="table">
    <w:name w:val="table"/>
    <w:basedOn w:val="BodyText"/>
    <w:rsid w:val="00D055CC"/>
    <w:pPr>
      <w:spacing w:before="20" w:after="20" w:line="240" w:lineRule="exact"/>
    </w:pPr>
    <w:rPr>
      <w:rFonts w:ascii="Arial" w:hAnsi="Arial"/>
      <w:sz w:val="18"/>
    </w:rPr>
  </w:style>
  <w:style w:type="paragraph" w:customStyle="1" w:styleId="Normal1">
    <w:name w:val="Normal1"/>
    <w:basedOn w:val="Normal"/>
    <w:rsid w:val="0015049D"/>
    <w:pPr>
      <w:ind w:left="576"/>
    </w:pPr>
  </w:style>
  <w:style w:type="paragraph" w:customStyle="1" w:styleId="spacer">
    <w:name w:val="spacer"/>
    <w:rsid w:val="00002163"/>
    <w:pPr>
      <w:spacing w:before="7200"/>
    </w:pPr>
    <w:rPr>
      <w:rFonts w:ascii="Arial" w:hAnsi="Arial" w:cs="Arial"/>
      <w:bCs/>
      <w:kern w:val="32"/>
      <w:sz w:val="32"/>
      <w:szCs w:val="32"/>
    </w:rPr>
  </w:style>
  <w:style w:type="paragraph" w:customStyle="1" w:styleId="TOCHead">
    <w:name w:val="TOC Head"/>
    <w:rsid w:val="002F68F1"/>
    <w:pPr>
      <w:spacing w:before="320" w:after="240"/>
    </w:pPr>
    <w:rPr>
      <w:rFonts w:ascii="Arial" w:hAnsi="Arial" w:cs="Arial"/>
      <w:b/>
      <w:bCs/>
      <w:kern w:val="32"/>
      <w:sz w:val="28"/>
      <w:szCs w:val="32"/>
    </w:rPr>
  </w:style>
  <w:style w:type="paragraph" w:customStyle="1" w:styleId="Normal2">
    <w:name w:val="Normal2"/>
    <w:basedOn w:val="Normal"/>
    <w:rsid w:val="00B54C8C"/>
    <w:pPr>
      <w:spacing w:before="60"/>
      <w:ind w:left="1440"/>
    </w:pPr>
  </w:style>
  <w:style w:type="paragraph" w:customStyle="1" w:styleId="Normal3">
    <w:name w:val="Normal3"/>
    <w:basedOn w:val="Normal"/>
    <w:rsid w:val="00C46FB2"/>
    <w:pPr>
      <w:ind w:left="1728"/>
    </w:pPr>
  </w:style>
  <w:style w:type="paragraph" w:customStyle="1" w:styleId="bulletlevel3">
    <w:name w:val="bullet level 3"/>
    <w:basedOn w:val="Normal"/>
    <w:rsid w:val="00B33B13"/>
    <w:pPr>
      <w:numPr>
        <w:ilvl w:val="2"/>
        <w:numId w:val="4"/>
      </w:numPr>
      <w:tabs>
        <w:tab w:val="clear" w:pos="1800"/>
        <w:tab w:val="left" w:pos="1080"/>
      </w:tabs>
      <w:spacing w:line="260" w:lineRule="exact"/>
      <w:ind w:left="1440" w:hanging="360"/>
    </w:pPr>
    <w:rPr>
      <w:sz w:val="21"/>
      <w:szCs w:val="21"/>
    </w:rPr>
  </w:style>
  <w:style w:type="paragraph" w:customStyle="1" w:styleId="number">
    <w:name w:val="number"/>
    <w:basedOn w:val="BodyText"/>
    <w:link w:val="numberChar"/>
    <w:rsid w:val="00026313"/>
    <w:pPr>
      <w:numPr>
        <w:ilvl w:val="3"/>
        <w:numId w:val="5"/>
      </w:numPr>
      <w:tabs>
        <w:tab w:val="clear" w:pos="4032"/>
        <w:tab w:val="left" w:pos="648"/>
      </w:tabs>
      <w:ind w:left="648" w:hanging="288"/>
    </w:pPr>
  </w:style>
  <w:style w:type="character" w:customStyle="1" w:styleId="numberChar">
    <w:name w:val="number Char"/>
    <w:basedOn w:val="BodyTextChar"/>
    <w:link w:val="number"/>
    <w:rsid w:val="00026313"/>
    <w:rPr>
      <w:iCs/>
      <w:sz w:val="21"/>
      <w:szCs w:val="24"/>
    </w:rPr>
  </w:style>
  <w:style w:type="character" w:styleId="FollowedHyperlink">
    <w:name w:val="FollowedHyperlink"/>
    <w:basedOn w:val="DefaultParagraphFont"/>
    <w:rsid w:val="00D700FA"/>
    <w:rPr>
      <w:color w:val="800080"/>
      <w:u w:val="single"/>
    </w:rPr>
  </w:style>
  <w:style w:type="paragraph" w:customStyle="1" w:styleId="body2">
    <w:name w:val="body2"/>
    <w:basedOn w:val="BodyText"/>
    <w:link w:val="body2Char"/>
    <w:rsid w:val="001349CB"/>
    <w:pPr>
      <w:ind w:left="1260"/>
    </w:pPr>
  </w:style>
  <w:style w:type="character" w:customStyle="1" w:styleId="body2Char">
    <w:name w:val="body2 Char"/>
    <w:basedOn w:val="BodyTextChar"/>
    <w:link w:val="body2"/>
    <w:rsid w:val="001349CB"/>
    <w:rPr>
      <w:iCs/>
      <w:sz w:val="21"/>
      <w:szCs w:val="24"/>
    </w:rPr>
  </w:style>
  <w:style w:type="paragraph" w:customStyle="1" w:styleId="bullet2level1">
    <w:name w:val="bullet2 level1"/>
    <w:basedOn w:val="Normal"/>
    <w:rsid w:val="001349CB"/>
    <w:pPr>
      <w:tabs>
        <w:tab w:val="left" w:pos="1620"/>
      </w:tabs>
      <w:ind w:left="1620"/>
    </w:pPr>
  </w:style>
  <w:style w:type="paragraph" w:customStyle="1" w:styleId="body3">
    <w:name w:val="body3"/>
    <w:basedOn w:val="body2"/>
    <w:rsid w:val="001349CB"/>
    <w:pPr>
      <w:ind w:left="1980"/>
    </w:pPr>
  </w:style>
  <w:style w:type="character" w:customStyle="1" w:styleId="number3Char">
    <w:name w:val="number 3 Char"/>
    <w:basedOn w:val="BodyTextChar"/>
    <w:link w:val="number3"/>
    <w:rsid w:val="004822CF"/>
    <w:rPr>
      <w:iCs/>
      <w:sz w:val="21"/>
      <w:szCs w:val="24"/>
    </w:rPr>
  </w:style>
  <w:style w:type="paragraph" w:customStyle="1" w:styleId="number3">
    <w:name w:val="number 3"/>
    <w:basedOn w:val="BodyText"/>
    <w:link w:val="number3Char"/>
    <w:rsid w:val="004822CF"/>
    <w:pPr>
      <w:ind w:left="1980" w:hanging="360"/>
    </w:pPr>
  </w:style>
  <w:style w:type="paragraph" w:customStyle="1" w:styleId="number1">
    <w:name w:val="number 1"/>
    <w:basedOn w:val="BodyText"/>
    <w:rsid w:val="00D85443"/>
    <w:pPr>
      <w:ind w:left="1440" w:hanging="360"/>
    </w:pPr>
  </w:style>
  <w:style w:type="paragraph" w:customStyle="1" w:styleId="number2">
    <w:name w:val="number 2"/>
    <w:basedOn w:val="BodyText"/>
    <w:link w:val="number2Char"/>
    <w:rsid w:val="009D2CFE"/>
    <w:pPr>
      <w:ind w:left="1800" w:hanging="360"/>
    </w:pPr>
  </w:style>
  <w:style w:type="character" w:customStyle="1" w:styleId="number2Char">
    <w:name w:val="number 2 Char"/>
    <w:basedOn w:val="BodyTextChar"/>
    <w:link w:val="number2"/>
    <w:rsid w:val="009D2CFE"/>
    <w:rPr>
      <w:iCs/>
      <w:sz w:val="21"/>
      <w:szCs w:val="24"/>
    </w:rPr>
  </w:style>
  <w:style w:type="paragraph" w:customStyle="1" w:styleId="bullet3level1">
    <w:name w:val="bullet3 level1"/>
    <w:basedOn w:val="bullet2level1"/>
    <w:rsid w:val="00B97DAF"/>
    <w:pPr>
      <w:tabs>
        <w:tab w:val="left" w:pos="2160"/>
      </w:tabs>
      <w:ind w:left="2160" w:hanging="180"/>
    </w:pPr>
  </w:style>
  <w:style w:type="paragraph" w:customStyle="1" w:styleId="Style1">
    <w:name w:val="Style1"/>
    <w:basedOn w:val="Normal"/>
    <w:rsid w:val="004C31F6"/>
    <w:pPr>
      <w:spacing w:beforeLines="40" w:afterLines="40"/>
      <w:jc w:val="center"/>
    </w:pPr>
    <w:rPr>
      <w:rFonts w:ascii="Wingdings 2" w:hAnsi="Wingdings 2"/>
    </w:rPr>
  </w:style>
  <w:style w:type="paragraph" w:customStyle="1" w:styleId="box">
    <w:name w:val="box"/>
    <w:basedOn w:val="Normal"/>
    <w:rsid w:val="004C31F6"/>
    <w:pPr>
      <w:spacing w:beforeLines="40" w:afterLines="40"/>
      <w:jc w:val="center"/>
    </w:pPr>
    <w:rPr>
      <w:rFonts w:ascii="Wingdings 2" w:hAnsi="Wingdings 2"/>
    </w:rPr>
  </w:style>
  <w:style w:type="paragraph" w:customStyle="1" w:styleId="Level4">
    <w:name w:val="Level 4"/>
    <w:basedOn w:val="Heading3"/>
    <w:rsid w:val="00B423D5"/>
    <w:pPr>
      <w:numPr>
        <w:ilvl w:val="0"/>
        <w:numId w:val="0"/>
      </w:numPr>
    </w:pPr>
    <w:rPr>
      <w:smallCaps/>
      <w:sz w:val="19"/>
      <w:szCs w:val="19"/>
    </w:rPr>
  </w:style>
  <w:style w:type="paragraph" w:customStyle="1" w:styleId="Level2">
    <w:name w:val="Level 2"/>
    <w:basedOn w:val="Heading2"/>
    <w:link w:val="Level2Char"/>
    <w:rsid w:val="00B423D5"/>
    <w:pPr>
      <w:numPr>
        <w:ilvl w:val="0"/>
        <w:numId w:val="0"/>
      </w:numPr>
    </w:pPr>
  </w:style>
  <w:style w:type="character" w:customStyle="1" w:styleId="Level2Char">
    <w:name w:val="Level 2 Char"/>
    <w:basedOn w:val="Heading2Char"/>
    <w:link w:val="Level2"/>
    <w:rsid w:val="00B423D5"/>
    <w:rPr>
      <w:rFonts w:ascii="Arial" w:hAnsi="Arial" w:cs="Arial"/>
      <w:b/>
      <w:bCs/>
      <w:iCs/>
      <w:sz w:val="22"/>
      <w:szCs w:val="28"/>
      <w:lang w:val="en-US" w:eastAsia="en-US" w:bidi="ar-SA"/>
    </w:rPr>
  </w:style>
  <w:style w:type="paragraph" w:customStyle="1" w:styleId="Table0">
    <w:name w:val="Table"/>
    <w:basedOn w:val="BodyText"/>
    <w:rsid w:val="00031636"/>
    <w:pPr>
      <w:spacing w:before="60" w:after="0" w:line="240" w:lineRule="auto"/>
    </w:pPr>
    <w:rPr>
      <w:rFonts w:ascii="Arial" w:hAnsi="Arial"/>
      <w:sz w:val="24"/>
    </w:rPr>
  </w:style>
  <w:style w:type="paragraph" w:customStyle="1" w:styleId="TableHeading">
    <w:name w:val="Table Heading"/>
    <w:basedOn w:val="BodyText"/>
    <w:next w:val="Table0"/>
    <w:rsid w:val="00031636"/>
    <w:pPr>
      <w:spacing w:before="60" w:after="0" w:line="240" w:lineRule="auto"/>
      <w:jc w:val="center"/>
    </w:pPr>
    <w:rPr>
      <w:rFonts w:ascii="Arial" w:hAnsi="Arial"/>
      <w:b/>
      <w:sz w:val="24"/>
    </w:rPr>
  </w:style>
  <w:style w:type="character" w:styleId="CommentReference">
    <w:name w:val="annotation reference"/>
    <w:basedOn w:val="DefaultParagraphFont"/>
    <w:semiHidden/>
    <w:rsid w:val="00847C44"/>
    <w:rPr>
      <w:sz w:val="16"/>
    </w:rPr>
  </w:style>
  <w:style w:type="paragraph" w:styleId="CommentText">
    <w:name w:val="annotation text"/>
    <w:basedOn w:val="Normal"/>
    <w:rsid w:val="00BB555A"/>
    <w:pPr>
      <w:widowControl w:val="0"/>
      <w:spacing w:line="240" w:lineRule="atLeast"/>
    </w:pPr>
    <w:rPr>
      <w:rFonts w:ascii="Arial" w:hAnsi="Arial"/>
      <w:sz w:val="16"/>
    </w:rPr>
  </w:style>
  <w:style w:type="paragraph" w:styleId="CommentSubject">
    <w:name w:val="annotation subject"/>
    <w:basedOn w:val="CommentText"/>
    <w:next w:val="CommentText"/>
    <w:semiHidden/>
    <w:rsid w:val="00B8748E"/>
    <w:pPr>
      <w:widowControl/>
      <w:spacing w:line="240" w:lineRule="auto"/>
    </w:pPr>
    <w:rPr>
      <w:b/>
      <w:bCs/>
    </w:rPr>
  </w:style>
  <w:style w:type="character" w:customStyle="1" w:styleId="Style">
    <w:name w:val="Style"/>
    <w:basedOn w:val="CommentReference"/>
    <w:rsid w:val="00B8748E"/>
    <w:rPr>
      <w:rFonts w:ascii="Arial" w:hAnsi="Arial"/>
      <w:sz w:val="18"/>
    </w:rPr>
  </w:style>
  <w:style w:type="paragraph" w:customStyle="1" w:styleId="instruction">
    <w:name w:val="instruction"/>
    <w:basedOn w:val="BodyText"/>
    <w:rsid w:val="00471667"/>
    <w:pPr>
      <w:pBdr>
        <w:top w:val="dashSmallGap" w:sz="4" w:space="1" w:color="auto"/>
        <w:left w:val="dashSmallGap" w:sz="4" w:space="4" w:color="auto"/>
        <w:bottom w:val="dashSmallGap" w:sz="4" w:space="1" w:color="auto"/>
        <w:right w:val="dashSmallGap" w:sz="4" w:space="4" w:color="auto"/>
      </w:pBdr>
      <w:shd w:val="clear" w:color="auto" w:fill="FFFF99"/>
    </w:pPr>
    <w:rPr>
      <w:rFonts w:ascii="Arial" w:hAnsi="Arial"/>
      <w:sz w:val="16"/>
    </w:rPr>
  </w:style>
  <w:style w:type="paragraph" w:customStyle="1" w:styleId="body4">
    <w:name w:val="body4"/>
    <w:basedOn w:val="body3"/>
    <w:rsid w:val="001349CB"/>
    <w:pPr>
      <w:ind w:left="2700"/>
    </w:pPr>
  </w:style>
  <w:style w:type="paragraph" w:customStyle="1" w:styleId="bullet4level1">
    <w:name w:val="bullet4 level1"/>
    <w:basedOn w:val="bullet3level1"/>
    <w:rsid w:val="001349CB"/>
    <w:pPr>
      <w:tabs>
        <w:tab w:val="clear" w:pos="1620"/>
        <w:tab w:val="clear" w:pos="2160"/>
        <w:tab w:val="left" w:pos="3060"/>
      </w:tabs>
      <w:ind w:left="3060"/>
    </w:pPr>
  </w:style>
  <w:style w:type="paragraph" w:styleId="EndnoteText">
    <w:name w:val="endnote text"/>
    <w:basedOn w:val="Normal"/>
    <w:semiHidden/>
    <w:rsid w:val="00FF3C6F"/>
    <w:rPr>
      <w:sz w:val="20"/>
    </w:rPr>
  </w:style>
  <w:style w:type="character" w:styleId="EndnoteReference">
    <w:name w:val="endnote reference"/>
    <w:basedOn w:val="DefaultParagraphFont"/>
    <w:semiHidden/>
    <w:rsid w:val="00FF3C6F"/>
    <w:rPr>
      <w:vertAlign w:val="superscript"/>
    </w:rPr>
  </w:style>
  <w:style w:type="paragraph" w:customStyle="1" w:styleId="bullet4level2">
    <w:name w:val="bullet4 level2"/>
    <w:basedOn w:val="bullet4level1"/>
    <w:rsid w:val="00B75C8F"/>
    <w:pPr>
      <w:numPr>
        <w:numId w:val="7"/>
      </w:numPr>
      <w:tabs>
        <w:tab w:val="clear" w:pos="720"/>
        <w:tab w:val="left" w:pos="2880"/>
      </w:tabs>
      <w:ind w:left="2880"/>
    </w:pPr>
  </w:style>
  <w:style w:type="paragraph" w:customStyle="1" w:styleId="Title1">
    <w:name w:val="Title1"/>
    <w:rsid w:val="00612D8C"/>
    <w:pPr>
      <w:spacing w:before="120" w:after="240"/>
    </w:pPr>
    <w:rPr>
      <w:rFonts w:ascii="Arial" w:hAnsi="Arial" w:cs="Arial"/>
      <w:b/>
      <w:bCs/>
      <w:iCs/>
      <w:szCs w:val="28"/>
    </w:rPr>
  </w:style>
  <w:style w:type="table" w:styleId="TableGrid1">
    <w:name w:val="Table Grid 1"/>
    <w:basedOn w:val="TableNormal"/>
    <w:rsid w:val="00A51B17"/>
    <w:pPr>
      <w:spacing w:before="40" w:after="40"/>
    </w:pPr>
    <w:rPr>
      <w:rFonts w:ascii="Arial Black" w:hAnsi="Arial Black"/>
      <w:color w:val="FFFFFF"/>
      <w:sz w:val="18"/>
    </w:rPr>
    <w:tblPr>
      <w:tblInd w:w="0" w:type="dxa"/>
      <w:tblCellMar>
        <w:top w:w="0" w:type="dxa"/>
        <w:left w:w="108" w:type="dxa"/>
        <w:bottom w:w="0" w:type="dxa"/>
        <w:right w:w="108" w:type="dxa"/>
      </w:tblCellMar>
    </w:tblPr>
    <w:tcPr>
      <w:shd w:val="clear" w:color="auto" w:fill="404040"/>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BodyText3">
    <w:name w:val="Body Text 3"/>
    <w:basedOn w:val="Normal"/>
    <w:rsid w:val="00A31E42"/>
    <w:rPr>
      <w:sz w:val="16"/>
      <w:szCs w:val="16"/>
    </w:rPr>
  </w:style>
  <w:style w:type="paragraph" w:styleId="BodyText2">
    <w:name w:val="Body Text 2"/>
    <w:basedOn w:val="Normal"/>
    <w:rsid w:val="00BB34AF"/>
    <w:pPr>
      <w:spacing w:line="480" w:lineRule="auto"/>
    </w:pPr>
  </w:style>
  <w:style w:type="paragraph" w:customStyle="1" w:styleId="sr-i">
    <w:name w:val="sr-(i)"/>
    <w:basedOn w:val="Normal"/>
    <w:rsid w:val="004B374C"/>
    <w:pPr>
      <w:tabs>
        <w:tab w:val="left" w:pos="2250"/>
      </w:tabs>
      <w:overflowPunct w:val="0"/>
      <w:autoSpaceDE w:val="0"/>
      <w:autoSpaceDN w:val="0"/>
      <w:adjustRightInd w:val="0"/>
      <w:spacing w:line="240" w:lineRule="exact"/>
      <w:ind w:left="2250" w:hanging="540"/>
      <w:jc w:val="both"/>
      <w:textAlignment w:val="baseline"/>
    </w:pPr>
    <w:rPr>
      <w:sz w:val="20"/>
    </w:rPr>
  </w:style>
  <w:style w:type="paragraph" w:customStyle="1" w:styleId="Char2">
    <w:name w:val="Char2"/>
    <w:basedOn w:val="Normal"/>
    <w:rsid w:val="001B7841"/>
    <w:pPr>
      <w:spacing w:after="160" w:line="240" w:lineRule="exact"/>
    </w:pPr>
    <w:rPr>
      <w:rFonts w:ascii="Verdana" w:hAnsi="Verdana"/>
      <w:sz w:val="16"/>
    </w:rPr>
  </w:style>
  <w:style w:type="paragraph" w:customStyle="1" w:styleId="Normal9pt">
    <w:name w:val="Normal + 9 pt"/>
    <w:aliases w:val="Red,Centered"/>
    <w:basedOn w:val="body2"/>
    <w:rsid w:val="00645BFC"/>
    <w:pPr>
      <w:ind w:left="0"/>
    </w:pPr>
    <w:rPr>
      <w:color w:val="FF0000"/>
    </w:rPr>
  </w:style>
  <w:style w:type="paragraph" w:customStyle="1" w:styleId="Char">
    <w:name w:val="Char"/>
    <w:basedOn w:val="Normal"/>
    <w:rsid w:val="002E3309"/>
    <w:pPr>
      <w:spacing w:after="160" w:line="240" w:lineRule="exact"/>
    </w:pPr>
    <w:rPr>
      <w:rFonts w:ascii="Verdana" w:hAnsi="Verdana"/>
      <w:sz w:val="16"/>
    </w:rPr>
  </w:style>
  <w:style w:type="paragraph" w:customStyle="1" w:styleId="Char3">
    <w:name w:val="Char3"/>
    <w:basedOn w:val="Normal"/>
    <w:rsid w:val="00567F3C"/>
    <w:pPr>
      <w:spacing w:after="160" w:line="240" w:lineRule="exact"/>
    </w:pPr>
    <w:rPr>
      <w:rFonts w:ascii="Verdana" w:hAnsi="Verdana"/>
      <w:sz w:val="16"/>
    </w:rPr>
  </w:style>
  <w:style w:type="character" w:customStyle="1" w:styleId="FooterChar">
    <w:name w:val="Footer Char"/>
    <w:basedOn w:val="DefaultParagraphFont"/>
    <w:link w:val="Footer"/>
    <w:uiPriority w:val="99"/>
    <w:rsid w:val="008379A6"/>
    <w:rPr>
      <w:sz w:val="24"/>
      <w:szCs w:val="24"/>
    </w:rPr>
  </w:style>
  <w:style w:type="paragraph" w:styleId="ListParagraph">
    <w:name w:val="List Paragraph"/>
    <w:basedOn w:val="Normal"/>
    <w:uiPriority w:val="34"/>
    <w:qFormat/>
    <w:rsid w:val="00AF28EA"/>
    <w:pPr>
      <w:contextualSpacing/>
    </w:pPr>
  </w:style>
  <w:style w:type="paragraph" w:customStyle="1" w:styleId="Default">
    <w:name w:val="Default"/>
    <w:rsid w:val="00D22150"/>
    <w:pPr>
      <w:autoSpaceDE w:val="0"/>
      <w:autoSpaceDN w:val="0"/>
      <w:adjustRightInd w:val="0"/>
    </w:pPr>
    <w:rPr>
      <w:rFonts w:ascii="Calibri" w:hAnsi="Calibri" w:cs="Calibri"/>
      <w:color w:val="000000"/>
      <w:sz w:val="24"/>
      <w:szCs w:val="24"/>
    </w:rPr>
  </w:style>
  <w:style w:type="paragraph" w:styleId="Revision">
    <w:name w:val="Revision"/>
    <w:hidden/>
    <w:uiPriority w:val="99"/>
    <w:semiHidden/>
    <w:rsid w:val="0034436B"/>
    <w:rPr>
      <w:sz w:val="24"/>
      <w:szCs w:val="24"/>
    </w:rPr>
  </w:style>
  <w:style w:type="paragraph" w:customStyle="1" w:styleId="NormalCenter">
    <w:name w:val="Normal Center"/>
    <w:basedOn w:val="Normal"/>
    <w:qFormat/>
    <w:rsid w:val="005F458A"/>
    <w:pPr>
      <w:jc w:val="center"/>
    </w:pPr>
  </w:style>
  <w:style w:type="paragraph" w:customStyle="1" w:styleId="NormalwithEmphasis">
    <w:name w:val="Normal with Emphasis"/>
    <w:basedOn w:val="Normal"/>
    <w:rsid w:val="00EA6045"/>
    <w:pPr>
      <w:ind w:left="1008"/>
    </w:pPr>
    <w:rPr>
      <w:b/>
      <w:bCs/>
    </w:rPr>
  </w:style>
  <w:style w:type="paragraph" w:customStyle="1" w:styleId="NormalinTable">
    <w:name w:val="Normal in Table"/>
    <w:basedOn w:val="Normal"/>
    <w:qFormat/>
    <w:rsid w:val="00E56CB9"/>
    <w:pPr>
      <w:framePr w:wrap="notBeside" w:vAnchor="text" w:hAnchor="text" w:y="1"/>
      <w:spacing w:after="0" w:line="240" w:lineRule="auto"/>
      <w:ind w:left="0"/>
    </w:pPr>
    <w:rPr>
      <w:sz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A6045"/>
    <w:pPr>
      <w:spacing w:after="120" w:line="280" w:lineRule="exact"/>
      <w:ind w:left="720"/>
    </w:pPr>
    <w:rPr>
      <w:sz w:val="22"/>
    </w:rPr>
  </w:style>
  <w:style w:type="paragraph" w:styleId="Heading1">
    <w:name w:val="heading 1"/>
    <w:basedOn w:val="Normal"/>
    <w:next w:val="Normal"/>
    <w:link w:val="Heading1Char"/>
    <w:qFormat/>
    <w:rsid w:val="005D1229"/>
    <w:pPr>
      <w:keepNext/>
      <w:numPr>
        <w:numId w:val="6"/>
      </w:numPr>
      <w:spacing w:before="320" w:after="240"/>
      <w:outlineLvl w:val="0"/>
    </w:pPr>
    <w:rPr>
      <w:rFonts w:cs="Arial"/>
      <w:b/>
      <w:bCs/>
      <w:kern w:val="32"/>
      <w:sz w:val="28"/>
      <w:szCs w:val="32"/>
    </w:rPr>
  </w:style>
  <w:style w:type="paragraph" w:styleId="Heading2">
    <w:name w:val="heading 2"/>
    <w:basedOn w:val="Normal"/>
    <w:next w:val="Normal"/>
    <w:link w:val="Heading2Char"/>
    <w:qFormat/>
    <w:rsid w:val="001349CB"/>
    <w:pPr>
      <w:keepNext/>
      <w:numPr>
        <w:ilvl w:val="1"/>
        <w:numId w:val="6"/>
      </w:numPr>
      <w:spacing w:before="160" w:after="160"/>
      <w:outlineLvl w:val="1"/>
    </w:pPr>
    <w:rPr>
      <w:rFonts w:ascii="Arial" w:hAnsi="Arial" w:cs="Arial"/>
      <w:b/>
      <w:bCs/>
      <w:iCs/>
      <w:szCs w:val="28"/>
    </w:rPr>
  </w:style>
  <w:style w:type="paragraph" w:styleId="Heading3">
    <w:name w:val="heading 3"/>
    <w:basedOn w:val="Normal"/>
    <w:next w:val="Normal"/>
    <w:qFormat/>
    <w:rsid w:val="001349CB"/>
    <w:pPr>
      <w:keepNext/>
      <w:numPr>
        <w:ilvl w:val="2"/>
        <w:numId w:val="6"/>
      </w:numPr>
      <w:spacing w:before="160" w:after="160"/>
      <w:outlineLvl w:val="2"/>
    </w:pPr>
    <w:rPr>
      <w:rFonts w:ascii="Arial" w:hAnsi="Arial"/>
      <w:b/>
      <w:bCs/>
      <w:sz w:val="20"/>
      <w:szCs w:val="22"/>
    </w:rPr>
  </w:style>
  <w:style w:type="paragraph" w:styleId="Heading4">
    <w:name w:val="heading 4"/>
    <w:basedOn w:val="Heading3"/>
    <w:next w:val="Normal"/>
    <w:qFormat/>
    <w:rsid w:val="001349CB"/>
    <w:pPr>
      <w:numPr>
        <w:ilvl w:val="3"/>
      </w:numPr>
      <w:spacing w:after="60" w:line="260" w:lineRule="exact"/>
      <w:outlineLvl w:val="3"/>
    </w:pPr>
    <w:rPr>
      <w:bCs w:val="0"/>
      <w:sz w:val="18"/>
      <w:szCs w:val="21"/>
    </w:rPr>
  </w:style>
  <w:style w:type="paragraph" w:styleId="Heading5">
    <w:name w:val="heading 5"/>
    <w:basedOn w:val="Normal"/>
    <w:next w:val="Normal"/>
    <w:qFormat/>
    <w:rsid w:val="004E6DF5"/>
    <w:pPr>
      <w:numPr>
        <w:ilvl w:val="4"/>
        <w:numId w:val="3"/>
      </w:numPr>
      <w:spacing w:before="240" w:after="60"/>
      <w:outlineLvl w:val="4"/>
    </w:pPr>
    <w:rPr>
      <w:b/>
      <w:bCs/>
      <w:i/>
      <w:iCs/>
      <w:sz w:val="26"/>
      <w:szCs w:val="26"/>
    </w:rPr>
  </w:style>
  <w:style w:type="paragraph" w:styleId="Heading6">
    <w:name w:val="heading 6"/>
    <w:basedOn w:val="Normal"/>
    <w:next w:val="Normal"/>
    <w:qFormat/>
    <w:rsid w:val="004E6DF5"/>
    <w:pPr>
      <w:numPr>
        <w:ilvl w:val="5"/>
        <w:numId w:val="3"/>
      </w:numPr>
      <w:spacing w:before="240" w:after="60"/>
      <w:outlineLvl w:val="5"/>
    </w:pPr>
    <w:rPr>
      <w:b/>
      <w:bCs/>
      <w:szCs w:val="22"/>
    </w:rPr>
  </w:style>
  <w:style w:type="paragraph" w:styleId="Heading7">
    <w:name w:val="heading 7"/>
    <w:basedOn w:val="Normal"/>
    <w:next w:val="Normal"/>
    <w:qFormat/>
    <w:rsid w:val="004E6DF5"/>
    <w:pPr>
      <w:numPr>
        <w:ilvl w:val="6"/>
        <w:numId w:val="3"/>
      </w:numPr>
      <w:spacing w:before="240" w:after="60"/>
      <w:outlineLvl w:val="6"/>
    </w:pPr>
  </w:style>
  <w:style w:type="paragraph" w:styleId="Heading8">
    <w:name w:val="heading 8"/>
    <w:basedOn w:val="Normal"/>
    <w:next w:val="Normal"/>
    <w:qFormat/>
    <w:rsid w:val="004E6DF5"/>
    <w:pPr>
      <w:numPr>
        <w:ilvl w:val="7"/>
        <w:numId w:val="3"/>
      </w:numPr>
      <w:spacing w:before="240" w:after="60"/>
      <w:outlineLvl w:val="7"/>
    </w:pPr>
    <w:rPr>
      <w:i/>
      <w:iCs/>
    </w:rPr>
  </w:style>
  <w:style w:type="paragraph" w:styleId="Heading9">
    <w:name w:val="heading 9"/>
    <w:basedOn w:val="Normal"/>
    <w:next w:val="Normal"/>
    <w:qFormat/>
    <w:rsid w:val="004E6DF5"/>
    <w:pPr>
      <w:numPr>
        <w:ilvl w:val="8"/>
        <w:numId w:val="3"/>
      </w:num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D1229"/>
    <w:rPr>
      <w:rFonts w:cs="Arial"/>
      <w:b/>
      <w:bCs/>
      <w:kern w:val="32"/>
      <w:sz w:val="28"/>
      <w:szCs w:val="32"/>
    </w:rPr>
  </w:style>
  <w:style w:type="character" w:customStyle="1" w:styleId="Heading2Char">
    <w:name w:val="Heading 2 Char"/>
    <w:basedOn w:val="DefaultParagraphFont"/>
    <w:link w:val="Heading2"/>
    <w:rsid w:val="001349CB"/>
    <w:rPr>
      <w:rFonts w:ascii="Arial" w:hAnsi="Arial" w:cs="Arial"/>
      <w:b/>
      <w:bCs/>
      <w:iCs/>
      <w:sz w:val="22"/>
      <w:szCs w:val="28"/>
      <w:lang w:val="en-US" w:eastAsia="en-US" w:bidi="ar-SA"/>
    </w:rPr>
  </w:style>
  <w:style w:type="character" w:styleId="Hyperlink">
    <w:name w:val="Hyperlink"/>
    <w:basedOn w:val="DefaultParagraphFont"/>
    <w:uiPriority w:val="99"/>
    <w:rsid w:val="00E74AD8"/>
    <w:rPr>
      <w:color w:val="0000FF"/>
      <w:u w:val="single"/>
    </w:rPr>
  </w:style>
  <w:style w:type="paragraph" w:styleId="FootnoteText">
    <w:name w:val="footnote text"/>
    <w:basedOn w:val="Normal"/>
    <w:semiHidden/>
    <w:rsid w:val="00E82308"/>
    <w:rPr>
      <w:sz w:val="16"/>
    </w:rPr>
  </w:style>
  <w:style w:type="character" w:styleId="FootnoteReference">
    <w:name w:val="footnote reference"/>
    <w:basedOn w:val="DefaultParagraphFont"/>
    <w:semiHidden/>
    <w:rsid w:val="00E82308"/>
    <w:rPr>
      <w:rFonts w:ascii="Times New Roman" w:hAnsi="Times New Roman"/>
      <w:sz w:val="18"/>
      <w:vertAlign w:val="superscript"/>
    </w:rPr>
  </w:style>
  <w:style w:type="paragraph" w:customStyle="1" w:styleId="cutline">
    <w:name w:val="cutline"/>
    <w:basedOn w:val="Normal"/>
    <w:rsid w:val="00AC4F79"/>
    <w:pPr>
      <w:spacing w:before="40" w:after="160"/>
      <w:jc w:val="center"/>
    </w:pPr>
    <w:rPr>
      <w:rFonts w:ascii="Arial" w:hAnsi="Arial"/>
      <w:sz w:val="18"/>
    </w:rPr>
  </w:style>
  <w:style w:type="paragraph" w:styleId="BalloonText">
    <w:name w:val="Balloon Text"/>
    <w:basedOn w:val="Normal"/>
    <w:semiHidden/>
    <w:rsid w:val="00E74AD8"/>
    <w:rPr>
      <w:rFonts w:ascii="Tahoma" w:hAnsi="Tahoma" w:cs="Tahoma"/>
      <w:sz w:val="16"/>
      <w:szCs w:val="16"/>
    </w:rPr>
  </w:style>
  <w:style w:type="paragraph" w:customStyle="1" w:styleId="NormalwithBullets">
    <w:name w:val="Normal with Bullets"/>
    <w:basedOn w:val="Normal"/>
    <w:link w:val="bulletlevel1Char"/>
    <w:qFormat/>
    <w:rsid w:val="005F458A"/>
    <w:pPr>
      <w:numPr>
        <w:numId w:val="31"/>
      </w:numPr>
    </w:pPr>
  </w:style>
  <w:style w:type="paragraph" w:styleId="BodyText">
    <w:name w:val="Body Text"/>
    <w:basedOn w:val="Normal"/>
    <w:link w:val="BodyTextChar"/>
    <w:rsid w:val="00370479"/>
    <w:pPr>
      <w:spacing w:line="260" w:lineRule="exact"/>
      <w:ind w:left="900"/>
      <w:jc w:val="both"/>
    </w:pPr>
    <w:rPr>
      <w:iCs/>
      <w:sz w:val="21"/>
    </w:rPr>
  </w:style>
  <w:style w:type="character" w:customStyle="1" w:styleId="BodyTextChar">
    <w:name w:val="Body Text Char"/>
    <w:basedOn w:val="DefaultParagraphFont"/>
    <w:link w:val="BodyText"/>
    <w:rsid w:val="00370479"/>
    <w:rPr>
      <w:iCs/>
      <w:sz w:val="21"/>
      <w:szCs w:val="24"/>
    </w:rPr>
  </w:style>
  <w:style w:type="character" w:customStyle="1" w:styleId="bulletlevel1Char">
    <w:name w:val="bullet level 1 Char"/>
    <w:basedOn w:val="BodyTextChar"/>
    <w:link w:val="NormalwithBullets"/>
    <w:rsid w:val="005D1229"/>
    <w:rPr>
      <w:iCs w:val="0"/>
      <w:sz w:val="22"/>
      <w:szCs w:val="24"/>
    </w:rPr>
  </w:style>
  <w:style w:type="paragraph" w:customStyle="1" w:styleId="bulletlevel2">
    <w:name w:val="bullet level 2"/>
    <w:basedOn w:val="Normal"/>
    <w:link w:val="bulletlevel2Char"/>
    <w:rsid w:val="00B33B13"/>
    <w:pPr>
      <w:numPr>
        <w:numId w:val="2"/>
      </w:numPr>
      <w:tabs>
        <w:tab w:val="clear" w:pos="1800"/>
        <w:tab w:val="left" w:pos="864"/>
      </w:tabs>
      <w:ind w:left="864" w:hanging="288"/>
    </w:pPr>
  </w:style>
  <w:style w:type="character" w:customStyle="1" w:styleId="bulletlevel2Char">
    <w:name w:val="bullet level 2 Char"/>
    <w:basedOn w:val="bulletlevel1Char"/>
    <w:link w:val="bulletlevel2"/>
    <w:rsid w:val="00B33B13"/>
    <w:rPr>
      <w:iCs w:val="0"/>
      <w:sz w:val="21"/>
      <w:szCs w:val="24"/>
    </w:rPr>
  </w:style>
  <w:style w:type="paragraph" w:styleId="Header">
    <w:name w:val="header"/>
    <w:basedOn w:val="Normal"/>
    <w:rsid w:val="00E74AD8"/>
    <w:pPr>
      <w:tabs>
        <w:tab w:val="center" w:pos="4320"/>
        <w:tab w:val="right" w:pos="8640"/>
      </w:tabs>
    </w:pPr>
  </w:style>
  <w:style w:type="paragraph" w:styleId="Footer">
    <w:name w:val="footer"/>
    <w:basedOn w:val="Normal"/>
    <w:link w:val="FooterChar"/>
    <w:uiPriority w:val="99"/>
    <w:rsid w:val="00E74AD8"/>
    <w:pPr>
      <w:tabs>
        <w:tab w:val="center" w:pos="4320"/>
        <w:tab w:val="right" w:pos="8640"/>
      </w:tabs>
    </w:pPr>
  </w:style>
  <w:style w:type="character" w:styleId="PageNumber">
    <w:name w:val="page number"/>
    <w:basedOn w:val="DefaultParagraphFont"/>
    <w:rsid w:val="00400806"/>
    <w:rPr>
      <w:rFonts w:ascii="Arial" w:hAnsi="Arial"/>
    </w:rPr>
  </w:style>
  <w:style w:type="paragraph" w:customStyle="1" w:styleId="label">
    <w:name w:val="label"/>
    <w:basedOn w:val="Normal"/>
    <w:rsid w:val="00E74AD8"/>
    <w:pPr>
      <w:jc w:val="center"/>
    </w:pPr>
    <w:rPr>
      <w:rFonts w:ascii="Arial" w:hAnsi="Arial" w:cs="Arial"/>
      <w:sz w:val="20"/>
    </w:rPr>
  </w:style>
  <w:style w:type="table" w:styleId="TableGrid">
    <w:name w:val="Table Grid"/>
    <w:basedOn w:val="TableNormal"/>
    <w:rsid w:val="00497D5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BodyText"/>
    <w:next w:val="Normal"/>
    <w:autoRedefine/>
    <w:uiPriority w:val="39"/>
    <w:rsid w:val="00203190"/>
    <w:pPr>
      <w:tabs>
        <w:tab w:val="left" w:pos="360"/>
        <w:tab w:val="right" w:leader="dot" w:pos="8630"/>
      </w:tabs>
    </w:pPr>
  </w:style>
  <w:style w:type="paragraph" w:styleId="TOC2">
    <w:name w:val="toc 2"/>
    <w:basedOn w:val="BodyText"/>
    <w:next w:val="Normal"/>
    <w:autoRedefine/>
    <w:uiPriority w:val="39"/>
    <w:rsid w:val="00026479"/>
    <w:pPr>
      <w:tabs>
        <w:tab w:val="left" w:pos="720"/>
        <w:tab w:val="right" w:leader="dot" w:pos="8630"/>
      </w:tabs>
      <w:ind w:left="180"/>
    </w:pPr>
  </w:style>
  <w:style w:type="paragraph" w:styleId="TOC4">
    <w:name w:val="toc 4"/>
    <w:basedOn w:val="Normal"/>
    <w:next w:val="Normal"/>
    <w:autoRedefine/>
    <w:rsid w:val="00822895"/>
    <w:pPr>
      <w:tabs>
        <w:tab w:val="right" w:leader="dot" w:pos="8630"/>
      </w:tabs>
      <w:spacing w:line="260" w:lineRule="exact"/>
    </w:pPr>
    <w:rPr>
      <w:noProof/>
      <w:sz w:val="21"/>
    </w:rPr>
  </w:style>
  <w:style w:type="paragraph" w:styleId="NormalWeb">
    <w:name w:val="Normal (Web)"/>
    <w:basedOn w:val="Normal"/>
    <w:rsid w:val="003B59E6"/>
    <w:pPr>
      <w:spacing w:before="100" w:beforeAutospacing="1" w:after="100" w:afterAutospacing="1"/>
    </w:pPr>
  </w:style>
  <w:style w:type="paragraph" w:styleId="TOC3">
    <w:name w:val="toc 3"/>
    <w:basedOn w:val="BodyText"/>
    <w:next w:val="Normal"/>
    <w:autoRedefine/>
    <w:uiPriority w:val="39"/>
    <w:rsid w:val="00B33B13"/>
    <w:pPr>
      <w:tabs>
        <w:tab w:val="right" w:leader="dot" w:pos="8630"/>
      </w:tabs>
      <w:ind w:left="360"/>
    </w:pPr>
  </w:style>
  <w:style w:type="paragraph" w:customStyle="1" w:styleId="tablehead">
    <w:name w:val="table head"/>
    <w:basedOn w:val="BodyText"/>
    <w:rsid w:val="001A131B"/>
    <w:pPr>
      <w:spacing w:before="20" w:after="20" w:line="240" w:lineRule="exact"/>
    </w:pPr>
    <w:rPr>
      <w:rFonts w:ascii="Arial" w:hAnsi="Arial"/>
      <w:b/>
      <w:sz w:val="18"/>
    </w:rPr>
  </w:style>
  <w:style w:type="paragraph" w:customStyle="1" w:styleId="table">
    <w:name w:val="table"/>
    <w:basedOn w:val="BodyText"/>
    <w:rsid w:val="00D055CC"/>
    <w:pPr>
      <w:spacing w:before="20" w:after="20" w:line="240" w:lineRule="exact"/>
    </w:pPr>
    <w:rPr>
      <w:rFonts w:ascii="Arial" w:hAnsi="Arial"/>
      <w:sz w:val="18"/>
    </w:rPr>
  </w:style>
  <w:style w:type="paragraph" w:customStyle="1" w:styleId="Normal1">
    <w:name w:val="Normal1"/>
    <w:basedOn w:val="Normal"/>
    <w:rsid w:val="0015049D"/>
    <w:pPr>
      <w:ind w:left="576"/>
    </w:pPr>
  </w:style>
  <w:style w:type="paragraph" w:customStyle="1" w:styleId="spacer">
    <w:name w:val="spacer"/>
    <w:rsid w:val="00002163"/>
    <w:pPr>
      <w:spacing w:before="7200"/>
    </w:pPr>
    <w:rPr>
      <w:rFonts w:ascii="Arial" w:hAnsi="Arial" w:cs="Arial"/>
      <w:bCs/>
      <w:kern w:val="32"/>
      <w:sz w:val="32"/>
      <w:szCs w:val="32"/>
    </w:rPr>
  </w:style>
  <w:style w:type="paragraph" w:customStyle="1" w:styleId="TOCHead">
    <w:name w:val="TOC Head"/>
    <w:rsid w:val="002F68F1"/>
    <w:pPr>
      <w:spacing w:before="320" w:after="240"/>
    </w:pPr>
    <w:rPr>
      <w:rFonts w:ascii="Arial" w:hAnsi="Arial" w:cs="Arial"/>
      <w:b/>
      <w:bCs/>
      <w:kern w:val="32"/>
      <w:sz w:val="28"/>
      <w:szCs w:val="32"/>
    </w:rPr>
  </w:style>
  <w:style w:type="paragraph" w:customStyle="1" w:styleId="Normal2">
    <w:name w:val="Normal2"/>
    <w:basedOn w:val="Normal"/>
    <w:rsid w:val="00B54C8C"/>
    <w:pPr>
      <w:spacing w:before="60"/>
      <w:ind w:left="1440"/>
    </w:pPr>
  </w:style>
  <w:style w:type="paragraph" w:customStyle="1" w:styleId="Normal3">
    <w:name w:val="Normal3"/>
    <w:basedOn w:val="Normal"/>
    <w:rsid w:val="00C46FB2"/>
    <w:pPr>
      <w:ind w:left="1728"/>
    </w:pPr>
  </w:style>
  <w:style w:type="paragraph" w:customStyle="1" w:styleId="bulletlevel3">
    <w:name w:val="bullet level 3"/>
    <w:basedOn w:val="Normal"/>
    <w:rsid w:val="00B33B13"/>
    <w:pPr>
      <w:numPr>
        <w:ilvl w:val="2"/>
        <w:numId w:val="4"/>
      </w:numPr>
      <w:tabs>
        <w:tab w:val="clear" w:pos="1800"/>
        <w:tab w:val="left" w:pos="1080"/>
      </w:tabs>
      <w:spacing w:line="260" w:lineRule="exact"/>
      <w:ind w:left="1440" w:hanging="360"/>
    </w:pPr>
    <w:rPr>
      <w:sz w:val="21"/>
      <w:szCs w:val="21"/>
    </w:rPr>
  </w:style>
  <w:style w:type="paragraph" w:customStyle="1" w:styleId="number">
    <w:name w:val="number"/>
    <w:basedOn w:val="BodyText"/>
    <w:link w:val="numberChar"/>
    <w:rsid w:val="00026313"/>
    <w:pPr>
      <w:numPr>
        <w:ilvl w:val="3"/>
        <w:numId w:val="5"/>
      </w:numPr>
      <w:tabs>
        <w:tab w:val="clear" w:pos="4032"/>
        <w:tab w:val="left" w:pos="648"/>
      </w:tabs>
      <w:ind w:left="648" w:hanging="288"/>
    </w:pPr>
  </w:style>
  <w:style w:type="character" w:customStyle="1" w:styleId="numberChar">
    <w:name w:val="number Char"/>
    <w:basedOn w:val="BodyTextChar"/>
    <w:link w:val="number"/>
    <w:rsid w:val="00026313"/>
    <w:rPr>
      <w:iCs/>
      <w:sz w:val="21"/>
      <w:szCs w:val="24"/>
    </w:rPr>
  </w:style>
  <w:style w:type="character" w:styleId="FollowedHyperlink">
    <w:name w:val="FollowedHyperlink"/>
    <w:basedOn w:val="DefaultParagraphFont"/>
    <w:rsid w:val="00D700FA"/>
    <w:rPr>
      <w:color w:val="800080"/>
      <w:u w:val="single"/>
    </w:rPr>
  </w:style>
  <w:style w:type="paragraph" w:customStyle="1" w:styleId="body2">
    <w:name w:val="body2"/>
    <w:basedOn w:val="BodyText"/>
    <w:link w:val="body2Char"/>
    <w:rsid w:val="001349CB"/>
    <w:pPr>
      <w:ind w:left="1260"/>
    </w:pPr>
  </w:style>
  <w:style w:type="character" w:customStyle="1" w:styleId="body2Char">
    <w:name w:val="body2 Char"/>
    <w:basedOn w:val="BodyTextChar"/>
    <w:link w:val="body2"/>
    <w:rsid w:val="001349CB"/>
    <w:rPr>
      <w:iCs/>
      <w:sz w:val="21"/>
      <w:szCs w:val="24"/>
    </w:rPr>
  </w:style>
  <w:style w:type="paragraph" w:customStyle="1" w:styleId="bullet2level1">
    <w:name w:val="bullet2 level1"/>
    <w:basedOn w:val="Normal"/>
    <w:rsid w:val="001349CB"/>
    <w:pPr>
      <w:tabs>
        <w:tab w:val="left" w:pos="1620"/>
      </w:tabs>
      <w:ind w:left="1620"/>
    </w:pPr>
  </w:style>
  <w:style w:type="paragraph" w:customStyle="1" w:styleId="body3">
    <w:name w:val="body3"/>
    <w:basedOn w:val="body2"/>
    <w:rsid w:val="001349CB"/>
    <w:pPr>
      <w:ind w:left="1980"/>
    </w:pPr>
  </w:style>
  <w:style w:type="character" w:customStyle="1" w:styleId="number3Char">
    <w:name w:val="number 3 Char"/>
    <w:basedOn w:val="BodyTextChar"/>
    <w:link w:val="number3"/>
    <w:rsid w:val="004822CF"/>
    <w:rPr>
      <w:iCs/>
      <w:sz w:val="21"/>
      <w:szCs w:val="24"/>
    </w:rPr>
  </w:style>
  <w:style w:type="paragraph" w:customStyle="1" w:styleId="number3">
    <w:name w:val="number 3"/>
    <w:basedOn w:val="BodyText"/>
    <w:link w:val="number3Char"/>
    <w:rsid w:val="004822CF"/>
    <w:pPr>
      <w:ind w:left="1980" w:hanging="360"/>
    </w:pPr>
  </w:style>
  <w:style w:type="paragraph" w:customStyle="1" w:styleId="number1">
    <w:name w:val="number 1"/>
    <w:basedOn w:val="BodyText"/>
    <w:rsid w:val="00D85443"/>
    <w:pPr>
      <w:ind w:left="1440" w:hanging="360"/>
    </w:pPr>
  </w:style>
  <w:style w:type="paragraph" w:customStyle="1" w:styleId="number2">
    <w:name w:val="number 2"/>
    <w:basedOn w:val="BodyText"/>
    <w:link w:val="number2Char"/>
    <w:rsid w:val="009D2CFE"/>
    <w:pPr>
      <w:ind w:left="1800" w:hanging="360"/>
    </w:pPr>
  </w:style>
  <w:style w:type="character" w:customStyle="1" w:styleId="number2Char">
    <w:name w:val="number 2 Char"/>
    <w:basedOn w:val="BodyTextChar"/>
    <w:link w:val="number2"/>
    <w:rsid w:val="009D2CFE"/>
    <w:rPr>
      <w:iCs/>
      <w:sz w:val="21"/>
      <w:szCs w:val="24"/>
    </w:rPr>
  </w:style>
  <w:style w:type="paragraph" w:customStyle="1" w:styleId="bullet3level1">
    <w:name w:val="bullet3 level1"/>
    <w:basedOn w:val="bullet2level1"/>
    <w:rsid w:val="00B97DAF"/>
    <w:pPr>
      <w:tabs>
        <w:tab w:val="left" w:pos="2160"/>
      </w:tabs>
      <w:ind w:left="2160" w:hanging="180"/>
    </w:pPr>
  </w:style>
  <w:style w:type="paragraph" w:customStyle="1" w:styleId="Style1">
    <w:name w:val="Style1"/>
    <w:basedOn w:val="Normal"/>
    <w:rsid w:val="004C31F6"/>
    <w:pPr>
      <w:spacing w:beforeLines="40" w:afterLines="40"/>
      <w:jc w:val="center"/>
    </w:pPr>
    <w:rPr>
      <w:rFonts w:ascii="Wingdings 2" w:hAnsi="Wingdings 2"/>
    </w:rPr>
  </w:style>
  <w:style w:type="paragraph" w:customStyle="1" w:styleId="box">
    <w:name w:val="box"/>
    <w:basedOn w:val="Normal"/>
    <w:rsid w:val="004C31F6"/>
    <w:pPr>
      <w:spacing w:beforeLines="40" w:afterLines="40"/>
      <w:jc w:val="center"/>
    </w:pPr>
    <w:rPr>
      <w:rFonts w:ascii="Wingdings 2" w:hAnsi="Wingdings 2"/>
    </w:rPr>
  </w:style>
  <w:style w:type="paragraph" w:customStyle="1" w:styleId="Level4">
    <w:name w:val="Level 4"/>
    <w:basedOn w:val="Heading3"/>
    <w:rsid w:val="00B423D5"/>
    <w:pPr>
      <w:numPr>
        <w:ilvl w:val="0"/>
        <w:numId w:val="0"/>
      </w:numPr>
    </w:pPr>
    <w:rPr>
      <w:smallCaps/>
      <w:sz w:val="19"/>
      <w:szCs w:val="19"/>
    </w:rPr>
  </w:style>
  <w:style w:type="paragraph" w:customStyle="1" w:styleId="Level2">
    <w:name w:val="Level 2"/>
    <w:basedOn w:val="Heading2"/>
    <w:link w:val="Level2Char"/>
    <w:rsid w:val="00B423D5"/>
    <w:pPr>
      <w:numPr>
        <w:ilvl w:val="0"/>
        <w:numId w:val="0"/>
      </w:numPr>
    </w:pPr>
  </w:style>
  <w:style w:type="character" w:customStyle="1" w:styleId="Level2Char">
    <w:name w:val="Level 2 Char"/>
    <w:basedOn w:val="Heading2Char"/>
    <w:link w:val="Level2"/>
    <w:rsid w:val="00B423D5"/>
    <w:rPr>
      <w:rFonts w:ascii="Arial" w:hAnsi="Arial" w:cs="Arial"/>
      <w:b/>
      <w:bCs/>
      <w:iCs/>
      <w:sz w:val="22"/>
      <w:szCs w:val="28"/>
      <w:lang w:val="en-US" w:eastAsia="en-US" w:bidi="ar-SA"/>
    </w:rPr>
  </w:style>
  <w:style w:type="paragraph" w:customStyle="1" w:styleId="Table0">
    <w:name w:val="Table"/>
    <w:basedOn w:val="BodyText"/>
    <w:rsid w:val="00031636"/>
    <w:pPr>
      <w:spacing w:before="60" w:after="0" w:line="240" w:lineRule="auto"/>
    </w:pPr>
    <w:rPr>
      <w:rFonts w:ascii="Arial" w:hAnsi="Arial"/>
      <w:sz w:val="24"/>
    </w:rPr>
  </w:style>
  <w:style w:type="paragraph" w:customStyle="1" w:styleId="TableHeading">
    <w:name w:val="Table Heading"/>
    <w:basedOn w:val="BodyText"/>
    <w:next w:val="Table0"/>
    <w:rsid w:val="00031636"/>
    <w:pPr>
      <w:spacing w:before="60" w:after="0" w:line="240" w:lineRule="auto"/>
      <w:jc w:val="center"/>
    </w:pPr>
    <w:rPr>
      <w:rFonts w:ascii="Arial" w:hAnsi="Arial"/>
      <w:b/>
      <w:sz w:val="24"/>
    </w:rPr>
  </w:style>
  <w:style w:type="character" w:styleId="CommentReference">
    <w:name w:val="annotation reference"/>
    <w:basedOn w:val="DefaultParagraphFont"/>
    <w:semiHidden/>
    <w:rsid w:val="00847C44"/>
    <w:rPr>
      <w:sz w:val="16"/>
    </w:rPr>
  </w:style>
  <w:style w:type="paragraph" w:styleId="CommentText">
    <w:name w:val="annotation text"/>
    <w:basedOn w:val="Normal"/>
    <w:rsid w:val="00BB555A"/>
    <w:pPr>
      <w:widowControl w:val="0"/>
      <w:spacing w:line="240" w:lineRule="atLeast"/>
    </w:pPr>
    <w:rPr>
      <w:rFonts w:ascii="Arial" w:hAnsi="Arial"/>
      <w:sz w:val="16"/>
    </w:rPr>
  </w:style>
  <w:style w:type="paragraph" w:styleId="CommentSubject">
    <w:name w:val="annotation subject"/>
    <w:basedOn w:val="CommentText"/>
    <w:next w:val="CommentText"/>
    <w:semiHidden/>
    <w:rsid w:val="00B8748E"/>
    <w:pPr>
      <w:widowControl/>
      <w:spacing w:line="240" w:lineRule="auto"/>
    </w:pPr>
    <w:rPr>
      <w:b/>
      <w:bCs/>
    </w:rPr>
  </w:style>
  <w:style w:type="character" w:customStyle="1" w:styleId="Style">
    <w:name w:val="Style"/>
    <w:basedOn w:val="CommentReference"/>
    <w:rsid w:val="00B8748E"/>
    <w:rPr>
      <w:rFonts w:ascii="Arial" w:hAnsi="Arial"/>
      <w:sz w:val="18"/>
    </w:rPr>
  </w:style>
  <w:style w:type="paragraph" w:customStyle="1" w:styleId="instruction">
    <w:name w:val="instruction"/>
    <w:basedOn w:val="BodyText"/>
    <w:rsid w:val="00471667"/>
    <w:pPr>
      <w:pBdr>
        <w:top w:val="dashSmallGap" w:sz="4" w:space="1" w:color="auto"/>
        <w:left w:val="dashSmallGap" w:sz="4" w:space="4" w:color="auto"/>
        <w:bottom w:val="dashSmallGap" w:sz="4" w:space="1" w:color="auto"/>
        <w:right w:val="dashSmallGap" w:sz="4" w:space="4" w:color="auto"/>
      </w:pBdr>
      <w:shd w:val="clear" w:color="auto" w:fill="FFFF99"/>
    </w:pPr>
    <w:rPr>
      <w:rFonts w:ascii="Arial" w:hAnsi="Arial"/>
      <w:sz w:val="16"/>
    </w:rPr>
  </w:style>
  <w:style w:type="paragraph" w:customStyle="1" w:styleId="body4">
    <w:name w:val="body4"/>
    <w:basedOn w:val="body3"/>
    <w:rsid w:val="001349CB"/>
    <w:pPr>
      <w:ind w:left="2700"/>
    </w:pPr>
  </w:style>
  <w:style w:type="paragraph" w:customStyle="1" w:styleId="bullet4level1">
    <w:name w:val="bullet4 level1"/>
    <w:basedOn w:val="bullet3level1"/>
    <w:rsid w:val="001349CB"/>
    <w:pPr>
      <w:tabs>
        <w:tab w:val="clear" w:pos="1620"/>
        <w:tab w:val="clear" w:pos="2160"/>
        <w:tab w:val="left" w:pos="3060"/>
      </w:tabs>
      <w:ind w:left="3060"/>
    </w:pPr>
  </w:style>
  <w:style w:type="paragraph" w:styleId="EndnoteText">
    <w:name w:val="endnote text"/>
    <w:basedOn w:val="Normal"/>
    <w:semiHidden/>
    <w:rsid w:val="00FF3C6F"/>
    <w:rPr>
      <w:sz w:val="20"/>
    </w:rPr>
  </w:style>
  <w:style w:type="character" w:styleId="EndnoteReference">
    <w:name w:val="endnote reference"/>
    <w:basedOn w:val="DefaultParagraphFont"/>
    <w:semiHidden/>
    <w:rsid w:val="00FF3C6F"/>
    <w:rPr>
      <w:vertAlign w:val="superscript"/>
    </w:rPr>
  </w:style>
  <w:style w:type="paragraph" w:customStyle="1" w:styleId="bullet4level2">
    <w:name w:val="bullet4 level2"/>
    <w:basedOn w:val="bullet4level1"/>
    <w:rsid w:val="00B75C8F"/>
    <w:pPr>
      <w:numPr>
        <w:numId w:val="7"/>
      </w:numPr>
      <w:tabs>
        <w:tab w:val="clear" w:pos="720"/>
        <w:tab w:val="left" w:pos="2880"/>
      </w:tabs>
      <w:ind w:left="2880"/>
    </w:pPr>
  </w:style>
  <w:style w:type="paragraph" w:customStyle="1" w:styleId="Title1">
    <w:name w:val="Title1"/>
    <w:rsid w:val="00612D8C"/>
    <w:pPr>
      <w:spacing w:before="120" w:after="240"/>
    </w:pPr>
    <w:rPr>
      <w:rFonts w:ascii="Arial" w:hAnsi="Arial" w:cs="Arial"/>
      <w:b/>
      <w:bCs/>
      <w:iCs/>
      <w:szCs w:val="28"/>
    </w:rPr>
  </w:style>
  <w:style w:type="table" w:styleId="TableGrid1">
    <w:name w:val="Table Grid 1"/>
    <w:basedOn w:val="TableNormal"/>
    <w:rsid w:val="00A51B17"/>
    <w:pPr>
      <w:spacing w:before="40" w:after="40"/>
    </w:pPr>
    <w:rPr>
      <w:rFonts w:ascii="Arial Black" w:hAnsi="Arial Black"/>
      <w:color w:val="FFFFFF"/>
      <w:sz w:val="18"/>
    </w:rPr>
    <w:tblPr>
      <w:tblInd w:w="0" w:type="dxa"/>
      <w:tblCellMar>
        <w:top w:w="0" w:type="dxa"/>
        <w:left w:w="108" w:type="dxa"/>
        <w:bottom w:w="0" w:type="dxa"/>
        <w:right w:w="108" w:type="dxa"/>
      </w:tblCellMar>
    </w:tblPr>
    <w:tcPr>
      <w:shd w:val="clear" w:color="auto" w:fill="404040"/>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BodyText3">
    <w:name w:val="Body Text 3"/>
    <w:basedOn w:val="Normal"/>
    <w:rsid w:val="00A31E42"/>
    <w:rPr>
      <w:sz w:val="16"/>
      <w:szCs w:val="16"/>
    </w:rPr>
  </w:style>
  <w:style w:type="paragraph" w:styleId="BodyText2">
    <w:name w:val="Body Text 2"/>
    <w:basedOn w:val="Normal"/>
    <w:rsid w:val="00BB34AF"/>
    <w:pPr>
      <w:spacing w:line="480" w:lineRule="auto"/>
    </w:pPr>
  </w:style>
  <w:style w:type="paragraph" w:customStyle="1" w:styleId="sr-i">
    <w:name w:val="sr-(i)"/>
    <w:basedOn w:val="Normal"/>
    <w:rsid w:val="004B374C"/>
    <w:pPr>
      <w:tabs>
        <w:tab w:val="left" w:pos="2250"/>
      </w:tabs>
      <w:overflowPunct w:val="0"/>
      <w:autoSpaceDE w:val="0"/>
      <w:autoSpaceDN w:val="0"/>
      <w:adjustRightInd w:val="0"/>
      <w:spacing w:line="240" w:lineRule="exact"/>
      <w:ind w:left="2250" w:hanging="540"/>
      <w:jc w:val="both"/>
      <w:textAlignment w:val="baseline"/>
    </w:pPr>
    <w:rPr>
      <w:sz w:val="20"/>
    </w:rPr>
  </w:style>
  <w:style w:type="paragraph" w:customStyle="1" w:styleId="Char2">
    <w:name w:val="Char2"/>
    <w:basedOn w:val="Normal"/>
    <w:rsid w:val="001B7841"/>
    <w:pPr>
      <w:spacing w:after="160" w:line="240" w:lineRule="exact"/>
    </w:pPr>
    <w:rPr>
      <w:rFonts w:ascii="Verdana" w:hAnsi="Verdana"/>
      <w:sz w:val="16"/>
    </w:rPr>
  </w:style>
  <w:style w:type="paragraph" w:customStyle="1" w:styleId="Normal9pt">
    <w:name w:val="Normal + 9 pt"/>
    <w:aliases w:val="Red,Centered"/>
    <w:basedOn w:val="body2"/>
    <w:rsid w:val="00645BFC"/>
    <w:pPr>
      <w:ind w:left="0"/>
    </w:pPr>
    <w:rPr>
      <w:color w:val="FF0000"/>
    </w:rPr>
  </w:style>
  <w:style w:type="paragraph" w:customStyle="1" w:styleId="Char">
    <w:name w:val="Char"/>
    <w:basedOn w:val="Normal"/>
    <w:rsid w:val="002E3309"/>
    <w:pPr>
      <w:spacing w:after="160" w:line="240" w:lineRule="exact"/>
    </w:pPr>
    <w:rPr>
      <w:rFonts w:ascii="Verdana" w:hAnsi="Verdana"/>
      <w:sz w:val="16"/>
    </w:rPr>
  </w:style>
  <w:style w:type="paragraph" w:customStyle="1" w:styleId="Char3">
    <w:name w:val="Char3"/>
    <w:basedOn w:val="Normal"/>
    <w:rsid w:val="00567F3C"/>
    <w:pPr>
      <w:spacing w:after="160" w:line="240" w:lineRule="exact"/>
    </w:pPr>
    <w:rPr>
      <w:rFonts w:ascii="Verdana" w:hAnsi="Verdana"/>
      <w:sz w:val="16"/>
    </w:rPr>
  </w:style>
  <w:style w:type="character" w:customStyle="1" w:styleId="FooterChar">
    <w:name w:val="Footer Char"/>
    <w:basedOn w:val="DefaultParagraphFont"/>
    <w:link w:val="Footer"/>
    <w:uiPriority w:val="99"/>
    <w:rsid w:val="008379A6"/>
    <w:rPr>
      <w:sz w:val="24"/>
      <w:szCs w:val="24"/>
    </w:rPr>
  </w:style>
  <w:style w:type="paragraph" w:styleId="ListParagraph">
    <w:name w:val="List Paragraph"/>
    <w:basedOn w:val="Normal"/>
    <w:uiPriority w:val="34"/>
    <w:qFormat/>
    <w:rsid w:val="00AF28EA"/>
    <w:pPr>
      <w:contextualSpacing/>
    </w:pPr>
  </w:style>
  <w:style w:type="paragraph" w:customStyle="1" w:styleId="Default">
    <w:name w:val="Default"/>
    <w:rsid w:val="00D22150"/>
    <w:pPr>
      <w:autoSpaceDE w:val="0"/>
      <w:autoSpaceDN w:val="0"/>
      <w:adjustRightInd w:val="0"/>
    </w:pPr>
    <w:rPr>
      <w:rFonts w:ascii="Calibri" w:hAnsi="Calibri" w:cs="Calibri"/>
      <w:color w:val="000000"/>
      <w:sz w:val="24"/>
      <w:szCs w:val="24"/>
    </w:rPr>
  </w:style>
  <w:style w:type="paragraph" w:styleId="Revision">
    <w:name w:val="Revision"/>
    <w:hidden/>
    <w:uiPriority w:val="99"/>
    <w:semiHidden/>
    <w:rsid w:val="0034436B"/>
    <w:rPr>
      <w:sz w:val="24"/>
      <w:szCs w:val="24"/>
    </w:rPr>
  </w:style>
  <w:style w:type="paragraph" w:customStyle="1" w:styleId="NormalCenter">
    <w:name w:val="Normal Center"/>
    <w:basedOn w:val="Normal"/>
    <w:qFormat/>
    <w:rsid w:val="005F458A"/>
    <w:pPr>
      <w:jc w:val="center"/>
    </w:pPr>
  </w:style>
  <w:style w:type="paragraph" w:customStyle="1" w:styleId="NormalwithEmphasis">
    <w:name w:val="Normal with Emphasis"/>
    <w:basedOn w:val="Normal"/>
    <w:rsid w:val="00EA6045"/>
    <w:pPr>
      <w:ind w:left="1008"/>
    </w:pPr>
    <w:rPr>
      <w:b/>
      <w:bCs/>
    </w:rPr>
  </w:style>
  <w:style w:type="paragraph" w:customStyle="1" w:styleId="NormalinTable">
    <w:name w:val="Normal in Table"/>
    <w:basedOn w:val="Normal"/>
    <w:qFormat/>
    <w:rsid w:val="00E56CB9"/>
    <w:pPr>
      <w:framePr w:wrap="notBeside" w:vAnchor="text" w:hAnchor="text" w:y="1"/>
      <w:spacing w:after="0" w:line="240" w:lineRule="auto"/>
      <w:ind w:left="0"/>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657877">
      <w:bodyDiv w:val="1"/>
      <w:marLeft w:val="0"/>
      <w:marRight w:val="0"/>
      <w:marTop w:val="0"/>
      <w:marBottom w:val="0"/>
      <w:divBdr>
        <w:top w:val="none" w:sz="0" w:space="0" w:color="auto"/>
        <w:left w:val="none" w:sz="0" w:space="0" w:color="auto"/>
        <w:bottom w:val="none" w:sz="0" w:space="0" w:color="auto"/>
        <w:right w:val="none" w:sz="0" w:space="0" w:color="auto"/>
      </w:divBdr>
    </w:div>
    <w:div w:id="136604351">
      <w:bodyDiv w:val="1"/>
      <w:marLeft w:val="0"/>
      <w:marRight w:val="0"/>
      <w:marTop w:val="0"/>
      <w:marBottom w:val="0"/>
      <w:divBdr>
        <w:top w:val="none" w:sz="0" w:space="0" w:color="auto"/>
        <w:left w:val="none" w:sz="0" w:space="0" w:color="auto"/>
        <w:bottom w:val="none" w:sz="0" w:space="0" w:color="auto"/>
        <w:right w:val="none" w:sz="0" w:space="0" w:color="auto"/>
      </w:divBdr>
    </w:div>
    <w:div w:id="408579197">
      <w:bodyDiv w:val="1"/>
      <w:marLeft w:val="0"/>
      <w:marRight w:val="0"/>
      <w:marTop w:val="0"/>
      <w:marBottom w:val="0"/>
      <w:divBdr>
        <w:top w:val="none" w:sz="0" w:space="0" w:color="auto"/>
        <w:left w:val="none" w:sz="0" w:space="0" w:color="auto"/>
        <w:bottom w:val="none" w:sz="0" w:space="0" w:color="auto"/>
        <w:right w:val="none" w:sz="0" w:space="0" w:color="auto"/>
      </w:divBdr>
      <w:divsChild>
        <w:div w:id="1245528803">
          <w:marLeft w:val="605"/>
          <w:marRight w:val="0"/>
          <w:marTop w:val="240"/>
          <w:marBottom w:val="0"/>
          <w:divBdr>
            <w:top w:val="none" w:sz="0" w:space="0" w:color="auto"/>
            <w:left w:val="none" w:sz="0" w:space="0" w:color="auto"/>
            <w:bottom w:val="none" w:sz="0" w:space="0" w:color="auto"/>
            <w:right w:val="none" w:sz="0" w:space="0" w:color="auto"/>
          </w:divBdr>
        </w:div>
        <w:div w:id="1381711342">
          <w:marLeft w:val="605"/>
          <w:marRight w:val="0"/>
          <w:marTop w:val="240"/>
          <w:marBottom w:val="0"/>
          <w:divBdr>
            <w:top w:val="none" w:sz="0" w:space="0" w:color="auto"/>
            <w:left w:val="none" w:sz="0" w:space="0" w:color="auto"/>
            <w:bottom w:val="none" w:sz="0" w:space="0" w:color="auto"/>
            <w:right w:val="none" w:sz="0" w:space="0" w:color="auto"/>
          </w:divBdr>
        </w:div>
        <w:div w:id="400565879">
          <w:marLeft w:val="605"/>
          <w:marRight w:val="0"/>
          <w:marTop w:val="240"/>
          <w:marBottom w:val="0"/>
          <w:divBdr>
            <w:top w:val="none" w:sz="0" w:space="0" w:color="auto"/>
            <w:left w:val="none" w:sz="0" w:space="0" w:color="auto"/>
            <w:bottom w:val="none" w:sz="0" w:space="0" w:color="auto"/>
            <w:right w:val="none" w:sz="0" w:space="0" w:color="auto"/>
          </w:divBdr>
        </w:div>
        <w:div w:id="1745100438">
          <w:marLeft w:val="605"/>
          <w:marRight w:val="0"/>
          <w:marTop w:val="240"/>
          <w:marBottom w:val="0"/>
          <w:divBdr>
            <w:top w:val="none" w:sz="0" w:space="0" w:color="auto"/>
            <w:left w:val="none" w:sz="0" w:space="0" w:color="auto"/>
            <w:bottom w:val="none" w:sz="0" w:space="0" w:color="auto"/>
            <w:right w:val="none" w:sz="0" w:space="0" w:color="auto"/>
          </w:divBdr>
        </w:div>
        <w:div w:id="134762115">
          <w:marLeft w:val="605"/>
          <w:marRight w:val="0"/>
          <w:marTop w:val="240"/>
          <w:marBottom w:val="0"/>
          <w:divBdr>
            <w:top w:val="none" w:sz="0" w:space="0" w:color="auto"/>
            <w:left w:val="none" w:sz="0" w:space="0" w:color="auto"/>
            <w:bottom w:val="none" w:sz="0" w:space="0" w:color="auto"/>
            <w:right w:val="none" w:sz="0" w:space="0" w:color="auto"/>
          </w:divBdr>
        </w:div>
      </w:divsChild>
    </w:div>
    <w:div w:id="439641155">
      <w:bodyDiv w:val="1"/>
      <w:marLeft w:val="0"/>
      <w:marRight w:val="0"/>
      <w:marTop w:val="0"/>
      <w:marBottom w:val="0"/>
      <w:divBdr>
        <w:top w:val="none" w:sz="0" w:space="0" w:color="auto"/>
        <w:left w:val="none" w:sz="0" w:space="0" w:color="auto"/>
        <w:bottom w:val="none" w:sz="0" w:space="0" w:color="auto"/>
        <w:right w:val="none" w:sz="0" w:space="0" w:color="auto"/>
      </w:divBdr>
      <w:divsChild>
        <w:div w:id="1160190323">
          <w:marLeft w:val="605"/>
          <w:marRight w:val="0"/>
          <w:marTop w:val="240"/>
          <w:marBottom w:val="0"/>
          <w:divBdr>
            <w:top w:val="none" w:sz="0" w:space="0" w:color="auto"/>
            <w:left w:val="none" w:sz="0" w:space="0" w:color="auto"/>
            <w:bottom w:val="none" w:sz="0" w:space="0" w:color="auto"/>
            <w:right w:val="none" w:sz="0" w:space="0" w:color="auto"/>
          </w:divBdr>
        </w:div>
        <w:div w:id="814954077">
          <w:marLeft w:val="605"/>
          <w:marRight w:val="0"/>
          <w:marTop w:val="240"/>
          <w:marBottom w:val="0"/>
          <w:divBdr>
            <w:top w:val="none" w:sz="0" w:space="0" w:color="auto"/>
            <w:left w:val="none" w:sz="0" w:space="0" w:color="auto"/>
            <w:bottom w:val="none" w:sz="0" w:space="0" w:color="auto"/>
            <w:right w:val="none" w:sz="0" w:space="0" w:color="auto"/>
          </w:divBdr>
        </w:div>
        <w:div w:id="1765607673">
          <w:marLeft w:val="605"/>
          <w:marRight w:val="0"/>
          <w:marTop w:val="240"/>
          <w:marBottom w:val="0"/>
          <w:divBdr>
            <w:top w:val="none" w:sz="0" w:space="0" w:color="auto"/>
            <w:left w:val="none" w:sz="0" w:space="0" w:color="auto"/>
            <w:bottom w:val="none" w:sz="0" w:space="0" w:color="auto"/>
            <w:right w:val="none" w:sz="0" w:space="0" w:color="auto"/>
          </w:divBdr>
        </w:div>
        <w:div w:id="392970675">
          <w:marLeft w:val="605"/>
          <w:marRight w:val="0"/>
          <w:marTop w:val="240"/>
          <w:marBottom w:val="0"/>
          <w:divBdr>
            <w:top w:val="none" w:sz="0" w:space="0" w:color="auto"/>
            <w:left w:val="none" w:sz="0" w:space="0" w:color="auto"/>
            <w:bottom w:val="none" w:sz="0" w:space="0" w:color="auto"/>
            <w:right w:val="none" w:sz="0" w:space="0" w:color="auto"/>
          </w:divBdr>
        </w:div>
        <w:div w:id="1870876367">
          <w:marLeft w:val="605"/>
          <w:marRight w:val="0"/>
          <w:marTop w:val="240"/>
          <w:marBottom w:val="0"/>
          <w:divBdr>
            <w:top w:val="none" w:sz="0" w:space="0" w:color="auto"/>
            <w:left w:val="none" w:sz="0" w:space="0" w:color="auto"/>
            <w:bottom w:val="none" w:sz="0" w:space="0" w:color="auto"/>
            <w:right w:val="none" w:sz="0" w:space="0" w:color="auto"/>
          </w:divBdr>
        </w:div>
        <w:div w:id="68113261">
          <w:marLeft w:val="605"/>
          <w:marRight w:val="0"/>
          <w:marTop w:val="240"/>
          <w:marBottom w:val="0"/>
          <w:divBdr>
            <w:top w:val="none" w:sz="0" w:space="0" w:color="auto"/>
            <w:left w:val="none" w:sz="0" w:space="0" w:color="auto"/>
            <w:bottom w:val="none" w:sz="0" w:space="0" w:color="auto"/>
            <w:right w:val="none" w:sz="0" w:space="0" w:color="auto"/>
          </w:divBdr>
        </w:div>
      </w:divsChild>
    </w:div>
    <w:div w:id="582568459">
      <w:bodyDiv w:val="1"/>
      <w:marLeft w:val="0"/>
      <w:marRight w:val="0"/>
      <w:marTop w:val="0"/>
      <w:marBottom w:val="0"/>
      <w:divBdr>
        <w:top w:val="none" w:sz="0" w:space="0" w:color="auto"/>
        <w:left w:val="none" w:sz="0" w:space="0" w:color="auto"/>
        <w:bottom w:val="none" w:sz="0" w:space="0" w:color="auto"/>
        <w:right w:val="none" w:sz="0" w:space="0" w:color="auto"/>
      </w:divBdr>
      <w:divsChild>
        <w:div w:id="2023387112">
          <w:marLeft w:val="605"/>
          <w:marRight w:val="0"/>
          <w:marTop w:val="240"/>
          <w:marBottom w:val="0"/>
          <w:divBdr>
            <w:top w:val="none" w:sz="0" w:space="0" w:color="auto"/>
            <w:left w:val="none" w:sz="0" w:space="0" w:color="auto"/>
            <w:bottom w:val="none" w:sz="0" w:space="0" w:color="auto"/>
            <w:right w:val="none" w:sz="0" w:space="0" w:color="auto"/>
          </w:divBdr>
        </w:div>
        <w:div w:id="2090807137">
          <w:marLeft w:val="605"/>
          <w:marRight w:val="0"/>
          <w:marTop w:val="240"/>
          <w:marBottom w:val="0"/>
          <w:divBdr>
            <w:top w:val="none" w:sz="0" w:space="0" w:color="auto"/>
            <w:left w:val="none" w:sz="0" w:space="0" w:color="auto"/>
            <w:bottom w:val="none" w:sz="0" w:space="0" w:color="auto"/>
            <w:right w:val="none" w:sz="0" w:space="0" w:color="auto"/>
          </w:divBdr>
        </w:div>
        <w:div w:id="1838617739">
          <w:marLeft w:val="605"/>
          <w:marRight w:val="0"/>
          <w:marTop w:val="240"/>
          <w:marBottom w:val="0"/>
          <w:divBdr>
            <w:top w:val="none" w:sz="0" w:space="0" w:color="auto"/>
            <w:left w:val="none" w:sz="0" w:space="0" w:color="auto"/>
            <w:bottom w:val="none" w:sz="0" w:space="0" w:color="auto"/>
            <w:right w:val="none" w:sz="0" w:space="0" w:color="auto"/>
          </w:divBdr>
        </w:div>
        <w:div w:id="1933933999">
          <w:marLeft w:val="605"/>
          <w:marRight w:val="0"/>
          <w:marTop w:val="240"/>
          <w:marBottom w:val="0"/>
          <w:divBdr>
            <w:top w:val="none" w:sz="0" w:space="0" w:color="auto"/>
            <w:left w:val="none" w:sz="0" w:space="0" w:color="auto"/>
            <w:bottom w:val="none" w:sz="0" w:space="0" w:color="auto"/>
            <w:right w:val="none" w:sz="0" w:space="0" w:color="auto"/>
          </w:divBdr>
        </w:div>
        <w:div w:id="1103261194">
          <w:marLeft w:val="605"/>
          <w:marRight w:val="0"/>
          <w:marTop w:val="240"/>
          <w:marBottom w:val="0"/>
          <w:divBdr>
            <w:top w:val="none" w:sz="0" w:space="0" w:color="auto"/>
            <w:left w:val="none" w:sz="0" w:space="0" w:color="auto"/>
            <w:bottom w:val="none" w:sz="0" w:space="0" w:color="auto"/>
            <w:right w:val="none" w:sz="0" w:space="0" w:color="auto"/>
          </w:divBdr>
        </w:div>
        <w:div w:id="1077171487">
          <w:marLeft w:val="605"/>
          <w:marRight w:val="0"/>
          <w:marTop w:val="240"/>
          <w:marBottom w:val="0"/>
          <w:divBdr>
            <w:top w:val="none" w:sz="0" w:space="0" w:color="auto"/>
            <w:left w:val="none" w:sz="0" w:space="0" w:color="auto"/>
            <w:bottom w:val="none" w:sz="0" w:space="0" w:color="auto"/>
            <w:right w:val="none" w:sz="0" w:space="0" w:color="auto"/>
          </w:divBdr>
        </w:div>
        <w:div w:id="943807328">
          <w:marLeft w:val="605"/>
          <w:marRight w:val="0"/>
          <w:marTop w:val="240"/>
          <w:marBottom w:val="0"/>
          <w:divBdr>
            <w:top w:val="none" w:sz="0" w:space="0" w:color="auto"/>
            <w:left w:val="none" w:sz="0" w:space="0" w:color="auto"/>
            <w:bottom w:val="none" w:sz="0" w:space="0" w:color="auto"/>
            <w:right w:val="none" w:sz="0" w:space="0" w:color="auto"/>
          </w:divBdr>
        </w:div>
      </w:divsChild>
    </w:div>
    <w:div w:id="1071855538">
      <w:bodyDiv w:val="1"/>
      <w:marLeft w:val="0"/>
      <w:marRight w:val="0"/>
      <w:marTop w:val="0"/>
      <w:marBottom w:val="0"/>
      <w:divBdr>
        <w:top w:val="none" w:sz="0" w:space="0" w:color="auto"/>
        <w:left w:val="none" w:sz="0" w:space="0" w:color="auto"/>
        <w:bottom w:val="none" w:sz="0" w:space="0" w:color="auto"/>
        <w:right w:val="none" w:sz="0" w:space="0" w:color="auto"/>
      </w:divBdr>
    </w:div>
    <w:div w:id="1296371471">
      <w:bodyDiv w:val="1"/>
      <w:marLeft w:val="0"/>
      <w:marRight w:val="0"/>
      <w:marTop w:val="0"/>
      <w:marBottom w:val="0"/>
      <w:divBdr>
        <w:top w:val="none" w:sz="0" w:space="0" w:color="auto"/>
        <w:left w:val="none" w:sz="0" w:space="0" w:color="auto"/>
        <w:bottom w:val="none" w:sz="0" w:space="0" w:color="auto"/>
        <w:right w:val="none" w:sz="0" w:space="0" w:color="auto"/>
      </w:divBdr>
    </w:div>
    <w:div w:id="1298490898">
      <w:bodyDiv w:val="1"/>
      <w:marLeft w:val="0"/>
      <w:marRight w:val="0"/>
      <w:marTop w:val="0"/>
      <w:marBottom w:val="0"/>
      <w:divBdr>
        <w:top w:val="none" w:sz="0" w:space="0" w:color="auto"/>
        <w:left w:val="none" w:sz="0" w:space="0" w:color="auto"/>
        <w:bottom w:val="none" w:sz="0" w:space="0" w:color="auto"/>
        <w:right w:val="none" w:sz="0" w:space="0" w:color="auto"/>
      </w:divBdr>
    </w:div>
    <w:div w:id="1343969176">
      <w:bodyDiv w:val="1"/>
      <w:marLeft w:val="0"/>
      <w:marRight w:val="0"/>
      <w:marTop w:val="0"/>
      <w:marBottom w:val="0"/>
      <w:divBdr>
        <w:top w:val="none" w:sz="0" w:space="0" w:color="auto"/>
        <w:left w:val="none" w:sz="0" w:space="0" w:color="auto"/>
        <w:bottom w:val="none" w:sz="0" w:space="0" w:color="auto"/>
        <w:right w:val="none" w:sz="0" w:space="0" w:color="auto"/>
      </w:divBdr>
    </w:div>
    <w:div w:id="1369719657">
      <w:bodyDiv w:val="1"/>
      <w:marLeft w:val="0"/>
      <w:marRight w:val="0"/>
      <w:marTop w:val="0"/>
      <w:marBottom w:val="0"/>
      <w:divBdr>
        <w:top w:val="none" w:sz="0" w:space="0" w:color="auto"/>
        <w:left w:val="none" w:sz="0" w:space="0" w:color="auto"/>
        <w:bottom w:val="none" w:sz="0" w:space="0" w:color="auto"/>
        <w:right w:val="none" w:sz="0" w:space="0" w:color="auto"/>
      </w:divBdr>
      <w:divsChild>
        <w:div w:id="1928996575">
          <w:marLeft w:val="605"/>
          <w:marRight w:val="0"/>
          <w:marTop w:val="240"/>
          <w:marBottom w:val="0"/>
          <w:divBdr>
            <w:top w:val="none" w:sz="0" w:space="0" w:color="auto"/>
            <w:left w:val="none" w:sz="0" w:space="0" w:color="auto"/>
            <w:bottom w:val="none" w:sz="0" w:space="0" w:color="auto"/>
            <w:right w:val="none" w:sz="0" w:space="0" w:color="auto"/>
          </w:divBdr>
        </w:div>
        <w:div w:id="1286349367">
          <w:marLeft w:val="605"/>
          <w:marRight w:val="0"/>
          <w:marTop w:val="240"/>
          <w:marBottom w:val="0"/>
          <w:divBdr>
            <w:top w:val="none" w:sz="0" w:space="0" w:color="auto"/>
            <w:left w:val="none" w:sz="0" w:space="0" w:color="auto"/>
            <w:bottom w:val="none" w:sz="0" w:space="0" w:color="auto"/>
            <w:right w:val="none" w:sz="0" w:space="0" w:color="auto"/>
          </w:divBdr>
        </w:div>
        <w:div w:id="1701739135">
          <w:marLeft w:val="605"/>
          <w:marRight w:val="0"/>
          <w:marTop w:val="240"/>
          <w:marBottom w:val="0"/>
          <w:divBdr>
            <w:top w:val="none" w:sz="0" w:space="0" w:color="auto"/>
            <w:left w:val="none" w:sz="0" w:space="0" w:color="auto"/>
            <w:bottom w:val="none" w:sz="0" w:space="0" w:color="auto"/>
            <w:right w:val="none" w:sz="0" w:space="0" w:color="auto"/>
          </w:divBdr>
        </w:div>
        <w:div w:id="418795718">
          <w:marLeft w:val="605"/>
          <w:marRight w:val="0"/>
          <w:marTop w:val="240"/>
          <w:marBottom w:val="0"/>
          <w:divBdr>
            <w:top w:val="none" w:sz="0" w:space="0" w:color="auto"/>
            <w:left w:val="none" w:sz="0" w:space="0" w:color="auto"/>
            <w:bottom w:val="none" w:sz="0" w:space="0" w:color="auto"/>
            <w:right w:val="none" w:sz="0" w:space="0" w:color="auto"/>
          </w:divBdr>
        </w:div>
        <w:div w:id="112485041">
          <w:marLeft w:val="605"/>
          <w:marRight w:val="0"/>
          <w:marTop w:val="240"/>
          <w:marBottom w:val="0"/>
          <w:divBdr>
            <w:top w:val="none" w:sz="0" w:space="0" w:color="auto"/>
            <w:left w:val="none" w:sz="0" w:space="0" w:color="auto"/>
            <w:bottom w:val="none" w:sz="0" w:space="0" w:color="auto"/>
            <w:right w:val="none" w:sz="0" w:space="0" w:color="auto"/>
          </w:divBdr>
        </w:div>
        <w:div w:id="1522011673">
          <w:marLeft w:val="605"/>
          <w:marRight w:val="0"/>
          <w:marTop w:val="240"/>
          <w:marBottom w:val="0"/>
          <w:divBdr>
            <w:top w:val="none" w:sz="0" w:space="0" w:color="auto"/>
            <w:left w:val="none" w:sz="0" w:space="0" w:color="auto"/>
            <w:bottom w:val="none" w:sz="0" w:space="0" w:color="auto"/>
            <w:right w:val="none" w:sz="0" w:space="0" w:color="auto"/>
          </w:divBdr>
        </w:div>
      </w:divsChild>
    </w:div>
    <w:div w:id="1799370537">
      <w:bodyDiv w:val="1"/>
      <w:marLeft w:val="0"/>
      <w:marRight w:val="0"/>
      <w:marTop w:val="0"/>
      <w:marBottom w:val="0"/>
      <w:divBdr>
        <w:top w:val="none" w:sz="0" w:space="0" w:color="auto"/>
        <w:left w:val="none" w:sz="0" w:space="0" w:color="auto"/>
        <w:bottom w:val="none" w:sz="0" w:space="0" w:color="auto"/>
        <w:right w:val="none" w:sz="0" w:space="0" w:color="auto"/>
      </w:divBdr>
      <w:divsChild>
        <w:div w:id="1631548402">
          <w:marLeft w:val="605"/>
          <w:marRight w:val="0"/>
          <w:marTop w:val="240"/>
          <w:marBottom w:val="0"/>
          <w:divBdr>
            <w:top w:val="none" w:sz="0" w:space="0" w:color="auto"/>
            <w:left w:val="none" w:sz="0" w:space="0" w:color="auto"/>
            <w:bottom w:val="none" w:sz="0" w:space="0" w:color="auto"/>
            <w:right w:val="none" w:sz="0" w:space="0" w:color="auto"/>
          </w:divBdr>
        </w:div>
        <w:div w:id="1524633004">
          <w:marLeft w:val="605"/>
          <w:marRight w:val="0"/>
          <w:marTop w:val="240"/>
          <w:marBottom w:val="0"/>
          <w:divBdr>
            <w:top w:val="none" w:sz="0" w:space="0" w:color="auto"/>
            <w:left w:val="none" w:sz="0" w:space="0" w:color="auto"/>
            <w:bottom w:val="none" w:sz="0" w:space="0" w:color="auto"/>
            <w:right w:val="none" w:sz="0" w:space="0" w:color="auto"/>
          </w:divBdr>
        </w:div>
        <w:div w:id="634797615">
          <w:marLeft w:val="605"/>
          <w:marRight w:val="0"/>
          <w:marTop w:val="240"/>
          <w:marBottom w:val="0"/>
          <w:divBdr>
            <w:top w:val="none" w:sz="0" w:space="0" w:color="auto"/>
            <w:left w:val="none" w:sz="0" w:space="0" w:color="auto"/>
            <w:bottom w:val="none" w:sz="0" w:space="0" w:color="auto"/>
            <w:right w:val="none" w:sz="0" w:space="0" w:color="auto"/>
          </w:divBdr>
        </w:div>
        <w:div w:id="193544995">
          <w:marLeft w:val="605"/>
          <w:marRight w:val="0"/>
          <w:marTop w:val="240"/>
          <w:marBottom w:val="0"/>
          <w:divBdr>
            <w:top w:val="none" w:sz="0" w:space="0" w:color="auto"/>
            <w:left w:val="none" w:sz="0" w:space="0" w:color="auto"/>
            <w:bottom w:val="none" w:sz="0" w:space="0" w:color="auto"/>
            <w:right w:val="none" w:sz="0" w:space="0" w:color="auto"/>
          </w:divBdr>
        </w:div>
        <w:div w:id="1440640836">
          <w:marLeft w:val="605"/>
          <w:marRight w:val="0"/>
          <w:marTop w:val="240"/>
          <w:marBottom w:val="0"/>
          <w:divBdr>
            <w:top w:val="none" w:sz="0" w:space="0" w:color="auto"/>
            <w:left w:val="none" w:sz="0" w:space="0" w:color="auto"/>
            <w:bottom w:val="none" w:sz="0" w:space="0" w:color="auto"/>
            <w:right w:val="none" w:sz="0" w:space="0" w:color="auto"/>
          </w:divBdr>
        </w:div>
        <w:div w:id="1384402348">
          <w:marLeft w:val="605"/>
          <w:marRight w:val="0"/>
          <w:marTop w:val="240"/>
          <w:marBottom w:val="0"/>
          <w:divBdr>
            <w:top w:val="none" w:sz="0" w:space="0" w:color="auto"/>
            <w:left w:val="none" w:sz="0" w:space="0" w:color="auto"/>
            <w:bottom w:val="none" w:sz="0" w:space="0" w:color="auto"/>
            <w:right w:val="none" w:sz="0" w:space="0" w:color="auto"/>
          </w:divBdr>
        </w:div>
      </w:divsChild>
    </w:div>
    <w:div w:id="1914391782">
      <w:bodyDiv w:val="1"/>
      <w:marLeft w:val="0"/>
      <w:marRight w:val="0"/>
      <w:marTop w:val="0"/>
      <w:marBottom w:val="0"/>
      <w:divBdr>
        <w:top w:val="none" w:sz="0" w:space="0" w:color="auto"/>
        <w:left w:val="none" w:sz="0" w:space="0" w:color="auto"/>
        <w:bottom w:val="none" w:sz="0" w:space="0" w:color="auto"/>
        <w:right w:val="none" w:sz="0" w:space="0" w:color="auto"/>
      </w:divBdr>
    </w:div>
    <w:div w:id="1946035366">
      <w:bodyDiv w:val="1"/>
      <w:marLeft w:val="0"/>
      <w:marRight w:val="0"/>
      <w:marTop w:val="0"/>
      <w:marBottom w:val="0"/>
      <w:divBdr>
        <w:top w:val="none" w:sz="0" w:space="0" w:color="auto"/>
        <w:left w:val="none" w:sz="0" w:space="0" w:color="auto"/>
        <w:bottom w:val="none" w:sz="0" w:space="0" w:color="auto"/>
        <w:right w:val="none" w:sz="0" w:space="0" w:color="auto"/>
      </w:divBdr>
      <w:divsChild>
        <w:div w:id="2072268592">
          <w:marLeft w:val="605"/>
          <w:marRight w:val="0"/>
          <w:marTop w:val="240"/>
          <w:marBottom w:val="0"/>
          <w:divBdr>
            <w:top w:val="none" w:sz="0" w:space="0" w:color="auto"/>
            <w:left w:val="none" w:sz="0" w:space="0" w:color="auto"/>
            <w:bottom w:val="none" w:sz="0" w:space="0" w:color="auto"/>
            <w:right w:val="none" w:sz="0" w:space="0" w:color="auto"/>
          </w:divBdr>
        </w:div>
        <w:div w:id="493300227">
          <w:marLeft w:val="605"/>
          <w:marRight w:val="0"/>
          <w:marTop w:val="240"/>
          <w:marBottom w:val="0"/>
          <w:divBdr>
            <w:top w:val="none" w:sz="0" w:space="0" w:color="auto"/>
            <w:left w:val="none" w:sz="0" w:space="0" w:color="auto"/>
            <w:bottom w:val="none" w:sz="0" w:space="0" w:color="auto"/>
            <w:right w:val="none" w:sz="0" w:space="0" w:color="auto"/>
          </w:divBdr>
        </w:div>
        <w:div w:id="1034160793">
          <w:marLeft w:val="605"/>
          <w:marRight w:val="0"/>
          <w:marTop w:val="240"/>
          <w:marBottom w:val="0"/>
          <w:divBdr>
            <w:top w:val="none" w:sz="0" w:space="0" w:color="auto"/>
            <w:left w:val="none" w:sz="0" w:space="0" w:color="auto"/>
            <w:bottom w:val="none" w:sz="0" w:space="0" w:color="auto"/>
            <w:right w:val="none" w:sz="0" w:space="0" w:color="auto"/>
          </w:divBdr>
        </w:div>
        <w:div w:id="695696997">
          <w:marLeft w:val="605"/>
          <w:marRight w:val="0"/>
          <w:marTop w:val="240"/>
          <w:marBottom w:val="0"/>
          <w:divBdr>
            <w:top w:val="none" w:sz="0" w:space="0" w:color="auto"/>
            <w:left w:val="none" w:sz="0" w:space="0" w:color="auto"/>
            <w:bottom w:val="none" w:sz="0" w:space="0" w:color="auto"/>
            <w:right w:val="none" w:sz="0" w:space="0" w:color="auto"/>
          </w:divBdr>
        </w:div>
        <w:div w:id="97801232">
          <w:marLeft w:val="605"/>
          <w:marRight w:val="0"/>
          <w:marTop w:val="240"/>
          <w:marBottom w:val="0"/>
          <w:divBdr>
            <w:top w:val="none" w:sz="0" w:space="0" w:color="auto"/>
            <w:left w:val="none" w:sz="0" w:space="0" w:color="auto"/>
            <w:bottom w:val="none" w:sz="0" w:space="0" w:color="auto"/>
            <w:right w:val="none" w:sz="0" w:space="0" w:color="auto"/>
          </w:divBdr>
        </w:div>
        <w:div w:id="736512745">
          <w:marLeft w:val="605"/>
          <w:marRight w:val="0"/>
          <w:marTop w:val="240"/>
          <w:marBottom w:val="0"/>
          <w:divBdr>
            <w:top w:val="none" w:sz="0" w:space="0" w:color="auto"/>
            <w:left w:val="none" w:sz="0" w:space="0" w:color="auto"/>
            <w:bottom w:val="none" w:sz="0" w:space="0" w:color="auto"/>
            <w:right w:val="none" w:sz="0" w:space="0" w:color="auto"/>
          </w:divBdr>
        </w:div>
      </w:divsChild>
    </w:div>
    <w:div w:id="1961378742">
      <w:bodyDiv w:val="1"/>
      <w:marLeft w:val="0"/>
      <w:marRight w:val="0"/>
      <w:marTop w:val="0"/>
      <w:marBottom w:val="0"/>
      <w:divBdr>
        <w:top w:val="none" w:sz="0" w:space="0" w:color="auto"/>
        <w:left w:val="none" w:sz="0" w:space="0" w:color="auto"/>
        <w:bottom w:val="none" w:sz="0" w:space="0" w:color="auto"/>
        <w:right w:val="none" w:sz="0" w:space="0" w:color="auto"/>
      </w:divBdr>
      <w:divsChild>
        <w:div w:id="1547646372">
          <w:marLeft w:val="0"/>
          <w:marRight w:val="0"/>
          <w:marTop w:val="0"/>
          <w:marBottom w:val="0"/>
          <w:divBdr>
            <w:top w:val="none" w:sz="0" w:space="0" w:color="auto"/>
            <w:left w:val="none" w:sz="0" w:space="0" w:color="auto"/>
            <w:bottom w:val="none" w:sz="0" w:space="0" w:color="auto"/>
            <w:right w:val="none" w:sz="0" w:space="0" w:color="auto"/>
          </w:divBdr>
        </w:div>
      </w:divsChild>
    </w:div>
    <w:div w:id="2034113779">
      <w:bodyDiv w:val="1"/>
      <w:marLeft w:val="0"/>
      <w:marRight w:val="0"/>
      <w:marTop w:val="0"/>
      <w:marBottom w:val="0"/>
      <w:divBdr>
        <w:top w:val="none" w:sz="0" w:space="0" w:color="auto"/>
        <w:left w:val="none" w:sz="0" w:space="0" w:color="auto"/>
        <w:bottom w:val="none" w:sz="0" w:space="0" w:color="auto"/>
        <w:right w:val="none" w:sz="0" w:space="0" w:color="auto"/>
      </w:divBdr>
    </w:div>
    <w:div w:id="2094159424">
      <w:bodyDiv w:val="1"/>
      <w:marLeft w:val="0"/>
      <w:marRight w:val="0"/>
      <w:marTop w:val="0"/>
      <w:marBottom w:val="0"/>
      <w:divBdr>
        <w:top w:val="none" w:sz="0" w:space="0" w:color="auto"/>
        <w:left w:val="none" w:sz="0" w:space="0" w:color="auto"/>
        <w:bottom w:val="none" w:sz="0" w:space="0" w:color="auto"/>
        <w:right w:val="none" w:sz="0" w:space="0" w:color="auto"/>
      </w:divBdr>
      <w:divsChild>
        <w:div w:id="142699429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jpeg"/><Relationship Id="rId26" Type="http://schemas.openxmlformats.org/officeDocument/2006/relationships/package" Target="embeddings/Microsoft_Excel_Worksheet2.xlsx"/><Relationship Id="rId39"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package" Target="embeddings/Microsoft_Excel_Worksheet6.xlsx"/><Relationship Id="rId42" Type="http://schemas.openxmlformats.org/officeDocument/2006/relationships/package" Target="embeddings/Microsoft_Excel_Worksheet10.xlsx"/><Relationship Id="rId47" Type="http://schemas.openxmlformats.org/officeDocument/2006/relationships/image" Target="media/image22.emf"/><Relationship Id="rId50" Type="http://schemas.openxmlformats.org/officeDocument/2006/relationships/package" Target="embeddings/Microsoft_Excel_Worksheet14.xlsx"/><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4.jpg"/><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Excel_Worksheet8.xlsx"/><Relationship Id="rId46" Type="http://schemas.openxmlformats.org/officeDocument/2006/relationships/package" Target="embeddings/Microsoft_Excel_Worksheet12.xlsx"/><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7.jpeg"/><Relationship Id="rId29" Type="http://schemas.openxmlformats.org/officeDocument/2006/relationships/image" Target="media/image13.emf"/><Relationship Id="rId41"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package" Target="embeddings/Microsoft_Excel_Worksheet1.xlsx"/><Relationship Id="rId32" Type="http://schemas.openxmlformats.org/officeDocument/2006/relationships/package" Target="embeddings/Microsoft_Excel_Worksheet5.xlsx"/><Relationship Id="rId37" Type="http://schemas.openxmlformats.org/officeDocument/2006/relationships/image" Target="media/image17.emf"/><Relationship Id="rId40" Type="http://schemas.openxmlformats.org/officeDocument/2006/relationships/package" Target="embeddings/Microsoft_Excel_Worksheet9.xlsx"/><Relationship Id="rId45" Type="http://schemas.openxmlformats.org/officeDocument/2006/relationships/image" Target="media/image21.emf"/><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10.emf"/><Relationship Id="rId28" Type="http://schemas.openxmlformats.org/officeDocument/2006/relationships/package" Target="embeddings/Microsoft_Excel_Worksheet3.xlsx"/><Relationship Id="rId36" Type="http://schemas.openxmlformats.org/officeDocument/2006/relationships/package" Target="embeddings/Microsoft_Excel_Worksheet7.xlsx"/><Relationship Id="rId49" Type="http://schemas.openxmlformats.org/officeDocument/2006/relationships/image" Target="media/image23.emf"/><Relationship Id="rId10" Type="http://schemas.openxmlformats.org/officeDocument/2006/relationships/header" Target="header1.xml"/><Relationship Id="rId19" Type="http://schemas.openxmlformats.org/officeDocument/2006/relationships/image" Target="media/image6.jpeg"/><Relationship Id="rId31" Type="http://schemas.openxmlformats.org/officeDocument/2006/relationships/image" Target="media/image14.emf"/><Relationship Id="rId44" Type="http://schemas.openxmlformats.org/officeDocument/2006/relationships/package" Target="embeddings/Microsoft_Excel_Worksheet11.xlsx"/><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header" Target="header3.xml"/><Relationship Id="rId22" Type="http://schemas.openxmlformats.org/officeDocument/2006/relationships/image" Target="media/image9.jpeg"/><Relationship Id="rId27" Type="http://schemas.openxmlformats.org/officeDocument/2006/relationships/image" Target="media/image12.emf"/><Relationship Id="rId30" Type="http://schemas.openxmlformats.org/officeDocument/2006/relationships/package" Target="embeddings/Microsoft_Excel_Worksheet4.xlsx"/><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Excel_Worksheet13.xlsx"/><Relationship Id="rId8" Type="http://schemas.openxmlformats.org/officeDocument/2006/relationships/endnotes" Target="endnotes.xml"/><Relationship Id="rId51" Type="http://schemas.openxmlformats.org/officeDocument/2006/relationships/fontTable" Target="fontTable.xml"/></Relationships>
</file>

<file path=word/_rels/numbering.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horne\Application%20Data\Microsoft\Templates\requirements.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FD5E68-34BC-4EE9-9C6E-063E4D0D36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requirements.dot</Template>
  <TotalTime>31</TotalTime>
  <Pages>16</Pages>
  <Words>2362</Words>
  <Characters>13466</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policy template</vt:lpstr>
    </vt:vector>
  </TitlesOfParts>
  <Company>ERCOT</Company>
  <LinksUpToDate>false</LinksUpToDate>
  <CharactersWithSpaces>15797</CharactersWithSpaces>
  <SharedDoc>false</SharedDoc>
  <HLinks>
    <vt:vector size="114" baseType="variant">
      <vt:variant>
        <vt:i4>2031666</vt:i4>
      </vt:variant>
      <vt:variant>
        <vt:i4>110</vt:i4>
      </vt:variant>
      <vt:variant>
        <vt:i4>0</vt:i4>
      </vt:variant>
      <vt:variant>
        <vt:i4>5</vt:i4>
      </vt:variant>
      <vt:variant>
        <vt:lpwstr/>
      </vt:variant>
      <vt:variant>
        <vt:lpwstr>_Toc266970172</vt:lpwstr>
      </vt:variant>
      <vt:variant>
        <vt:i4>2031666</vt:i4>
      </vt:variant>
      <vt:variant>
        <vt:i4>104</vt:i4>
      </vt:variant>
      <vt:variant>
        <vt:i4>0</vt:i4>
      </vt:variant>
      <vt:variant>
        <vt:i4>5</vt:i4>
      </vt:variant>
      <vt:variant>
        <vt:lpwstr/>
      </vt:variant>
      <vt:variant>
        <vt:lpwstr>_Toc266970171</vt:lpwstr>
      </vt:variant>
      <vt:variant>
        <vt:i4>2031666</vt:i4>
      </vt:variant>
      <vt:variant>
        <vt:i4>98</vt:i4>
      </vt:variant>
      <vt:variant>
        <vt:i4>0</vt:i4>
      </vt:variant>
      <vt:variant>
        <vt:i4>5</vt:i4>
      </vt:variant>
      <vt:variant>
        <vt:lpwstr/>
      </vt:variant>
      <vt:variant>
        <vt:lpwstr>_Toc266970170</vt:lpwstr>
      </vt:variant>
      <vt:variant>
        <vt:i4>1966130</vt:i4>
      </vt:variant>
      <vt:variant>
        <vt:i4>92</vt:i4>
      </vt:variant>
      <vt:variant>
        <vt:i4>0</vt:i4>
      </vt:variant>
      <vt:variant>
        <vt:i4>5</vt:i4>
      </vt:variant>
      <vt:variant>
        <vt:lpwstr/>
      </vt:variant>
      <vt:variant>
        <vt:lpwstr>_Toc266970169</vt:lpwstr>
      </vt:variant>
      <vt:variant>
        <vt:i4>1966130</vt:i4>
      </vt:variant>
      <vt:variant>
        <vt:i4>86</vt:i4>
      </vt:variant>
      <vt:variant>
        <vt:i4>0</vt:i4>
      </vt:variant>
      <vt:variant>
        <vt:i4>5</vt:i4>
      </vt:variant>
      <vt:variant>
        <vt:lpwstr/>
      </vt:variant>
      <vt:variant>
        <vt:lpwstr>_Toc266970168</vt:lpwstr>
      </vt:variant>
      <vt:variant>
        <vt:i4>1966130</vt:i4>
      </vt:variant>
      <vt:variant>
        <vt:i4>80</vt:i4>
      </vt:variant>
      <vt:variant>
        <vt:i4>0</vt:i4>
      </vt:variant>
      <vt:variant>
        <vt:i4>5</vt:i4>
      </vt:variant>
      <vt:variant>
        <vt:lpwstr/>
      </vt:variant>
      <vt:variant>
        <vt:lpwstr>_Toc266970167</vt:lpwstr>
      </vt:variant>
      <vt:variant>
        <vt:i4>1966130</vt:i4>
      </vt:variant>
      <vt:variant>
        <vt:i4>74</vt:i4>
      </vt:variant>
      <vt:variant>
        <vt:i4>0</vt:i4>
      </vt:variant>
      <vt:variant>
        <vt:i4>5</vt:i4>
      </vt:variant>
      <vt:variant>
        <vt:lpwstr/>
      </vt:variant>
      <vt:variant>
        <vt:lpwstr>_Toc266970166</vt:lpwstr>
      </vt:variant>
      <vt:variant>
        <vt:i4>1966130</vt:i4>
      </vt:variant>
      <vt:variant>
        <vt:i4>68</vt:i4>
      </vt:variant>
      <vt:variant>
        <vt:i4>0</vt:i4>
      </vt:variant>
      <vt:variant>
        <vt:i4>5</vt:i4>
      </vt:variant>
      <vt:variant>
        <vt:lpwstr/>
      </vt:variant>
      <vt:variant>
        <vt:lpwstr>_Toc266970165</vt:lpwstr>
      </vt:variant>
      <vt:variant>
        <vt:i4>1966130</vt:i4>
      </vt:variant>
      <vt:variant>
        <vt:i4>62</vt:i4>
      </vt:variant>
      <vt:variant>
        <vt:i4>0</vt:i4>
      </vt:variant>
      <vt:variant>
        <vt:i4>5</vt:i4>
      </vt:variant>
      <vt:variant>
        <vt:lpwstr/>
      </vt:variant>
      <vt:variant>
        <vt:lpwstr>_Toc266970164</vt:lpwstr>
      </vt:variant>
      <vt:variant>
        <vt:i4>1966130</vt:i4>
      </vt:variant>
      <vt:variant>
        <vt:i4>56</vt:i4>
      </vt:variant>
      <vt:variant>
        <vt:i4>0</vt:i4>
      </vt:variant>
      <vt:variant>
        <vt:i4>5</vt:i4>
      </vt:variant>
      <vt:variant>
        <vt:lpwstr/>
      </vt:variant>
      <vt:variant>
        <vt:lpwstr>_Toc266970163</vt:lpwstr>
      </vt:variant>
      <vt:variant>
        <vt:i4>1966130</vt:i4>
      </vt:variant>
      <vt:variant>
        <vt:i4>50</vt:i4>
      </vt:variant>
      <vt:variant>
        <vt:i4>0</vt:i4>
      </vt:variant>
      <vt:variant>
        <vt:i4>5</vt:i4>
      </vt:variant>
      <vt:variant>
        <vt:lpwstr/>
      </vt:variant>
      <vt:variant>
        <vt:lpwstr>_Toc266970162</vt:lpwstr>
      </vt:variant>
      <vt:variant>
        <vt:i4>1966130</vt:i4>
      </vt:variant>
      <vt:variant>
        <vt:i4>44</vt:i4>
      </vt:variant>
      <vt:variant>
        <vt:i4>0</vt:i4>
      </vt:variant>
      <vt:variant>
        <vt:i4>5</vt:i4>
      </vt:variant>
      <vt:variant>
        <vt:lpwstr/>
      </vt:variant>
      <vt:variant>
        <vt:lpwstr>_Toc266970161</vt:lpwstr>
      </vt:variant>
      <vt:variant>
        <vt:i4>1966130</vt:i4>
      </vt:variant>
      <vt:variant>
        <vt:i4>38</vt:i4>
      </vt:variant>
      <vt:variant>
        <vt:i4>0</vt:i4>
      </vt:variant>
      <vt:variant>
        <vt:i4>5</vt:i4>
      </vt:variant>
      <vt:variant>
        <vt:lpwstr/>
      </vt:variant>
      <vt:variant>
        <vt:lpwstr>_Toc266970160</vt:lpwstr>
      </vt:variant>
      <vt:variant>
        <vt:i4>1900594</vt:i4>
      </vt:variant>
      <vt:variant>
        <vt:i4>32</vt:i4>
      </vt:variant>
      <vt:variant>
        <vt:i4>0</vt:i4>
      </vt:variant>
      <vt:variant>
        <vt:i4>5</vt:i4>
      </vt:variant>
      <vt:variant>
        <vt:lpwstr/>
      </vt:variant>
      <vt:variant>
        <vt:lpwstr>_Toc266970159</vt:lpwstr>
      </vt:variant>
      <vt:variant>
        <vt:i4>1900594</vt:i4>
      </vt:variant>
      <vt:variant>
        <vt:i4>26</vt:i4>
      </vt:variant>
      <vt:variant>
        <vt:i4>0</vt:i4>
      </vt:variant>
      <vt:variant>
        <vt:i4>5</vt:i4>
      </vt:variant>
      <vt:variant>
        <vt:lpwstr/>
      </vt:variant>
      <vt:variant>
        <vt:lpwstr>_Toc266970158</vt:lpwstr>
      </vt:variant>
      <vt:variant>
        <vt:i4>1900594</vt:i4>
      </vt:variant>
      <vt:variant>
        <vt:i4>20</vt:i4>
      </vt:variant>
      <vt:variant>
        <vt:i4>0</vt:i4>
      </vt:variant>
      <vt:variant>
        <vt:i4>5</vt:i4>
      </vt:variant>
      <vt:variant>
        <vt:lpwstr/>
      </vt:variant>
      <vt:variant>
        <vt:lpwstr>_Toc266970157</vt:lpwstr>
      </vt:variant>
      <vt:variant>
        <vt:i4>1900594</vt:i4>
      </vt:variant>
      <vt:variant>
        <vt:i4>14</vt:i4>
      </vt:variant>
      <vt:variant>
        <vt:i4>0</vt:i4>
      </vt:variant>
      <vt:variant>
        <vt:i4>5</vt:i4>
      </vt:variant>
      <vt:variant>
        <vt:lpwstr/>
      </vt:variant>
      <vt:variant>
        <vt:lpwstr>_Toc266970156</vt:lpwstr>
      </vt:variant>
      <vt:variant>
        <vt:i4>1900594</vt:i4>
      </vt:variant>
      <vt:variant>
        <vt:i4>8</vt:i4>
      </vt:variant>
      <vt:variant>
        <vt:i4>0</vt:i4>
      </vt:variant>
      <vt:variant>
        <vt:i4>5</vt:i4>
      </vt:variant>
      <vt:variant>
        <vt:lpwstr/>
      </vt:variant>
      <vt:variant>
        <vt:lpwstr>_Toc266970155</vt:lpwstr>
      </vt:variant>
      <vt:variant>
        <vt:i4>1900594</vt:i4>
      </vt:variant>
      <vt:variant>
        <vt:i4>2</vt:i4>
      </vt:variant>
      <vt:variant>
        <vt:i4>0</vt:i4>
      </vt:variant>
      <vt:variant>
        <vt:i4>5</vt:i4>
      </vt:variant>
      <vt:variant>
        <vt:lpwstr/>
      </vt:variant>
      <vt:variant>
        <vt:lpwstr>_Toc266970154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policy template</dc:title>
  <dc:creator>khorne</dc:creator>
  <cp:lastModifiedBy>Billo, Jeffrey</cp:lastModifiedBy>
  <cp:revision>4</cp:revision>
  <cp:lastPrinted>2011-04-08T16:42:00Z</cp:lastPrinted>
  <dcterms:created xsi:type="dcterms:W3CDTF">2012-08-29T22:24:00Z</dcterms:created>
  <dcterms:modified xsi:type="dcterms:W3CDTF">2012-08-30T14:11:00Z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UID">
    <vt:lpwstr>{20050107-2159-253E-BADC-2BC2081708B3}</vt:lpwstr>
  </property>
  <property fmtid="{D5CDD505-2E9C-101B-9397-08002B2CF9AE}" pid="3" name="Owner">
    <vt:lpwstr>98</vt:lpwstr>
  </property>
  <property fmtid="{D5CDD505-2E9C-101B-9397-08002B2CF9AE}" pid="4" name="Status">
    <vt:lpwstr>Ready for review</vt:lpwstr>
  </property>
</Properties>
</file>