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266" w:rsidRPr="009B6AA6" w:rsidRDefault="00A0788C" w:rsidP="00A0788C">
      <w:pPr>
        <w:spacing w:after="0"/>
        <w:jc w:val="center"/>
        <w:rPr>
          <w:rFonts w:ascii="Times New Roman" w:hAnsi="Times New Roman" w:cs="Times New Roman"/>
          <w:sz w:val="28"/>
        </w:rPr>
      </w:pPr>
      <w:r w:rsidRPr="009B6AA6">
        <w:rPr>
          <w:rFonts w:ascii="Times New Roman" w:hAnsi="Times New Roman" w:cs="Times New Roman"/>
          <w:sz w:val="28"/>
        </w:rPr>
        <w:t>Operations Working Group Report</w:t>
      </w:r>
    </w:p>
    <w:p w:rsidR="00A0788C" w:rsidRPr="009B6AA6" w:rsidRDefault="003600B6" w:rsidP="00A0788C">
      <w:pPr>
        <w:spacing w:after="0"/>
        <w:jc w:val="center"/>
        <w:rPr>
          <w:rFonts w:ascii="Times New Roman" w:hAnsi="Times New Roman" w:cs="Times New Roman"/>
        </w:rPr>
      </w:pPr>
      <w:r>
        <w:rPr>
          <w:rFonts w:ascii="Times New Roman" w:hAnsi="Times New Roman" w:cs="Times New Roman"/>
        </w:rPr>
        <w:t>August</w:t>
      </w:r>
      <w:r w:rsidR="00A0788C" w:rsidRPr="009B6AA6">
        <w:rPr>
          <w:rFonts w:ascii="Times New Roman" w:hAnsi="Times New Roman" w:cs="Times New Roman"/>
        </w:rPr>
        <w:t>, 2012</w:t>
      </w:r>
    </w:p>
    <w:p w:rsidR="00A0788C" w:rsidRPr="009B6AA6" w:rsidRDefault="00A0788C" w:rsidP="00A0788C">
      <w:pPr>
        <w:spacing w:after="0"/>
        <w:jc w:val="center"/>
        <w:rPr>
          <w:rFonts w:ascii="Times New Roman" w:hAnsi="Times New Roman" w:cs="Times New Roman"/>
        </w:rPr>
      </w:pPr>
    </w:p>
    <w:p w:rsidR="00A0788C" w:rsidRPr="009B6AA6" w:rsidRDefault="00A0788C" w:rsidP="00A0788C">
      <w:pPr>
        <w:spacing w:after="0"/>
        <w:rPr>
          <w:rFonts w:ascii="Times New Roman" w:hAnsi="Times New Roman" w:cs="Times New Roman"/>
        </w:rPr>
      </w:pPr>
      <w:r w:rsidRPr="009B6AA6">
        <w:rPr>
          <w:rFonts w:ascii="Times New Roman" w:hAnsi="Times New Roman" w:cs="Times New Roman"/>
        </w:rPr>
        <w:t>The Operations Worki</w:t>
      </w:r>
      <w:r w:rsidR="00C46AA0" w:rsidRPr="009B6AA6">
        <w:rPr>
          <w:rFonts w:ascii="Times New Roman" w:hAnsi="Times New Roman" w:cs="Times New Roman"/>
        </w:rPr>
        <w:t>n</w:t>
      </w:r>
      <w:r w:rsidR="003600B6">
        <w:rPr>
          <w:rFonts w:ascii="Times New Roman" w:hAnsi="Times New Roman" w:cs="Times New Roman"/>
        </w:rPr>
        <w:t>g Group (OWG) met on July 18</w:t>
      </w:r>
      <w:r w:rsidRPr="009B6AA6">
        <w:rPr>
          <w:rFonts w:ascii="Times New Roman" w:hAnsi="Times New Roman" w:cs="Times New Roman"/>
        </w:rPr>
        <w:t>, 2012 an</w:t>
      </w:r>
      <w:r w:rsidR="00BD3F7D" w:rsidRPr="009B6AA6">
        <w:rPr>
          <w:rFonts w:ascii="Times New Roman" w:hAnsi="Times New Roman" w:cs="Times New Roman"/>
        </w:rPr>
        <w:t>d considered the following</w:t>
      </w:r>
      <w:r w:rsidRPr="009B6AA6">
        <w:rPr>
          <w:rFonts w:ascii="Times New Roman" w:hAnsi="Times New Roman" w:cs="Times New Roman"/>
        </w:rPr>
        <w:t>:</w:t>
      </w:r>
    </w:p>
    <w:p w:rsidR="00A0788C" w:rsidRPr="009B6AA6" w:rsidRDefault="00A0788C" w:rsidP="00A0788C">
      <w:pPr>
        <w:spacing w:after="0"/>
        <w:rPr>
          <w:rFonts w:ascii="Times New Roman" w:hAnsi="Times New Roman" w:cs="Times New Roman"/>
        </w:rPr>
      </w:pPr>
    </w:p>
    <w:p w:rsidR="00A0788C" w:rsidRPr="009B6AA6" w:rsidRDefault="003600B6" w:rsidP="00A0788C">
      <w:pPr>
        <w:spacing w:after="0"/>
        <w:rPr>
          <w:rFonts w:ascii="Times New Roman" w:hAnsi="Times New Roman" w:cs="Times New Roman"/>
          <w:b/>
          <w:sz w:val="24"/>
        </w:rPr>
      </w:pPr>
      <w:r>
        <w:rPr>
          <w:rFonts w:ascii="Times New Roman" w:hAnsi="Times New Roman" w:cs="Times New Roman"/>
          <w:b/>
          <w:sz w:val="24"/>
        </w:rPr>
        <w:t>June</w:t>
      </w:r>
      <w:r w:rsidR="00DC08A7" w:rsidRPr="009B6AA6">
        <w:rPr>
          <w:rFonts w:ascii="Times New Roman" w:hAnsi="Times New Roman" w:cs="Times New Roman"/>
          <w:b/>
          <w:sz w:val="24"/>
        </w:rPr>
        <w:t xml:space="preserve"> OWG Meeting Minutes Review – </w:t>
      </w:r>
    </w:p>
    <w:p w:rsidR="00DC08A7" w:rsidRPr="009B6AA6" w:rsidRDefault="00DC08A7" w:rsidP="00A0788C">
      <w:pPr>
        <w:spacing w:after="0"/>
        <w:rPr>
          <w:rFonts w:ascii="Times New Roman" w:hAnsi="Times New Roman" w:cs="Times New Roman"/>
        </w:rPr>
      </w:pPr>
      <w:r w:rsidRPr="009B6AA6">
        <w:rPr>
          <w:rFonts w:ascii="Times New Roman" w:hAnsi="Times New Roman" w:cs="Times New Roman"/>
        </w:rPr>
        <w:t>The working group re</w:t>
      </w:r>
      <w:r w:rsidR="003600B6">
        <w:rPr>
          <w:rFonts w:ascii="Times New Roman" w:hAnsi="Times New Roman" w:cs="Times New Roman"/>
        </w:rPr>
        <w:t>viewed and approved the June</w:t>
      </w:r>
      <w:r w:rsidRPr="009B6AA6">
        <w:rPr>
          <w:rFonts w:ascii="Times New Roman" w:hAnsi="Times New Roman" w:cs="Times New Roman"/>
        </w:rPr>
        <w:t xml:space="preserve"> meeting minutes.</w:t>
      </w:r>
    </w:p>
    <w:p w:rsidR="00DC08A7" w:rsidRPr="009B6AA6" w:rsidRDefault="00DC08A7" w:rsidP="00A0788C">
      <w:pPr>
        <w:spacing w:after="0"/>
        <w:rPr>
          <w:rFonts w:ascii="Times New Roman" w:hAnsi="Times New Roman" w:cs="Times New Roman"/>
        </w:rPr>
      </w:pPr>
    </w:p>
    <w:p w:rsidR="00DC08A7" w:rsidRPr="009B6AA6" w:rsidRDefault="00BD3F7D" w:rsidP="00A0788C">
      <w:pPr>
        <w:spacing w:after="0"/>
        <w:rPr>
          <w:rFonts w:ascii="Times New Roman" w:hAnsi="Times New Roman" w:cs="Times New Roman"/>
          <w:b/>
          <w:sz w:val="24"/>
        </w:rPr>
      </w:pPr>
      <w:r w:rsidRPr="009B6AA6">
        <w:rPr>
          <w:rFonts w:ascii="Times New Roman" w:hAnsi="Times New Roman" w:cs="Times New Roman"/>
          <w:b/>
          <w:sz w:val="24"/>
        </w:rPr>
        <w:t>Revision Request R</w:t>
      </w:r>
      <w:r w:rsidR="00DC08A7" w:rsidRPr="009B6AA6">
        <w:rPr>
          <w:rFonts w:ascii="Times New Roman" w:hAnsi="Times New Roman" w:cs="Times New Roman"/>
          <w:b/>
          <w:sz w:val="24"/>
        </w:rPr>
        <w:t xml:space="preserve">eview – </w:t>
      </w:r>
    </w:p>
    <w:p w:rsidR="00662858" w:rsidRPr="009B6AA6" w:rsidRDefault="00637621" w:rsidP="00A0788C">
      <w:pPr>
        <w:spacing w:after="0"/>
        <w:rPr>
          <w:rFonts w:ascii="Times New Roman" w:hAnsi="Times New Roman" w:cs="Times New Roman"/>
        </w:rPr>
      </w:pPr>
      <w:r w:rsidRPr="009B6AA6">
        <w:rPr>
          <w:rFonts w:ascii="Times New Roman" w:hAnsi="Times New Roman" w:cs="Times New Roman"/>
        </w:rPr>
        <w:tab/>
      </w:r>
      <w:r w:rsidRPr="009B6AA6">
        <w:rPr>
          <w:rFonts w:ascii="Times New Roman" w:hAnsi="Times New Roman" w:cs="Times New Roman"/>
        </w:rPr>
        <w:tab/>
      </w:r>
    </w:p>
    <w:tbl>
      <w:tblPr>
        <w:tblStyle w:val="TableGrid"/>
        <w:tblW w:w="6390" w:type="dxa"/>
        <w:tblInd w:w="1638" w:type="dxa"/>
        <w:tblLook w:val="04A0"/>
      </w:tblPr>
      <w:tblGrid>
        <w:gridCol w:w="6390"/>
      </w:tblGrid>
      <w:tr w:rsidR="00621007" w:rsidRPr="009B6AA6" w:rsidTr="008C631F">
        <w:tc>
          <w:tcPr>
            <w:tcW w:w="6390" w:type="dxa"/>
            <w:shd w:val="clear" w:color="auto" w:fill="000000" w:themeFill="text1"/>
          </w:tcPr>
          <w:p w:rsidR="00621007" w:rsidRPr="009B6AA6" w:rsidRDefault="003600B6" w:rsidP="008C631F">
            <w:pPr>
              <w:jc w:val="center"/>
              <w:rPr>
                <w:rFonts w:ascii="Times New Roman" w:hAnsi="Times New Roman" w:cs="Times New Roman"/>
                <w:b/>
                <w:color w:val="00B050"/>
              </w:rPr>
            </w:pPr>
            <w:r w:rsidRPr="003600B6">
              <w:rPr>
                <w:rFonts w:ascii="Times New Roman" w:hAnsi="Times New Roman" w:cs="Times New Roman"/>
                <w:b/>
                <w:color w:val="00B050"/>
              </w:rPr>
              <w:t>096NOGRR</w:t>
            </w:r>
            <w:r w:rsidR="00621007" w:rsidRPr="0006701A">
              <w:rPr>
                <w:rFonts w:ascii="Times New Roman" w:hAnsi="Times New Roman" w:cs="Times New Roman"/>
                <w:b/>
                <w:noProof/>
                <w:color w:val="00B050"/>
              </w:rPr>
              <w:drawing>
                <wp:inline distT="0" distB="0" distL="0" distR="0">
                  <wp:extent cx="135456" cy="118652"/>
                  <wp:effectExtent l="19050" t="0" r="0" b="0"/>
                  <wp:docPr id="9"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621007" w:rsidRPr="009B6AA6" w:rsidTr="008C631F">
        <w:tc>
          <w:tcPr>
            <w:tcW w:w="6390" w:type="dxa"/>
          </w:tcPr>
          <w:p w:rsidR="00621007" w:rsidRPr="003600B6" w:rsidRDefault="003600B6" w:rsidP="003600B6">
            <w:pPr>
              <w:jc w:val="center"/>
              <w:rPr>
                <w:rFonts w:ascii="Times New Roman" w:hAnsi="Times New Roman" w:cs="Times New Roman"/>
                <w:b/>
              </w:rPr>
            </w:pPr>
            <w:r w:rsidRPr="003600B6">
              <w:rPr>
                <w:rFonts w:ascii="Times New Roman" w:hAnsi="Times New Roman" w:cs="Times New Roman"/>
                <w:b/>
              </w:rPr>
              <w:t>Clarification of RRS Obligation</w:t>
            </w:r>
            <w:r>
              <w:rPr>
                <w:rFonts w:ascii="Times New Roman" w:hAnsi="Times New Roman" w:cs="Times New Roman"/>
                <w:b/>
              </w:rPr>
              <w:t>.</w:t>
            </w:r>
          </w:p>
        </w:tc>
      </w:tr>
      <w:tr w:rsidR="00621007" w:rsidRPr="009B6AA6" w:rsidTr="008C631F">
        <w:tc>
          <w:tcPr>
            <w:tcW w:w="6390" w:type="dxa"/>
          </w:tcPr>
          <w:p w:rsidR="00621007" w:rsidRPr="009B6AA6" w:rsidRDefault="00127C45" w:rsidP="008C631F">
            <w:pPr>
              <w:jc w:val="center"/>
              <w:rPr>
                <w:rFonts w:ascii="Times New Roman" w:hAnsi="Times New Roman" w:cs="Times New Roman"/>
              </w:rPr>
            </w:pPr>
            <w:r w:rsidRPr="00127C45">
              <w:rPr>
                <w:rFonts w:ascii="Times New Roman" w:hAnsi="Times New Roman" w:cs="Times New Roman"/>
              </w:rPr>
              <w:t>Impact Analysis Review</w:t>
            </w:r>
          </w:p>
        </w:tc>
      </w:tr>
      <w:tr w:rsidR="00621007" w:rsidRPr="009B6AA6" w:rsidTr="008C631F">
        <w:tc>
          <w:tcPr>
            <w:tcW w:w="6390" w:type="dxa"/>
          </w:tcPr>
          <w:p w:rsidR="00621007" w:rsidRPr="009B6AA6" w:rsidRDefault="00621007" w:rsidP="00127C45">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127C45">
              <w:rPr>
                <w:rFonts w:ascii="Times New Roman" w:hAnsi="Times New Roman" w:cs="Times New Roman"/>
                <w:color w:val="00B050"/>
              </w:rPr>
              <w:t>OWG Recommends ROS Approval</w:t>
            </w:r>
            <w:r w:rsidRPr="009B6AA6">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extent cx="135456" cy="118652"/>
                  <wp:effectExtent l="19050" t="0" r="0" b="0"/>
                  <wp:docPr id="10"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621007" w:rsidRPr="009B6AA6" w:rsidTr="008C631F">
        <w:tc>
          <w:tcPr>
            <w:tcW w:w="6390" w:type="dxa"/>
          </w:tcPr>
          <w:p w:rsidR="00621007" w:rsidRPr="009B6AA6" w:rsidRDefault="00621007" w:rsidP="008C631F">
            <w:pPr>
              <w:jc w:val="center"/>
              <w:rPr>
                <w:rFonts w:ascii="Times New Roman" w:hAnsi="Times New Roman" w:cs="Times New Roman"/>
              </w:rPr>
            </w:pPr>
            <w:r w:rsidRPr="009B6AA6">
              <w:rPr>
                <w:rFonts w:ascii="Times New Roman" w:hAnsi="Times New Roman" w:cs="Times New Roman"/>
              </w:rPr>
              <w:t>Discussion:</w:t>
            </w:r>
          </w:p>
          <w:p w:rsidR="00621007" w:rsidRDefault="003600B6" w:rsidP="008C631F">
            <w:pPr>
              <w:jc w:val="center"/>
              <w:rPr>
                <w:rFonts w:ascii="Times New Roman" w:hAnsi="Times New Roman" w:cs="Times New Roman"/>
              </w:rPr>
            </w:pPr>
            <w:r w:rsidRPr="003600B6">
              <w:rPr>
                <w:rFonts w:ascii="Times New Roman" w:hAnsi="Times New Roman" w:cs="Times New Roman"/>
              </w:rPr>
              <w:t>The Other Binding Document, Methodologies for Determining Ancillary Service Requirements, describes a process that may be used to procure additional Responsive Reserve Service (RRS).  This Nodal Operating Guide Revision Request (NOGRR) references that Other Binding Document and also adds clarifying language affirming that the minimum RRS obligation remains unchanged (2300 MW), but that additional RRS may be procured if there is a reliability need. [NPGRTF]</w:t>
            </w:r>
            <w:r w:rsidR="0053172D">
              <w:rPr>
                <w:rFonts w:ascii="Times New Roman" w:hAnsi="Times New Roman" w:cs="Times New Roman"/>
              </w:rPr>
              <w:t xml:space="preserve">  </w:t>
            </w:r>
            <w:r w:rsidR="00127C45">
              <w:rPr>
                <w:rFonts w:ascii="Times New Roman" w:hAnsi="Times New Roman" w:cs="Times New Roman"/>
              </w:rPr>
              <w:t>After review of the Impact</w:t>
            </w:r>
            <w:r w:rsidR="0053172D">
              <w:rPr>
                <w:rFonts w:ascii="Times New Roman" w:hAnsi="Times New Roman" w:cs="Times New Roman"/>
              </w:rPr>
              <w:t xml:space="preserve"> Analysis</w:t>
            </w:r>
            <w:r w:rsidR="00127C45">
              <w:rPr>
                <w:rFonts w:ascii="Times New Roman" w:hAnsi="Times New Roman" w:cs="Times New Roman"/>
              </w:rPr>
              <w:t>, OWG recommends ROS approval</w:t>
            </w:r>
            <w:r w:rsidR="0053172D">
              <w:rPr>
                <w:rFonts w:ascii="Times New Roman" w:hAnsi="Times New Roman" w:cs="Times New Roman"/>
              </w:rPr>
              <w:t>.</w:t>
            </w:r>
          </w:p>
          <w:p w:rsidR="00621007" w:rsidRPr="009B6AA6" w:rsidRDefault="00621007" w:rsidP="008C631F">
            <w:pPr>
              <w:jc w:val="center"/>
              <w:rPr>
                <w:rFonts w:ascii="Times New Roman" w:hAnsi="Times New Roman" w:cs="Times New Roman"/>
              </w:rPr>
            </w:pPr>
          </w:p>
        </w:tc>
      </w:tr>
    </w:tbl>
    <w:p w:rsidR="00621007" w:rsidRPr="009B6AA6" w:rsidRDefault="00621007" w:rsidP="00A0788C">
      <w:pPr>
        <w:spacing w:after="0"/>
        <w:rPr>
          <w:rFonts w:ascii="Times New Roman" w:hAnsi="Times New Roman" w:cs="Times New Roman"/>
        </w:rPr>
      </w:pPr>
    </w:p>
    <w:tbl>
      <w:tblPr>
        <w:tblStyle w:val="TableGrid"/>
        <w:tblW w:w="6390" w:type="dxa"/>
        <w:tblInd w:w="1638" w:type="dxa"/>
        <w:tblLook w:val="04A0"/>
      </w:tblPr>
      <w:tblGrid>
        <w:gridCol w:w="6390"/>
      </w:tblGrid>
      <w:tr w:rsidR="00734CA7" w:rsidRPr="009B6AA6" w:rsidTr="00734CA7">
        <w:tc>
          <w:tcPr>
            <w:tcW w:w="6390" w:type="dxa"/>
            <w:shd w:val="clear" w:color="auto" w:fill="000000" w:themeFill="text1"/>
          </w:tcPr>
          <w:p w:rsidR="00734CA7" w:rsidRPr="009B6AA6" w:rsidRDefault="003600B6" w:rsidP="00734CA7">
            <w:pPr>
              <w:jc w:val="center"/>
              <w:rPr>
                <w:rFonts w:ascii="Times New Roman" w:hAnsi="Times New Roman" w:cs="Times New Roman"/>
                <w:b/>
                <w:color w:val="00B050"/>
              </w:rPr>
            </w:pPr>
            <w:r w:rsidRPr="003600B6">
              <w:rPr>
                <w:rFonts w:ascii="Times New Roman" w:hAnsi="Times New Roman" w:cs="Times New Roman"/>
                <w:b/>
                <w:color w:val="00B050"/>
              </w:rPr>
              <w:t xml:space="preserve">097NOGRR </w:t>
            </w:r>
            <w:r w:rsidR="0006701A" w:rsidRPr="0006701A">
              <w:rPr>
                <w:rFonts w:ascii="Times New Roman" w:hAnsi="Times New Roman" w:cs="Times New Roman"/>
                <w:b/>
                <w:noProof/>
                <w:color w:val="00B050"/>
              </w:rPr>
              <w:drawing>
                <wp:inline distT="0" distB="0" distL="0" distR="0">
                  <wp:extent cx="135456" cy="118652"/>
                  <wp:effectExtent l="19050" t="0" r="0" b="0"/>
                  <wp:docPr id="6"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734CA7" w:rsidRPr="009B6AA6" w:rsidTr="00734CA7">
        <w:tc>
          <w:tcPr>
            <w:tcW w:w="6390" w:type="dxa"/>
          </w:tcPr>
          <w:p w:rsidR="00734CA7" w:rsidRPr="009B6AA6" w:rsidRDefault="003600B6" w:rsidP="00734CA7">
            <w:pPr>
              <w:jc w:val="center"/>
              <w:rPr>
                <w:rFonts w:ascii="Times New Roman" w:hAnsi="Times New Roman" w:cs="Times New Roman"/>
                <w:b/>
              </w:rPr>
            </w:pPr>
            <w:r w:rsidRPr="003600B6">
              <w:rPr>
                <w:rFonts w:ascii="Times New Roman" w:hAnsi="Times New Roman" w:cs="Times New Roman"/>
                <w:b/>
              </w:rPr>
              <w:t>New Section 8I, Black Start Resource Availability Test Form.</w:t>
            </w:r>
          </w:p>
        </w:tc>
      </w:tr>
      <w:tr w:rsidR="00734CA7" w:rsidRPr="009B6AA6" w:rsidTr="00734CA7">
        <w:tc>
          <w:tcPr>
            <w:tcW w:w="6390" w:type="dxa"/>
          </w:tcPr>
          <w:p w:rsidR="00734CA7" w:rsidRPr="009B6AA6" w:rsidRDefault="00127C45" w:rsidP="0086111A">
            <w:pPr>
              <w:jc w:val="center"/>
              <w:rPr>
                <w:rFonts w:ascii="Times New Roman" w:hAnsi="Times New Roman" w:cs="Times New Roman"/>
              </w:rPr>
            </w:pPr>
            <w:r w:rsidRPr="00127C45">
              <w:rPr>
                <w:rFonts w:ascii="Times New Roman" w:hAnsi="Times New Roman" w:cs="Times New Roman"/>
              </w:rPr>
              <w:t>Impact Analysis Review</w:t>
            </w:r>
          </w:p>
        </w:tc>
      </w:tr>
      <w:tr w:rsidR="00734CA7" w:rsidRPr="009B6AA6" w:rsidTr="00734CA7">
        <w:tc>
          <w:tcPr>
            <w:tcW w:w="6390" w:type="dxa"/>
          </w:tcPr>
          <w:p w:rsidR="00734CA7" w:rsidRPr="009B6AA6" w:rsidRDefault="00734CA7" w:rsidP="0086111A">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127C45" w:rsidRPr="00127C45">
              <w:rPr>
                <w:rFonts w:ascii="Times New Roman" w:hAnsi="Times New Roman" w:cs="Times New Roman"/>
                <w:color w:val="00B050"/>
              </w:rPr>
              <w:t xml:space="preserve">OWG Recommends ROS Approval </w:t>
            </w:r>
            <w:r w:rsidR="004A2211" w:rsidRPr="009B6AA6">
              <w:rPr>
                <w:rFonts w:ascii="Times New Roman" w:hAnsi="Times New Roman" w:cs="Times New Roman"/>
                <w:noProof/>
                <w:color w:val="00B050"/>
              </w:rPr>
              <w:drawing>
                <wp:inline distT="0" distB="0" distL="0" distR="0">
                  <wp:extent cx="135456" cy="118652"/>
                  <wp:effectExtent l="19050" t="0" r="0" b="0"/>
                  <wp:docPr id="12"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734CA7" w:rsidRPr="009B6AA6" w:rsidTr="00734CA7">
        <w:tc>
          <w:tcPr>
            <w:tcW w:w="6390" w:type="dxa"/>
          </w:tcPr>
          <w:p w:rsidR="00734CA7" w:rsidRPr="009B6AA6" w:rsidRDefault="00734CA7" w:rsidP="00734CA7">
            <w:pPr>
              <w:jc w:val="center"/>
              <w:rPr>
                <w:rFonts w:ascii="Times New Roman" w:hAnsi="Times New Roman" w:cs="Times New Roman"/>
              </w:rPr>
            </w:pPr>
            <w:r w:rsidRPr="009B6AA6">
              <w:rPr>
                <w:rFonts w:ascii="Times New Roman" w:hAnsi="Times New Roman" w:cs="Times New Roman"/>
              </w:rPr>
              <w:t>Discussion:</w:t>
            </w:r>
          </w:p>
          <w:p w:rsidR="00364ED7" w:rsidRDefault="003600B6" w:rsidP="003600B6">
            <w:pPr>
              <w:jc w:val="center"/>
              <w:rPr>
                <w:rFonts w:ascii="Times New Roman" w:hAnsi="Times New Roman" w:cs="Times New Roman"/>
              </w:rPr>
            </w:pPr>
            <w:r w:rsidRPr="003600B6">
              <w:rPr>
                <w:rFonts w:ascii="Times New Roman" w:hAnsi="Times New Roman" w:cs="Times New Roman"/>
              </w:rPr>
              <w:t>This Nodal Operating Guide Revision Request (NOGRR) adds a Black Start Resource availability test form to the Nodal Operating Guide.  [ERCOT]  Impact Analysis Review</w:t>
            </w:r>
            <w:r>
              <w:rPr>
                <w:rFonts w:ascii="Times New Roman" w:hAnsi="Times New Roman" w:cs="Times New Roman"/>
              </w:rPr>
              <w:t xml:space="preserve">.  </w:t>
            </w:r>
            <w:r w:rsidRPr="003600B6">
              <w:rPr>
                <w:rFonts w:ascii="Times New Roman" w:hAnsi="Times New Roman" w:cs="Times New Roman"/>
              </w:rPr>
              <w:t>After review of the Impact Analysis, OWG recommends ROS approval as revised by OWG at the July 18th meeting.</w:t>
            </w:r>
          </w:p>
          <w:p w:rsidR="003600B6" w:rsidRPr="009B6AA6" w:rsidRDefault="003600B6" w:rsidP="003600B6">
            <w:pPr>
              <w:jc w:val="center"/>
              <w:rPr>
                <w:rFonts w:ascii="Times New Roman" w:hAnsi="Times New Roman" w:cs="Times New Roman"/>
              </w:rPr>
            </w:pPr>
          </w:p>
        </w:tc>
      </w:tr>
    </w:tbl>
    <w:p w:rsidR="0086111A" w:rsidRDefault="0086111A" w:rsidP="00A0788C">
      <w:pPr>
        <w:spacing w:after="0"/>
        <w:rPr>
          <w:rFonts w:ascii="Times New Roman" w:hAnsi="Times New Roman" w:cs="Times New Roman"/>
        </w:rPr>
      </w:pPr>
    </w:p>
    <w:tbl>
      <w:tblPr>
        <w:tblStyle w:val="TableGrid"/>
        <w:tblW w:w="6390" w:type="dxa"/>
        <w:tblInd w:w="1638" w:type="dxa"/>
        <w:tblLook w:val="04A0"/>
      </w:tblPr>
      <w:tblGrid>
        <w:gridCol w:w="6390"/>
      </w:tblGrid>
      <w:tr w:rsidR="0086111A" w:rsidRPr="009B6AA6" w:rsidTr="008C631F">
        <w:tc>
          <w:tcPr>
            <w:tcW w:w="6390" w:type="dxa"/>
            <w:shd w:val="clear" w:color="auto" w:fill="000000" w:themeFill="text1"/>
          </w:tcPr>
          <w:p w:rsidR="0086111A" w:rsidRPr="009B6AA6" w:rsidRDefault="00AB0D6A" w:rsidP="00AB0D6A">
            <w:pPr>
              <w:jc w:val="center"/>
              <w:rPr>
                <w:rFonts w:ascii="Times New Roman" w:hAnsi="Times New Roman" w:cs="Times New Roman"/>
                <w:b/>
                <w:color w:val="00B050"/>
              </w:rPr>
            </w:pPr>
            <w:r w:rsidRPr="00AB0D6A">
              <w:rPr>
                <w:rFonts w:ascii="Times New Roman" w:hAnsi="Times New Roman" w:cs="Times New Roman"/>
                <w:b/>
                <w:color w:val="00B050"/>
              </w:rPr>
              <w:t xml:space="preserve">098NOGRR </w:t>
            </w:r>
            <w:r w:rsidR="0086111A" w:rsidRPr="0006701A">
              <w:rPr>
                <w:rFonts w:ascii="Times New Roman" w:hAnsi="Times New Roman" w:cs="Times New Roman"/>
                <w:b/>
                <w:noProof/>
                <w:color w:val="00B050"/>
              </w:rPr>
              <w:drawing>
                <wp:inline distT="0" distB="0" distL="0" distR="0">
                  <wp:extent cx="135456" cy="118652"/>
                  <wp:effectExtent l="19050" t="0" r="0" b="0"/>
                  <wp:docPr id="18"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86111A" w:rsidRPr="009B6AA6" w:rsidTr="008C631F">
        <w:tc>
          <w:tcPr>
            <w:tcW w:w="6390" w:type="dxa"/>
          </w:tcPr>
          <w:p w:rsidR="0086111A" w:rsidRPr="009B6AA6" w:rsidRDefault="00AB0D6A" w:rsidP="008C631F">
            <w:pPr>
              <w:jc w:val="center"/>
              <w:rPr>
                <w:rFonts w:ascii="Times New Roman" w:hAnsi="Times New Roman" w:cs="Times New Roman"/>
                <w:b/>
              </w:rPr>
            </w:pPr>
            <w:r w:rsidRPr="00AB0D6A">
              <w:rPr>
                <w:rFonts w:ascii="Times New Roman" w:hAnsi="Times New Roman" w:cs="Times New Roman"/>
                <w:b/>
              </w:rPr>
              <w:t>Change of Facility Submission Time Lines to Align with Protocols.</w:t>
            </w:r>
          </w:p>
        </w:tc>
      </w:tr>
      <w:tr w:rsidR="0086111A" w:rsidRPr="009B6AA6" w:rsidTr="008C631F">
        <w:tc>
          <w:tcPr>
            <w:tcW w:w="6390" w:type="dxa"/>
          </w:tcPr>
          <w:p w:rsidR="0086111A" w:rsidRPr="009B6AA6" w:rsidRDefault="00127C45" w:rsidP="008C631F">
            <w:pPr>
              <w:jc w:val="center"/>
              <w:rPr>
                <w:rFonts w:ascii="Times New Roman" w:hAnsi="Times New Roman" w:cs="Times New Roman"/>
              </w:rPr>
            </w:pPr>
            <w:r w:rsidRPr="00127C45">
              <w:rPr>
                <w:rFonts w:ascii="Times New Roman" w:hAnsi="Times New Roman" w:cs="Times New Roman"/>
              </w:rPr>
              <w:t>Language Review</w:t>
            </w:r>
          </w:p>
        </w:tc>
      </w:tr>
      <w:tr w:rsidR="0086111A" w:rsidRPr="009B6AA6" w:rsidTr="008C631F">
        <w:tc>
          <w:tcPr>
            <w:tcW w:w="6390" w:type="dxa"/>
          </w:tcPr>
          <w:p w:rsidR="0086111A" w:rsidRPr="009B6AA6" w:rsidRDefault="0086111A" w:rsidP="00E850B4">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00AB0D6A" w:rsidRPr="00AB0D6A">
              <w:rPr>
                <w:rFonts w:ascii="Times New Roman" w:hAnsi="Times New Roman" w:cs="Times New Roman"/>
                <w:color w:val="00B050"/>
              </w:rPr>
              <w:t xml:space="preserve">OWG Recommends ROS Approval </w:t>
            </w:r>
            <w:r w:rsidRPr="009B6AA6">
              <w:rPr>
                <w:rFonts w:ascii="Times New Roman" w:hAnsi="Times New Roman" w:cs="Times New Roman"/>
                <w:noProof/>
                <w:color w:val="00B050"/>
              </w:rPr>
              <w:drawing>
                <wp:inline distT="0" distB="0" distL="0" distR="0">
                  <wp:extent cx="135456" cy="118652"/>
                  <wp:effectExtent l="19050" t="0" r="0" b="0"/>
                  <wp:docPr id="19"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86111A" w:rsidRPr="009B6AA6" w:rsidTr="008C631F">
        <w:tc>
          <w:tcPr>
            <w:tcW w:w="6390" w:type="dxa"/>
          </w:tcPr>
          <w:p w:rsidR="0086111A" w:rsidRPr="009B6AA6" w:rsidRDefault="0086111A" w:rsidP="008C631F">
            <w:pPr>
              <w:jc w:val="center"/>
              <w:rPr>
                <w:rFonts w:ascii="Times New Roman" w:hAnsi="Times New Roman" w:cs="Times New Roman"/>
              </w:rPr>
            </w:pPr>
            <w:r w:rsidRPr="009B6AA6">
              <w:rPr>
                <w:rFonts w:ascii="Times New Roman" w:hAnsi="Times New Roman" w:cs="Times New Roman"/>
              </w:rPr>
              <w:t>Discussion:</w:t>
            </w:r>
          </w:p>
          <w:p w:rsidR="0086111A" w:rsidRDefault="00AB0D6A" w:rsidP="008C631F">
            <w:pPr>
              <w:jc w:val="center"/>
              <w:rPr>
                <w:rFonts w:ascii="Times New Roman" w:hAnsi="Times New Roman" w:cs="Times New Roman"/>
              </w:rPr>
            </w:pPr>
            <w:r w:rsidRPr="00AB0D6A">
              <w:rPr>
                <w:rFonts w:ascii="Times New Roman" w:hAnsi="Times New Roman" w:cs="Times New Roman"/>
              </w:rPr>
              <w:t>This Nodal Operating Guide Revision Request (NOGRR) clarifies the submission time line for facility reactive capability and other modeling information.  [ERCOT]  Impact Analysis Review</w:t>
            </w:r>
            <w:r>
              <w:rPr>
                <w:rFonts w:ascii="Times New Roman" w:hAnsi="Times New Roman" w:cs="Times New Roman"/>
              </w:rPr>
              <w:t xml:space="preserve">. </w:t>
            </w:r>
            <w:r w:rsidRPr="00AB0D6A">
              <w:rPr>
                <w:rFonts w:ascii="Times New Roman" w:hAnsi="Times New Roman" w:cs="Times New Roman"/>
              </w:rPr>
              <w:t xml:space="preserve"> After review of the Impact Analysis, OWG recommends ROS approval.</w:t>
            </w:r>
          </w:p>
          <w:p w:rsidR="00AB0D6A" w:rsidRDefault="00AB0D6A" w:rsidP="008C631F">
            <w:pPr>
              <w:jc w:val="center"/>
              <w:rPr>
                <w:rFonts w:ascii="Times New Roman" w:hAnsi="Times New Roman" w:cs="Times New Roman"/>
              </w:rPr>
            </w:pPr>
          </w:p>
          <w:p w:rsidR="00AB0D6A" w:rsidRPr="009B6AA6" w:rsidRDefault="00AB0D6A" w:rsidP="008C631F">
            <w:pPr>
              <w:jc w:val="center"/>
              <w:rPr>
                <w:rFonts w:ascii="Times New Roman" w:hAnsi="Times New Roman" w:cs="Times New Roman"/>
              </w:rPr>
            </w:pPr>
          </w:p>
        </w:tc>
      </w:tr>
    </w:tbl>
    <w:p w:rsidR="0086111A" w:rsidRDefault="0086111A" w:rsidP="00A0788C">
      <w:pPr>
        <w:spacing w:after="0"/>
        <w:rPr>
          <w:rFonts w:ascii="Times New Roman" w:hAnsi="Times New Roman" w:cs="Times New Roman"/>
        </w:rPr>
      </w:pPr>
    </w:p>
    <w:tbl>
      <w:tblPr>
        <w:tblStyle w:val="TableGrid"/>
        <w:tblW w:w="6390" w:type="dxa"/>
        <w:tblInd w:w="1638" w:type="dxa"/>
        <w:tblLook w:val="04A0"/>
      </w:tblPr>
      <w:tblGrid>
        <w:gridCol w:w="6390"/>
      </w:tblGrid>
      <w:tr w:rsidR="00E850B4" w:rsidRPr="009B6AA6" w:rsidTr="0005296E">
        <w:tc>
          <w:tcPr>
            <w:tcW w:w="6390" w:type="dxa"/>
            <w:shd w:val="clear" w:color="auto" w:fill="000000" w:themeFill="text1"/>
          </w:tcPr>
          <w:p w:rsidR="00E850B4" w:rsidRPr="009B6AA6" w:rsidRDefault="00AB0D6A" w:rsidP="00AB0D6A">
            <w:pPr>
              <w:jc w:val="center"/>
              <w:rPr>
                <w:rFonts w:ascii="Times New Roman" w:hAnsi="Times New Roman" w:cs="Times New Roman"/>
                <w:b/>
                <w:color w:val="00B050"/>
              </w:rPr>
            </w:pPr>
            <w:r w:rsidRPr="00AB0D6A">
              <w:rPr>
                <w:rFonts w:ascii="Times New Roman" w:hAnsi="Times New Roman" w:cs="Times New Roman"/>
                <w:b/>
                <w:color w:val="00B050"/>
              </w:rPr>
              <w:t xml:space="preserve">100NOGRR </w:t>
            </w:r>
            <w:r w:rsidR="00E850B4" w:rsidRPr="0006701A">
              <w:rPr>
                <w:rFonts w:ascii="Times New Roman" w:hAnsi="Times New Roman" w:cs="Times New Roman"/>
                <w:b/>
                <w:noProof/>
                <w:color w:val="00B050"/>
              </w:rPr>
              <w:drawing>
                <wp:inline distT="0" distB="0" distL="0" distR="0">
                  <wp:extent cx="135456" cy="118652"/>
                  <wp:effectExtent l="19050" t="0" r="0" b="0"/>
                  <wp:docPr id="11"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E850B4" w:rsidRPr="009B6AA6" w:rsidTr="0005296E">
        <w:tc>
          <w:tcPr>
            <w:tcW w:w="6390" w:type="dxa"/>
          </w:tcPr>
          <w:p w:rsidR="00E850B4" w:rsidRPr="009B6AA6" w:rsidRDefault="00AB0D6A" w:rsidP="0005296E">
            <w:pPr>
              <w:jc w:val="center"/>
              <w:rPr>
                <w:rFonts w:ascii="Times New Roman" w:hAnsi="Times New Roman" w:cs="Times New Roman"/>
                <w:b/>
              </w:rPr>
            </w:pPr>
            <w:r w:rsidRPr="00AB0D6A">
              <w:rPr>
                <w:rFonts w:ascii="Times New Roman" w:hAnsi="Times New Roman" w:cs="Times New Roman"/>
                <w:b/>
              </w:rPr>
              <w:t>Extending Manual Time Error Correction Threshold.</w:t>
            </w:r>
          </w:p>
        </w:tc>
      </w:tr>
      <w:tr w:rsidR="00E850B4" w:rsidRPr="009B6AA6" w:rsidTr="0005296E">
        <w:tc>
          <w:tcPr>
            <w:tcW w:w="6390" w:type="dxa"/>
          </w:tcPr>
          <w:p w:rsidR="00E850B4" w:rsidRPr="009B6AA6" w:rsidRDefault="00E850B4" w:rsidP="0005296E">
            <w:pPr>
              <w:jc w:val="center"/>
              <w:rPr>
                <w:rFonts w:ascii="Times New Roman" w:hAnsi="Times New Roman" w:cs="Times New Roman"/>
              </w:rPr>
            </w:pPr>
            <w:r w:rsidRPr="00127C45">
              <w:rPr>
                <w:rFonts w:ascii="Times New Roman" w:hAnsi="Times New Roman" w:cs="Times New Roman"/>
              </w:rPr>
              <w:t>Language Review</w:t>
            </w:r>
          </w:p>
        </w:tc>
      </w:tr>
      <w:tr w:rsidR="00E850B4" w:rsidRPr="009B6AA6" w:rsidTr="0005296E">
        <w:tc>
          <w:tcPr>
            <w:tcW w:w="6390" w:type="dxa"/>
          </w:tcPr>
          <w:p w:rsidR="00E850B4" w:rsidRPr="009B6AA6" w:rsidRDefault="00E850B4" w:rsidP="0005296E">
            <w:pPr>
              <w:jc w:val="center"/>
              <w:rPr>
                <w:rFonts w:ascii="Times New Roman" w:hAnsi="Times New Roman" w:cs="Times New Roman"/>
              </w:rPr>
            </w:pPr>
            <w:r w:rsidRPr="009B6AA6">
              <w:rPr>
                <w:rFonts w:ascii="Times New Roman" w:hAnsi="Times New Roman" w:cs="Times New Roman"/>
                <w:b/>
              </w:rPr>
              <w:t>OWG Action</w:t>
            </w:r>
            <w:r w:rsidRPr="009B6AA6">
              <w:rPr>
                <w:rFonts w:ascii="Times New Roman" w:hAnsi="Times New Roman" w:cs="Times New Roman"/>
              </w:rPr>
              <w:t xml:space="preserve">: </w:t>
            </w:r>
            <w:r w:rsidRPr="009B6AA6">
              <w:rPr>
                <w:rFonts w:ascii="Times New Roman" w:hAnsi="Times New Roman" w:cs="Times New Roman"/>
                <w:color w:val="FF0000"/>
              </w:rPr>
              <w:t xml:space="preserve"> </w:t>
            </w:r>
            <w:r w:rsidRPr="009B6AA6">
              <w:rPr>
                <w:rFonts w:ascii="Times New Roman" w:hAnsi="Times New Roman" w:cs="Times New Roman"/>
                <w:color w:val="00B050"/>
              </w:rPr>
              <w:t xml:space="preserve">OWG </w:t>
            </w:r>
            <w:r>
              <w:rPr>
                <w:rFonts w:ascii="Times New Roman" w:hAnsi="Times New Roman" w:cs="Times New Roman"/>
                <w:color w:val="00B050"/>
              </w:rPr>
              <w:t>calls for an Impact Analysis</w:t>
            </w:r>
            <w:r w:rsidRPr="009B6AA6">
              <w:rPr>
                <w:rFonts w:ascii="Times New Roman" w:hAnsi="Times New Roman" w:cs="Times New Roman"/>
                <w:color w:val="00B050"/>
              </w:rPr>
              <w:t xml:space="preserve"> </w:t>
            </w:r>
            <w:r w:rsidRPr="009B6AA6">
              <w:rPr>
                <w:rFonts w:ascii="Times New Roman" w:hAnsi="Times New Roman" w:cs="Times New Roman"/>
                <w:noProof/>
                <w:color w:val="00B050"/>
              </w:rPr>
              <w:drawing>
                <wp:inline distT="0" distB="0" distL="0" distR="0">
                  <wp:extent cx="135456" cy="118652"/>
                  <wp:effectExtent l="19050" t="0" r="0" b="0"/>
                  <wp:docPr id="13" name="Picture 8" descr="Smile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png"/>
                          <pic:cNvPicPr/>
                        </pic:nvPicPr>
                        <pic:blipFill>
                          <a:blip r:embed="rId6" cstate="print"/>
                          <a:stretch>
                            <a:fillRect/>
                          </a:stretch>
                        </pic:blipFill>
                        <pic:spPr>
                          <a:xfrm>
                            <a:off x="0" y="0"/>
                            <a:ext cx="135179" cy="118409"/>
                          </a:xfrm>
                          <a:prstGeom prst="rect">
                            <a:avLst/>
                          </a:prstGeom>
                        </pic:spPr>
                      </pic:pic>
                    </a:graphicData>
                  </a:graphic>
                </wp:inline>
              </w:drawing>
            </w:r>
          </w:p>
        </w:tc>
      </w:tr>
      <w:tr w:rsidR="00E850B4" w:rsidRPr="009B6AA6" w:rsidTr="0005296E">
        <w:tc>
          <w:tcPr>
            <w:tcW w:w="6390" w:type="dxa"/>
          </w:tcPr>
          <w:p w:rsidR="00E850B4" w:rsidRPr="009B6AA6" w:rsidRDefault="00E850B4" w:rsidP="0005296E">
            <w:pPr>
              <w:jc w:val="center"/>
              <w:rPr>
                <w:rFonts w:ascii="Times New Roman" w:hAnsi="Times New Roman" w:cs="Times New Roman"/>
              </w:rPr>
            </w:pPr>
            <w:r w:rsidRPr="009B6AA6">
              <w:rPr>
                <w:rFonts w:ascii="Times New Roman" w:hAnsi="Times New Roman" w:cs="Times New Roman"/>
              </w:rPr>
              <w:t>Discussion:</w:t>
            </w:r>
          </w:p>
          <w:p w:rsidR="00E850B4" w:rsidRDefault="00AB0D6A" w:rsidP="0005296E">
            <w:pPr>
              <w:jc w:val="center"/>
              <w:rPr>
                <w:rFonts w:ascii="Times New Roman" w:hAnsi="Times New Roman" w:cs="Times New Roman"/>
              </w:rPr>
            </w:pPr>
            <w:r w:rsidRPr="00AB0D6A">
              <w:rPr>
                <w:rFonts w:ascii="Times New Roman" w:hAnsi="Times New Roman" w:cs="Times New Roman"/>
              </w:rPr>
              <w:t>This Nodal Operating Guide Revision Request (NOGRR) extends the manual time error correction threshold from +/- 3 seconds to +/- 30 seconds. The increased threshold of +/- 30 seconds will provide a larger window for self-correction of the accumulated time errors. Language Review</w:t>
            </w:r>
            <w:r>
              <w:rPr>
                <w:rFonts w:ascii="Times New Roman" w:hAnsi="Times New Roman" w:cs="Times New Roman"/>
              </w:rPr>
              <w:t>.</w:t>
            </w:r>
          </w:p>
          <w:p w:rsidR="00AB0D6A" w:rsidRPr="009B6AA6" w:rsidRDefault="00AB0D6A" w:rsidP="0005296E">
            <w:pPr>
              <w:jc w:val="center"/>
              <w:rPr>
                <w:rFonts w:ascii="Times New Roman" w:hAnsi="Times New Roman" w:cs="Times New Roman"/>
              </w:rPr>
            </w:pPr>
          </w:p>
        </w:tc>
      </w:tr>
    </w:tbl>
    <w:p w:rsidR="0086111A" w:rsidRDefault="0086111A" w:rsidP="00A0788C">
      <w:pPr>
        <w:spacing w:after="0"/>
        <w:rPr>
          <w:rFonts w:ascii="Times New Roman" w:hAnsi="Times New Roman" w:cs="Times New Roman"/>
        </w:rPr>
      </w:pPr>
    </w:p>
    <w:p w:rsidR="00606352" w:rsidRDefault="00606352" w:rsidP="00A0788C">
      <w:pPr>
        <w:spacing w:after="0"/>
        <w:rPr>
          <w:rFonts w:ascii="Times New Roman" w:hAnsi="Times New Roman" w:cs="Times New Roman"/>
        </w:rPr>
      </w:pPr>
    </w:p>
    <w:p w:rsidR="00AB0D6A" w:rsidRDefault="00AB0D6A" w:rsidP="00A0788C">
      <w:pPr>
        <w:spacing w:after="0"/>
        <w:rPr>
          <w:rFonts w:ascii="Times New Roman" w:hAnsi="Times New Roman" w:cs="Times New Roman"/>
          <w:b/>
          <w:sz w:val="24"/>
        </w:rPr>
      </w:pPr>
      <w:r w:rsidRPr="00AB0D6A">
        <w:rPr>
          <w:rFonts w:ascii="Times New Roman" w:hAnsi="Times New Roman" w:cs="Times New Roman"/>
          <w:b/>
          <w:sz w:val="24"/>
        </w:rPr>
        <w:t>Operations Report</w:t>
      </w:r>
      <w:r>
        <w:rPr>
          <w:rFonts w:ascii="Times New Roman" w:hAnsi="Times New Roman" w:cs="Times New Roman"/>
          <w:b/>
          <w:sz w:val="24"/>
        </w:rPr>
        <w:t xml:space="preserve"> – </w:t>
      </w:r>
    </w:p>
    <w:p w:rsidR="00AB0D6A" w:rsidRPr="00AB0D6A" w:rsidRDefault="00AB0D6A" w:rsidP="00AB0D6A">
      <w:pPr>
        <w:pStyle w:val="ListParagraph"/>
        <w:numPr>
          <w:ilvl w:val="0"/>
          <w:numId w:val="10"/>
        </w:numPr>
        <w:spacing w:after="0"/>
        <w:rPr>
          <w:rFonts w:ascii="Times New Roman" w:hAnsi="Times New Roman" w:cs="Times New Roman"/>
          <w:sz w:val="24"/>
        </w:rPr>
      </w:pPr>
      <w:r w:rsidRPr="00AB0D6A">
        <w:rPr>
          <w:rFonts w:ascii="Times New Roman" w:hAnsi="Times New Roman" w:cs="Times New Roman"/>
          <w:sz w:val="24"/>
        </w:rPr>
        <w:t>VJ</w:t>
      </w:r>
      <w:r w:rsidRPr="00AB0D6A">
        <w:t xml:space="preserve"> </w:t>
      </w:r>
      <w:proofErr w:type="spellStart"/>
      <w:r>
        <w:rPr>
          <w:rFonts w:ascii="Times New Roman" w:hAnsi="Times New Roman" w:cs="Times New Roman"/>
          <w:sz w:val="24"/>
        </w:rPr>
        <w:t>Betanabhatla</w:t>
      </w:r>
      <w:proofErr w:type="spellEnd"/>
      <w:r>
        <w:rPr>
          <w:rFonts w:ascii="Times New Roman" w:hAnsi="Times New Roman" w:cs="Times New Roman"/>
          <w:sz w:val="24"/>
        </w:rPr>
        <w:t xml:space="preserve"> gave the Operations Report.  There were no significant events to report.</w:t>
      </w:r>
    </w:p>
    <w:p w:rsidR="00AB0D6A" w:rsidRPr="009B6AA6" w:rsidRDefault="00AB0D6A" w:rsidP="00A0788C">
      <w:pPr>
        <w:spacing w:after="0"/>
        <w:rPr>
          <w:rFonts w:ascii="Times New Roman" w:hAnsi="Times New Roman" w:cs="Times New Roman"/>
        </w:rPr>
      </w:pPr>
    </w:p>
    <w:p w:rsidR="00672302" w:rsidRPr="009B6AA6"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Operations Task Force Report – </w:t>
      </w:r>
    </w:p>
    <w:p w:rsidR="000B118E" w:rsidRPr="000B118E" w:rsidRDefault="00AB0D6A" w:rsidP="000B118E">
      <w:pPr>
        <w:pStyle w:val="ListParagraph"/>
        <w:numPr>
          <w:ilvl w:val="0"/>
          <w:numId w:val="2"/>
        </w:numPr>
        <w:spacing w:after="0"/>
        <w:rPr>
          <w:rFonts w:ascii="Times New Roman" w:eastAsia="Times New Roman" w:hAnsi="Times New Roman" w:cs="Times New Roman"/>
        </w:rPr>
      </w:pPr>
      <w:r>
        <w:rPr>
          <w:rFonts w:ascii="Times New Roman" w:hAnsi="Times New Roman" w:cs="Times New Roman"/>
        </w:rPr>
        <w:t xml:space="preserve">The group reviewed Kelly </w:t>
      </w:r>
      <w:proofErr w:type="spellStart"/>
      <w:r>
        <w:rPr>
          <w:rFonts w:ascii="Times New Roman" w:hAnsi="Times New Roman" w:cs="Times New Roman"/>
        </w:rPr>
        <w:t>Blackmer’s</w:t>
      </w:r>
      <w:proofErr w:type="spellEnd"/>
      <w:r>
        <w:rPr>
          <w:rFonts w:ascii="Times New Roman" w:hAnsi="Times New Roman" w:cs="Times New Roman"/>
        </w:rPr>
        <w:t xml:space="preserve"> detailed report of the Severe Weather Drill.</w:t>
      </w:r>
    </w:p>
    <w:p w:rsidR="000B118E" w:rsidRDefault="000B118E" w:rsidP="000B118E">
      <w:pPr>
        <w:pStyle w:val="ListParagraph"/>
        <w:numPr>
          <w:ilvl w:val="1"/>
          <w:numId w:val="2"/>
        </w:numPr>
        <w:rPr>
          <w:rFonts w:ascii="Calibri" w:eastAsia="Times New Roman" w:hAnsi="Calibri" w:cs="Calibri"/>
        </w:rPr>
      </w:pPr>
      <w:r>
        <w:rPr>
          <w:rFonts w:ascii="Calibri" w:eastAsia="Times New Roman" w:hAnsi="Calibri" w:cs="Calibri"/>
        </w:rPr>
        <w:t xml:space="preserve">Highlights: </w:t>
      </w:r>
    </w:p>
    <w:p w:rsidR="000B118E" w:rsidRDefault="000B118E" w:rsidP="000B118E">
      <w:pPr>
        <w:pStyle w:val="ListParagraph"/>
        <w:numPr>
          <w:ilvl w:val="2"/>
          <w:numId w:val="2"/>
        </w:numPr>
        <w:rPr>
          <w:rFonts w:ascii="Calibri" w:eastAsia="Times New Roman" w:hAnsi="Calibri" w:cs="Calibri"/>
        </w:rPr>
      </w:pPr>
      <w:r>
        <w:rPr>
          <w:rFonts w:ascii="Calibri" w:eastAsia="Times New Roman" w:hAnsi="Calibri" w:cs="Calibri"/>
        </w:rPr>
        <w:t>2010 – 12 TOs and TDSPs participated</w:t>
      </w:r>
    </w:p>
    <w:p w:rsidR="000B118E" w:rsidRDefault="000B118E" w:rsidP="000B118E">
      <w:pPr>
        <w:pStyle w:val="ListParagraph"/>
        <w:numPr>
          <w:ilvl w:val="2"/>
          <w:numId w:val="2"/>
        </w:numPr>
        <w:rPr>
          <w:rFonts w:ascii="Calibri" w:eastAsia="Times New Roman" w:hAnsi="Calibri" w:cs="Calibri"/>
        </w:rPr>
      </w:pPr>
      <w:r>
        <w:rPr>
          <w:rFonts w:ascii="Calibri" w:eastAsia="Times New Roman" w:hAnsi="Calibri" w:cs="Calibri"/>
        </w:rPr>
        <w:t>2011 – 25 TOs and TDSPs participated</w:t>
      </w:r>
    </w:p>
    <w:p w:rsidR="000B118E" w:rsidRPr="000B118E" w:rsidRDefault="000B118E" w:rsidP="000B118E">
      <w:pPr>
        <w:pStyle w:val="ListParagraph"/>
        <w:numPr>
          <w:ilvl w:val="2"/>
          <w:numId w:val="2"/>
        </w:numPr>
        <w:rPr>
          <w:rFonts w:ascii="Calibri" w:eastAsia="Times New Roman" w:hAnsi="Calibri" w:cs="Calibri"/>
        </w:rPr>
      </w:pPr>
      <w:r>
        <w:rPr>
          <w:rFonts w:ascii="Calibri" w:eastAsia="Times New Roman" w:hAnsi="Calibri" w:cs="Calibri"/>
        </w:rPr>
        <w:t>2012 – 30 TOs and TDSPs participated</w:t>
      </w:r>
    </w:p>
    <w:p w:rsidR="000B118E" w:rsidRPr="000B118E" w:rsidRDefault="000B118E" w:rsidP="000B118E">
      <w:pPr>
        <w:pStyle w:val="ListParagraph"/>
        <w:numPr>
          <w:ilvl w:val="1"/>
          <w:numId w:val="2"/>
        </w:numPr>
        <w:rPr>
          <w:rFonts w:cs="Calibri"/>
        </w:rPr>
      </w:pPr>
      <w:r>
        <w:rPr>
          <w:rFonts w:ascii="Calibri" w:eastAsia="Times New Roman" w:hAnsi="Calibri" w:cs="Calibri"/>
        </w:rPr>
        <w:t>Doubled the number of participants from 2010 to 2012 (~250 to ~512)</w:t>
      </w:r>
    </w:p>
    <w:p w:rsidR="00CF22F6" w:rsidRPr="00A61108" w:rsidRDefault="00AB0D6A" w:rsidP="00A61108">
      <w:pPr>
        <w:pStyle w:val="ListParagraph"/>
        <w:numPr>
          <w:ilvl w:val="0"/>
          <w:numId w:val="2"/>
        </w:numPr>
        <w:spacing w:after="0"/>
        <w:rPr>
          <w:rFonts w:ascii="Times New Roman" w:hAnsi="Times New Roman" w:cs="Times New Roman"/>
        </w:rPr>
      </w:pPr>
      <w:r>
        <w:rPr>
          <w:rFonts w:ascii="Times New Roman" w:hAnsi="Times New Roman" w:cs="Times New Roman"/>
        </w:rPr>
        <w:t>Kelly will develop a more condensed summary stating whether or not the drill objectives were met.</w:t>
      </w:r>
      <w:r w:rsidR="0048327C">
        <w:rPr>
          <w:rFonts w:ascii="Times New Roman" w:hAnsi="Times New Roman" w:cs="Times New Roman"/>
        </w:rPr>
        <w:t xml:space="preserve">  The OWG will forward the report to ROS when available.</w:t>
      </w:r>
    </w:p>
    <w:p w:rsidR="009B2471" w:rsidRDefault="009B2471" w:rsidP="000F2B8B">
      <w:pPr>
        <w:spacing w:after="0"/>
        <w:rPr>
          <w:rFonts w:ascii="Times New Roman" w:hAnsi="Times New Roman" w:cs="Times New Roman"/>
        </w:rPr>
      </w:pPr>
    </w:p>
    <w:p w:rsidR="00655E7C" w:rsidRPr="00C37408" w:rsidRDefault="00655E7C" w:rsidP="00C37408">
      <w:pPr>
        <w:spacing w:after="0"/>
        <w:rPr>
          <w:rFonts w:ascii="Times New Roman" w:hAnsi="Times New Roman" w:cs="Times New Roman"/>
          <w:b/>
        </w:rPr>
      </w:pPr>
      <w:r w:rsidRPr="00655E7C">
        <w:rPr>
          <w:rFonts w:ascii="Times New Roman" w:hAnsi="Times New Roman" w:cs="Times New Roman"/>
          <w:b/>
        </w:rPr>
        <w:t>Nodal Protocol and Guides Resolution Task Force Report</w:t>
      </w:r>
      <w:r>
        <w:rPr>
          <w:rFonts w:ascii="Times New Roman" w:hAnsi="Times New Roman" w:cs="Times New Roman"/>
          <w:b/>
        </w:rPr>
        <w:t xml:space="preserve"> – </w:t>
      </w:r>
    </w:p>
    <w:p w:rsidR="00655E7C" w:rsidRPr="00C61410" w:rsidRDefault="006E6E77" w:rsidP="00C61410">
      <w:pPr>
        <w:pStyle w:val="ListParagraph"/>
        <w:numPr>
          <w:ilvl w:val="0"/>
          <w:numId w:val="2"/>
        </w:numPr>
        <w:spacing w:after="0"/>
      </w:pPr>
      <w:r>
        <w:t>The NPGRTF d</w:t>
      </w:r>
      <w:r w:rsidR="00AB0D6A">
        <w:t xml:space="preserve">id not meet </w:t>
      </w:r>
      <w:r w:rsidR="00C61410" w:rsidRPr="00C61410">
        <w:t>in July</w:t>
      </w:r>
      <w:r w:rsidR="00914FA4">
        <w:t>.</w:t>
      </w:r>
    </w:p>
    <w:p w:rsidR="00655E7C" w:rsidRPr="009B6AA6" w:rsidRDefault="00655E7C" w:rsidP="00C61410">
      <w:pPr>
        <w:spacing w:after="0"/>
        <w:rPr>
          <w:rFonts w:ascii="Times New Roman" w:hAnsi="Times New Roman" w:cs="Times New Roman"/>
        </w:rPr>
      </w:pPr>
    </w:p>
    <w:p w:rsidR="00672302" w:rsidRPr="009B6AA6" w:rsidRDefault="00FB0BBC" w:rsidP="000F2B8B">
      <w:pPr>
        <w:spacing w:after="0"/>
        <w:rPr>
          <w:rFonts w:ascii="Times New Roman" w:hAnsi="Times New Roman" w:cs="Times New Roman"/>
          <w:b/>
          <w:sz w:val="24"/>
        </w:rPr>
      </w:pPr>
      <w:r w:rsidRPr="009B6AA6">
        <w:rPr>
          <w:rFonts w:ascii="Times New Roman" w:hAnsi="Times New Roman" w:cs="Times New Roman"/>
          <w:b/>
          <w:sz w:val="24"/>
        </w:rPr>
        <w:t>TRE Update</w:t>
      </w:r>
      <w:r w:rsidR="000F2B8B" w:rsidRPr="009B6AA6">
        <w:rPr>
          <w:rFonts w:ascii="Times New Roman" w:hAnsi="Times New Roman" w:cs="Times New Roman"/>
          <w:b/>
          <w:sz w:val="24"/>
        </w:rPr>
        <w:t xml:space="preserve"> Report – </w:t>
      </w:r>
    </w:p>
    <w:p w:rsidR="00606352" w:rsidRPr="00606352" w:rsidRDefault="00606352" w:rsidP="00606352">
      <w:pPr>
        <w:pStyle w:val="ListParagraph"/>
        <w:numPr>
          <w:ilvl w:val="0"/>
          <w:numId w:val="2"/>
        </w:numPr>
        <w:spacing w:after="0"/>
        <w:rPr>
          <w:rFonts w:ascii="Times New Roman" w:hAnsi="Times New Roman" w:cs="Times New Roman"/>
        </w:rPr>
      </w:pPr>
      <w:r w:rsidRPr="00606352">
        <w:rPr>
          <w:rFonts w:ascii="Times New Roman" w:hAnsi="Times New Roman" w:cs="Times New Roman"/>
        </w:rPr>
        <w:t xml:space="preserve">David Penny presented a comparison of Load shed obligation for different entities </w:t>
      </w:r>
      <w:proofErr w:type="spellStart"/>
      <w:r w:rsidRPr="00606352">
        <w:rPr>
          <w:rFonts w:ascii="Times New Roman" w:hAnsi="Times New Roman" w:cs="Times New Roman"/>
        </w:rPr>
        <w:t>vs</w:t>
      </w:r>
      <w:proofErr w:type="spellEnd"/>
      <w:r w:rsidRPr="00606352">
        <w:rPr>
          <w:rFonts w:ascii="Times New Roman" w:hAnsi="Times New Roman" w:cs="Times New Roman"/>
        </w:rPr>
        <w:t xml:space="preserve"> their actual performance. The overall obligation for Load shed was met across ERCOT. But there were some individual entities that failed the obligation but this did not cause major concerns as some of </w:t>
      </w:r>
      <w:proofErr w:type="gramStart"/>
      <w:r w:rsidRPr="00606352">
        <w:rPr>
          <w:rFonts w:ascii="Times New Roman" w:hAnsi="Times New Roman" w:cs="Times New Roman"/>
        </w:rPr>
        <w:t>the  other</w:t>
      </w:r>
      <w:proofErr w:type="gramEnd"/>
      <w:r w:rsidRPr="00606352">
        <w:rPr>
          <w:rFonts w:ascii="Times New Roman" w:hAnsi="Times New Roman" w:cs="Times New Roman"/>
        </w:rPr>
        <w:t xml:space="preserve"> entities over performed.</w:t>
      </w:r>
    </w:p>
    <w:p w:rsidR="00606352" w:rsidRPr="00606352" w:rsidRDefault="00606352" w:rsidP="00606352">
      <w:pPr>
        <w:pStyle w:val="ListParagraph"/>
        <w:spacing w:after="0"/>
        <w:ind w:left="1080"/>
        <w:rPr>
          <w:rFonts w:ascii="Times New Roman" w:hAnsi="Times New Roman" w:cs="Times New Roman"/>
        </w:rPr>
      </w:pPr>
      <w:r w:rsidRPr="00606352">
        <w:rPr>
          <w:rFonts w:ascii="Times New Roman" w:hAnsi="Times New Roman" w:cs="Times New Roman"/>
        </w:rPr>
        <w:t>General observation from the slides is that it is easier for larger entities to meet the load shed obligation while rotating feeders compared to the smaller entities.</w:t>
      </w:r>
    </w:p>
    <w:p w:rsidR="00C61410" w:rsidRDefault="00606352" w:rsidP="00606352">
      <w:pPr>
        <w:pStyle w:val="ListParagraph"/>
        <w:spacing w:after="0"/>
        <w:ind w:left="1080"/>
        <w:rPr>
          <w:rFonts w:ascii="Times New Roman" w:hAnsi="Times New Roman" w:cs="Times New Roman"/>
        </w:rPr>
      </w:pPr>
      <w:r w:rsidRPr="00606352">
        <w:rPr>
          <w:rFonts w:ascii="Times New Roman" w:hAnsi="Times New Roman" w:cs="Times New Roman"/>
        </w:rPr>
        <w:t>No need to change any protocols or operating guides at this point.</w:t>
      </w:r>
    </w:p>
    <w:p w:rsidR="00606352" w:rsidRPr="00C61410" w:rsidRDefault="00606352" w:rsidP="00606352">
      <w:pPr>
        <w:pStyle w:val="ListParagraph"/>
        <w:spacing w:after="0"/>
        <w:ind w:left="1080"/>
        <w:rPr>
          <w:rFonts w:ascii="Times New Roman" w:hAnsi="Times New Roman" w:cs="Times New Roman"/>
        </w:rPr>
      </w:pPr>
    </w:p>
    <w:p w:rsidR="00672302" w:rsidRPr="009B6AA6" w:rsidRDefault="000F2B8B" w:rsidP="00C37408">
      <w:pPr>
        <w:spacing w:after="0"/>
        <w:rPr>
          <w:rFonts w:ascii="Times New Roman" w:hAnsi="Times New Roman" w:cs="Times New Roman"/>
          <w:b/>
          <w:sz w:val="24"/>
        </w:rPr>
      </w:pPr>
      <w:r w:rsidRPr="009B6AA6">
        <w:rPr>
          <w:rFonts w:ascii="Times New Roman" w:hAnsi="Times New Roman" w:cs="Times New Roman"/>
          <w:b/>
          <w:sz w:val="24"/>
        </w:rPr>
        <w:t xml:space="preserve">System Operations Report – </w:t>
      </w:r>
    </w:p>
    <w:p w:rsidR="00C23097" w:rsidRPr="00C23097" w:rsidRDefault="00606352" w:rsidP="00BC3EC5">
      <w:pPr>
        <w:pStyle w:val="ListParagraph"/>
        <w:numPr>
          <w:ilvl w:val="0"/>
          <w:numId w:val="3"/>
        </w:numPr>
        <w:spacing w:after="0"/>
        <w:rPr>
          <w:rFonts w:ascii="Times New Roman" w:hAnsi="Times New Roman" w:cs="Times New Roman"/>
        </w:rPr>
      </w:pPr>
      <w:r w:rsidRPr="00606352">
        <w:rPr>
          <w:rFonts w:ascii="Times New Roman" w:hAnsi="Times New Roman" w:cs="Times New Roman"/>
        </w:rPr>
        <w:lastRenderedPageBreak/>
        <w:t>Colleen mentioned that the procedure changes listed in the monthly report were reviewed at the last OWG meeting.  They were related to changing “EILS” to “ERS”.  The ERCOT Operator procedure changes that occurred in July were adding the 30 minute ERS pilot project into the EEA levels.  Updated the STP voltage table and added more information about TCEQ notifications.</w:t>
      </w:r>
    </w:p>
    <w:p w:rsidR="00F3274F" w:rsidRPr="009B6AA6" w:rsidRDefault="00F3274F" w:rsidP="009B2471">
      <w:pPr>
        <w:spacing w:after="0"/>
        <w:rPr>
          <w:rFonts w:ascii="Times New Roman" w:hAnsi="Times New Roman" w:cs="Times New Roman"/>
        </w:rPr>
      </w:pPr>
    </w:p>
    <w:p w:rsidR="00672302" w:rsidRDefault="00672302" w:rsidP="000F2B8B">
      <w:pPr>
        <w:spacing w:after="0"/>
        <w:rPr>
          <w:rFonts w:ascii="Times New Roman" w:hAnsi="Times New Roman" w:cs="Times New Roman"/>
          <w:b/>
          <w:sz w:val="24"/>
        </w:rPr>
      </w:pPr>
      <w:r w:rsidRPr="009B6AA6">
        <w:rPr>
          <w:rFonts w:ascii="Times New Roman" w:hAnsi="Times New Roman" w:cs="Times New Roman"/>
          <w:b/>
          <w:sz w:val="24"/>
        </w:rPr>
        <w:t xml:space="preserve">Other – </w:t>
      </w:r>
    </w:p>
    <w:p w:rsidR="00655E7C" w:rsidRPr="00BC3EC5" w:rsidRDefault="00BC3EC5" w:rsidP="00BC3EC5">
      <w:pPr>
        <w:pStyle w:val="ListParagraph"/>
        <w:numPr>
          <w:ilvl w:val="0"/>
          <w:numId w:val="3"/>
        </w:numPr>
        <w:spacing w:after="0"/>
        <w:rPr>
          <w:rFonts w:ascii="Times New Roman" w:hAnsi="Times New Roman" w:cs="Times New Roman"/>
        </w:rPr>
      </w:pPr>
      <w:r>
        <w:rPr>
          <w:rFonts w:ascii="Times New Roman" w:hAnsi="Times New Roman" w:cs="Times New Roman"/>
        </w:rPr>
        <w:t>T</w:t>
      </w:r>
      <w:r w:rsidRPr="00BC3EC5">
        <w:rPr>
          <w:rFonts w:ascii="Times New Roman" w:hAnsi="Times New Roman" w:cs="Times New Roman"/>
        </w:rPr>
        <w:t>he group considered the need of a dedicated seminar group.</w:t>
      </w:r>
      <w:r>
        <w:rPr>
          <w:rFonts w:ascii="Times New Roman" w:hAnsi="Times New Roman" w:cs="Times New Roman"/>
        </w:rPr>
        <w:t xml:space="preserve">  </w:t>
      </w:r>
      <w:r w:rsidRPr="00BC3EC5">
        <w:rPr>
          <w:rFonts w:ascii="Times New Roman" w:hAnsi="Times New Roman" w:cs="Times New Roman"/>
        </w:rPr>
        <w:t>OWG recognizes that the development of the annual seminar is a specialized and laborious process that requires the efforts of a dedicated task force.  OWG unanimously recommends that ROS create a Seminar Task Force (STF) reporting to OWG for the specific purpose of developing and conducting an annual training seminar.</w:t>
      </w:r>
      <w:r w:rsidR="00B01D88">
        <w:rPr>
          <w:rFonts w:ascii="Times New Roman" w:hAnsi="Times New Roman" w:cs="Times New Roman"/>
        </w:rPr>
        <w:t xml:space="preserve">  OWG recommends that ROS further approve the Scope </w:t>
      </w:r>
      <w:r w:rsidR="003D516B">
        <w:rPr>
          <w:rFonts w:ascii="Times New Roman" w:hAnsi="Times New Roman" w:cs="Times New Roman"/>
        </w:rPr>
        <w:t xml:space="preserve">and Chair </w:t>
      </w:r>
      <w:r w:rsidR="00B01D88">
        <w:rPr>
          <w:rFonts w:ascii="Times New Roman" w:hAnsi="Times New Roman" w:cs="Times New Roman"/>
        </w:rPr>
        <w:t>of the STF.  OWG submitted these items for vote at the August ROS meeting.</w:t>
      </w:r>
    </w:p>
    <w:p w:rsidR="00BC3EC5" w:rsidRDefault="00BC3EC5" w:rsidP="000F2B8B">
      <w:pPr>
        <w:spacing w:after="0"/>
        <w:rPr>
          <w:rFonts w:ascii="Times New Roman" w:hAnsi="Times New Roman" w:cs="Times New Roman"/>
          <w:b/>
          <w:sz w:val="24"/>
        </w:rPr>
      </w:pPr>
    </w:p>
    <w:p w:rsidR="00364ED7" w:rsidRPr="009B6AA6" w:rsidRDefault="00364ED7" w:rsidP="000F2B8B">
      <w:pPr>
        <w:spacing w:after="0"/>
        <w:rPr>
          <w:rFonts w:ascii="Times New Roman" w:hAnsi="Times New Roman" w:cs="Times New Roman"/>
          <w:b/>
          <w:sz w:val="24"/>
        </w:rPr>
      </w:pPr>
      <w:r w:rsidRPr="009B6AA6">
        <w:rPr>
          <w:rFonts w:ascii="Times New Roman" w:hAnsi="Times New Roman" w:cs="Times New Roman"/>
          <w:b/>
          <w:sz w:val="24"/>
        </w:rPr>
        <w:t xml:space="preserve">Future Meeting Dates – </w:t>
      </w:r>
    </w:p>
    <w:p w:rsidR="0047273C" w:rsidRPr="007C6C5F" w:rsidRDefault="00606352" w:rsidP="00A0788C">
      <w:pPr>
        <w:spacing w:after="0"/>
        <w:rPr>
          <w:rFonts w:ascii="Georgia" w:hAnsi="Georgia"/>
        </w:rPr>
      </w:pPr>
      <w:r>
        <w:rPr>
          <w:rFonts w:ascii="Times New Roman" w:hAnsi="Times New Roman" w:cs="Times New Roman"/>
        </w:rPr>
        <w:t>August</w:t>
      </w:r>
      <w:r w:rsidR="00C37408">
        <w:rPr>
          <w:rFonts w:ascii="Times New Roman" w:hAnsi="Times New Roman" w:cs="Times New Roman"/>
        </w:rPr>
        <w:t xml:space="preserve"> 1</w:t>
      </w:r>
      <w:r>
        <w:rPr>
          <w:rFonts w:ascii="Times New Roman" w:hAnsi="Times New Roman" w:cs="Times New Roman"/>
        </w:rPr>
        <w:t>5</w:t>
      </w:r>
      <w:r w:rsidR="007C6C5F">
        <w:rPr>
          <w:rFonts w:ascii="Georgia" w:hAnsi="Georgia"/>
        </w:rPr>
        <w:t>th, 2012</w:t>
      </w:r>
    </w:p>
    <w:sectPr w:rsidR="0047273C" w:rsidRPr="007C6C5F" w:rsidSect="00CE22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611CC"/>
    <w:multiLevelType w:val="hybridMultilevel"/>
    <w:tmpl w:val="C37AB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7C1DD3"/>
    <w:multiLevelType w:val="hybridMultilevel"/>
    <w:tmpl w:val="B5F0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F64793"/>
    <w:multiLevelType w:val="hybridMultilevel"/>
    <w:tmpl w:val="51883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FF23AC"/>
    <w:multiLevelType w:val="hybridMultilevel"/>
    <w:tmpl w:val="64F69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F909B0"/>
    <w:multiLevelType w:val="hybridMultilevel"/>
    <w:tmpl w:val="CE4835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8AB3AB3"/>
    <w:multiLevelType w:val="hybridMultilevel"/>
    <w:tmpl w:val="31EA6B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D5B3495"/>
    <w:multiLevelType w:val="hybridMultilevel"/>
    <w:tmpl w:val="27FE8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01F6301"/>
    <w:multiLevelType w:val="hybridMultilevel"/>
    <w:tmpl w:val="BEA2C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B005A1"/>
    <w:multiLevelType w:val="hybridMultilevel"/>
    <w:tmpl w:val="C9B26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181127"/>
    <w:multiLevelType w:val="hybridMultilevel"/>
    <w:tmpl w:val="F1444E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9"/>
  </w:num>
  <w:num w:numId="3">
    <w:abstractNumId w:val="5"/>
  </w:num>
  <w:num w:numId="4">
    <w:abstractNumId w:val="7"/>
  </w:num>
  <w:num w:numId="5">
    <w:abstractNumId w:val="3"/>
  </w:num>
  <w:num w:numId="6">
    <w:abstractNumId w:val="0"/>
  </w:num>
  <w:num w:numId="7">
    <w:abstractNumId w:val="8"/>
  </w:num>
  <w:num w:numId="8">
    <w:abstractNumId w:val="2"/>
  </w:num>
  <w:num w:numId="9">
    <w:abstractNumId w:val="1"/>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doNotDisplayPageBoundaries/>
  <w:proofState w:spelling="clean" w:grammar="clean"/>
  <w:defaultTabStop w:val="720"/>
  <w:characterSpacingControl w:val="doNotCompress"/>
  <w:compat>
    <w:useFELayout/>
  </w:compat>
  <w:rsids>
    <w:rsidRoot w:val="00A0788C"/>
    <w:rsid w:val="00013694"/>
    <w:rsid w:val="0006701A"/>
    <w:rsid w:val="000704FA"/>
    <w:rsid w:val="000B118E"/>
    <w:rsid w:val="000F2B8B"/>
    <w:rsid w:val="00127C45"/>
    <w:rsid w:val="001300F3"/>
    <w:rsid w:val="001401BB"/>
    <w:rsid w:val="00177504"/>
    <w:rsid w:val="001E353E"/>
    <w:rsid w:val="00256EDE"/>
    <w:rsid w:val="00263CEA"/>
    <w:rsid w:val="002A23C9"/>
    <w:rsid w:val="002A4A9E"/>
    <w:rsid w:val="00331489"/>
    <w:rsid w:val="003600B6"/>
    <w:rsid w:val="00364ED7"/>
    <w:rsid w:val="00370EC3"/>
    <w:rsid w:val="00396E23"/>
    <w:rsid w:val="003B2C22"/>
    <w:rsid w:val="003D516B"/>
    <w:rsid w:val="003D5246"/>
    <w:rsid w:val="004308AD"/>
    <w:rsid w:val="00435944"/>
    <w:rsid w:val="00447403"/>
    <w:rsid w:val="00462E30"/>
    <w:rsid w:val="004666B1"/>
    <w:rsid w:val="0047273C"/>
    <w:rsid w:val="004805AC"/>
    <w:rsid w:val="0048327C"/>
    <w:rsid w:val="00485E20"/>
    <w:rsid w:val="004A2211"/>
    <w:rsid w:val="004A571E"/>
    <w:rsid w:val="004B3967"/>
    <w:rsid w:val="004D5166"/>
    <w:rsid w:val="005178A8"/>
    <w:rsid w:val="00521C01"/>
    <w:rsid w:val="00527D2D"/>
    <w:rsid w:val="0053172D"/>
    <w:rsid w:val="00541DA5"/>
    <w:rsid w:val="00583676"/>
    <w:rsid w:val="00590BB0"/>
    <w:rsid w:val="00592401"/>
    <w:rsid w:val="005A4A3C"/>
    <w:rsid w:val="005B14A9"/>
    <w:rsid w:val="00606352"/>
    <w:rsid w:val="00621007"/>
    <w:rsid w:val="00637621"/>
    <w:rsid w:val="00655E7C"/>
    <w:rsid w:val="00655F35"/>
    <w:rsid w:val="00662858"/>
    <w:rsid w:val="00672302"/>
    <w:rsid w:val="00693A65"/>
    <w:rsid w:val="006A48A1"/>
    <w:rsid w:val="006B2C72"/>
    <w:rsid w:val="006C45FD"/>
    <w:rsid w:val="006D7ADC"/>
    <w:rsid w:val="006E6E77"/>
    <w:rsid w:val="007173AE"/>
    <w:rsid w:val="00734CA7"/>
    <w:rsid w:val="00740FF4"/>
    <w:rsid w:val="007B1481"/>
    <w:rsid w:val="007C6C5F"/>
    <w:rsid w:val="007D1DD3"/>
    <w:rsid w:val="007E783C"/>
    <w:rsid w:val="00812757"/>
    <w:rsid w:val="008317DF"/>
    <w:rsid w:val="00834E79"/>
    <w:rsid w:val="00836DCA"/>
    <w:rsid w:val="0086111A"/>
    <w:rsid w:val="0086459D"/>
    <w:rsid w:val="00884B84"/>
    <w:rsid w:val="008B4377"/>
    <w:rsid w:val="008B7149"/>
    <w:rsid w:val="00902B74"/>
    <w:rsid w:val="00904754"/>
    <w:rsid w:val="00914FA4"/>
    <w:rsid w:val="00956025"/>
    <w:rsid w:val="00960EB9"/>
    <w:rsid w:val="00992EBA"/>
    <w:rsid w:val="009B232B"/>
    <w:rsid w:val="009B2471"/>
    <w:rsid w:val="009B6AA6"/>
    <w:rsid w:val="00A0788C"/>
    <w:rsid w:val="00A16300"/>
    <w:rsid w:val="00A35D8B"/>
    <w:rsid w:val="00A5083E"/>
    <w:rsid w:val="00A61108"/>
    <w:rsid w:val="00A64492"/>
    <w:rsid w:val="00AB0D6A"/>
    <w:rsid w:val="00AC05C3"/>
    <w:rsid w:val="00AC57E7"/>
    <w:rsid w:val="00AC7B9F"/>
    <w:rsid w:val="00AD180D"/>
    <w:rsid w:val="00B01D88"/>
    <w:rsid w:val="00B32C21"/>
    <w:rsid w:val="00B33277"/>
    <w:rsid w:val="00B52FEA"/>
    <w:rsid w:val="00B62AF1"/>
    <w:rsid w:val="00B648B1"/>
    <w:rsid w:val="00B66BCE"/>
    <w:rsid w:val="00BA3F5E"/>
    <w:rsid w:val="00BC3EC5"/>
    <w:rsid w:val="00BD145D"/>
    <w:rsid w:val="00BD3F7D"/>
    <w:rsid w:val="00BF17E4"/>
    <w:rsid w:val="00C23097"/>
    <w:rsid w:val="00C37408"/>
    <w:rsid w:val="00C46AA0"/>
    <w:rsid w:val="00C61410"/>
    <w:rsid w:val="00C802BB"/>
    <w:rsid w:val="00CE2266"/>
    <w:rsid w:val="00CF22F6"/>
    <w:rsid w:val="00D229AE"/>
    <w:rsid w:val="00D51E3F"/>
    <w:rsid w:val="00D63E5E"/>
    <w:rsid w:val="00D94ABD"/>
    <w:rsid w:val="00DA136F"/>
    <w:rsid w:val="00DB285C"/>
    <w:rsid w:val="00DC08A7"/>
    <w:rsid w:val="00DE221D"/>
    <w:rsid w:val="00E54337"/>
    <w:rsid w:val="00E573DB"/>
    <w:rsid w:val="00E6058A"/>
    <w:rsid w:val="00E850B4"/>
    <w:rsid w:val="00EE2055"/>
    <w:rsid w:val="00F12322"/>
    <w:rsid w:val="00F15C5B"/>
    <w:rsid w:val="00F3274F"/>
    <w:rsid w:val="00F624F4"/>
    <w:rsid w:val="00F926A6"/>
    <w:rsid w:val="00FB0BBC"/>
    <w:rsid w:val="00FB0D09"/>
    <w:rsid w:val="00FC25F5"/>
    <w:rsid w:val="00FC5F97"/>
    <w:rsid w:val="00FD20DE"/>
    <w:rsid w:val="00FF0BD2"/>
    <w:rsid w:val="00FF45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0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229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F2B8B"/>
    <w:pPr>
      <w:ind w:left="720"/>
      <w:contextualSpacing/>
    </w:pPr>
  </w:style>
  <w:style w:type="paragraph" w:styleId="BalloonText">
    <w:name w:val="Balloon Text"/>
    <w:basedOn w:val="Normal"/>
    <w:link w:val="BalloonTextChar"/>
    <w:uiPriority w:val="99"/>
    <w:semiHidden/>
    <w:unhideWhenUsed/>
    <w:rsid w:val="00AC7B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7B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272220">
      <w:bodyDiv w:val="1"/>
      <w:marLeft w:val="0"/>
      <w:marRight w:val="0"/>
      <w:marTop w:val="0"/>
      <w:marBottom w:val="0"/>
      <w:divBdr>
        <w:top w:val="none" w:sz="0" w:space="0" w:color="auto"/>
        <w:left w:val="none" w:sz="0" w:space="0" w:color="auto"/>
        <w:bottom w:val="none" w:sz="0" w:space="0" w:color="auto"/>
        <w:right w:val="none" w:sz="0" w:space="0" w:color="auto"/>
      </w:divBdr>
      <w:divsChild>
        <w:div w:id="2137094509">
          <w:marLeft w:val="0"/>
          <w:marRight w:val="0"/>
          <w:marTop w:val="0"/>
          <w:marBottom w:val="0"/>
          <w:divBdr>
            <w:top w:val="none" w:sz="0" w:space="0" w:color="auto"/>
            <w:left w:val="none" w:sz="0" w:space="0" w:color="auto"/>
            <w:bottom w:val="none" w:sz="0" w:space="0" w:color="auto"/>
            <w:right w:val="none" w:sz="0" w:space="0" w:color="auto"/>
          </w:divBdr>
          <w:divsChild>
            <w:div w:id="2070111506">
              <w:marLeft w:val="0"/>
              <w:marRight w:val="0"/>
              <w:marTop w:val="0"/>
              <w:marBottom w:val="0"/>
              <w:divBdr>
                <w:top w:val="none" w:sz="0" w:space="0" w:color="auto"/>
                <w:left w:val="none" w:sz="0" w:space="0" w:color="auto"/>
                <w:bottom w:val="none" w:sz="0" w:space="0" w:color="auto"/>
                <w:right w:val="none" w:sz="0" w:space="0" w:color="auto"/>
              </w:divBdr>
              <w:divsChild>
                <w:div w:id="142510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454944">
      <w:bodyDiv w:val="1"/>
      <w:marLeft w:val="0"/>
      <w:marRight w:val="0"/>
      <w:marTop w:val="0"/>
      <w:marBottom w:val="0"/>
      <w:divBdr>
        <w:top w:val="none" w:sz="0" w:space="0" w:color="auto"/>
        <w:left w:val="none" w:sz="0" w:space="0" w:color="auto"/>
        <w:bottom w:val="none" w:sz="0" w:space="0" w:color="auto"/>
        <w:right w:val="none" w:sz="0" w:space="0" w:color="auto"/>
      </w:divBdr>
      <w:divsChild>
        <w:div w:id="1675573545">
          <w:marLeft w:val="0"/>
          <w:marRight w:val="0"/>
          <w:marTop w:val="0"/>
          <w:marBottom w:val="0"/>
          <w:divBdr>
            <w:top w:val="single" w:sz="2" w:space="0" w:color="FFFFFF"/>
            <w:left w:val="single" w:sz="48" w:space="0" w:color="FCFBF5"/>
            <w:bottom w:val="single" w:sz="2" w:space="0" w:color="FFFFFF"/>
            <w:right w:val="single" w:sz="2" w:space="0" w:color="FFFFFF"/>
          </w:divBdr>
          <w:divsChild>
            <w:div w:id="1148478710">
              <w:marLeft w:val="0"/>
              <w:marRight w:val="0"/>
              <w:marTop w:val="0"/>
              <w:marBottom w:val="0"/>
              <w:divBdr>
                <w:top w:val="none" w:sz="0" w:space="0" w:color="auto"/>
                <w:left w:val="none" w:sz="0" w:space="0" w:color="auto"/>
                <w:bottom w:val="none" w:sz="0" w:space="0" w:color="auto"/>
                <w:right w:val="none" w:sz="0" w:space="0" w:color="auto"/>
              </w:divBdr>
              <w:divsChild>
                <w:div w:id="1385521681">
                  <w:marLeft w:val="-18"/>
                  <w:marRight w:val="-74"/>
                  <w:marTop w:val="0"/>
                  <w:marBottom w:val="0"/>
                  <w:divBdr>
                    <w:top w:val="none" w:sz="0" w:space="0" w:color="auto"/>
                    <w:left w:val="none" w:sz="0" w:space="0" w:color="auto"/>
                    <w:bottom w:val="none" w:sz="0" w:space="0" w:color="auto"/>
                    <w:right w:val="none" w:sz="0" w:space="0" w:color="auto"/>
                  </w:divBdr>
                  <w:divsChild>
                    <w:div w:id="761990794">
                      <w:marLeft w:val="0"/>
                      <w:marRight w:val="0"/>
                      <w:marTop w:val="0"/>
                      <w:marBottom w:val="0"/>
                      <w:divBdr>
                        <w:top w:val="none" w:sz="0" w:space="0" w:color="auto"/>
                        <w:left w:val="none" w:sz="0" w:space="0" w:color="auto"/>
                        <w:bottom w:val="none" w:sz="0" w:space="0" w:color="auto"/>
                        <w:right w:val="none" w:sz="0" w:space="0" w:color="auto"/>
                      </w:divBdr>
                      <w:divsChild>
                        <w:div w:id="2144689273">
                          <w:marLeft w:val="-138"/>
                          <w:marRight w:val="-138"/>
                          <w:marTop w:val="0"/>
                          <w:marBottom w:val="0"/>
                          <w:divBdr>
                            <w:top w:val="none" w:sz="0" w:space="0" w:color="auto"/>
                            <w:left w:val="none" w:sz="0" w:space="0" w:color="auto"/>
                            <w:bottom w:val="none" w:sz="0" w:space="0" w:color="auto"/>
                            <w:right w:val="none" w:sz="0" w:space="0" w:color="auto"/>
                          </w:divBdr>
                          <w:divsChild>
                            <w:div w:id="169523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C65775-46E7-4540-877F-D509F8CB4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656</Words>
  <Characters>3743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OWG Report February 2012</vt:lpstr>
    </vt:vector>
  </TitlesOfParts>
  <Company>CenterPoint Energy</Company>
  <LinksUpToDate>false</LinksUpToDate>
  <CharactersWithSpaces>4391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OWG Report February 2012</dc:title>
  <dc:creator>Brad Calhoun</dc:creator>
  <cp:lastModifiedBy>Brad Calhoun</cp:lastModifiedBy>
  <cp:revision>2</cp:revision>
  <dcterms:created xsi:type="dcterms:W3CDTF">2012-08-01T11:50:00Z</dcterms:created>
  <dcterms:modified xsi:type="dcterms:W3CDTF">2012-08-01T11:50:00Z</dcterms:modified>
</cp:coreProperties>
</file>