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127C45" w:rsidP="00A0788C">
      <w:pPr>
        <w:spacing w:after="0"/>
        <w:jc w:val="center"/>
        <w:rPr>
          <w:rFonts w:ascii="Times New Roman" w:hAnsi="Times New Roman" w:cs="Times New Roman"/>
        </w:rPr>
      </w:pPr>
      <w:r>
        <w:rPr>
          <w:rFonts w:ascii="Times New Roman" w:hAnsi="Times New Roman" w:cs="Times New Roman"/>
        </w:rPr>
        <w:t>July</w:t>
      </w:r>
      <w:r w:rsidR="00A0788C" w:rsidRPr="009B6AA6">
        <w:rPr>
          <w:rFonts w:ascii="Times New Roman" w:hAnsi="Times New Roman" w:cs="Times New Roman"/>
        </w:rPr>
        <w:t>, 2012</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127C45">
        <w:rPr>
          <w:rFonts w:ascii="Times New Roman" w:hAnsi="Times New Roman" w:cs="Times New Roman"/>
        </w:rPr>
        <w:t>g Group (OWG) met on June 13</w:t>
      </w:r>
      <w:r w:rsidRPr="009B6AA6">
        <w:rPr>
          <w:rFonts w:ascii="Times New Roman" w:hAnsi="Times New Roman" w:cs="Times New Roman"/>
        </w:rPr>
        <w:t>, 2012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127C45" w:rsidP="00A0788C">
      <w:pPr>
        <w:spacing w:after="0"/>
        <w:rPr>
          <w:rFonts w:ascii="Times New Roman" w:hAnsi="Times New Roman" w:cs="Times New Roman"/>
          <w:b/>
          <w:sz w:val="24"/>
        </w:rPr>
      </w:pPr>
      <w:r>
        <w:rPr>
          <w:rFonts w:ascii="Times New Roman" w:hAnsi="Times New Roman" w:cs="Times New Roman"/>
          <w:b/>
          <w:sz w:val="24"/>
        </w:rPr>
        <w:t>May</w:t>
      </w:r>
      <w:r w:rsidR="00DC08A7" w:rsidRPr="009B6AA6">
        <w:rPr>
          <w:rFonts w:ascii="Times New Roman" w:hAnsi="Times New Roman" w:cs="Times New Roman"/>
          <w:b/>
          <w:sz w:val="24"/>
        </w:rPr>
        <w:t xml:space="preserve"> OWG Meeting Minutes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127C45">
        <w:rPr>
          <w:rFonts w:ascii="Times New Roman" w:hAnsi="Times New Roman" w:cs="Times New Roman"/>
        </w:rPr>
        <w:t>viewed and approved the May</w:t>
      </w:r>
      <w:r w:rsidRPr="009B6AA6">
        <w:rPr>
          <w:rFonts w:ascii="Times New Roman" w:hAnsi="Times New Roman" w:cs="Times New Roman"/>
        </w:rPr>
        <w:t xml:space="preserve"> meeting minutes.</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62858"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tbl>
      <w:tblPr>
        <w:tblStyle w:val="TableGrid"/>
        <w:tblW w:w="6390" w:type="dxa"/>
        <w:tblInd w:w="1638" w:type="dxa"/>
        <w:tblLook w:val="04A0"/>
      </w:tblPr>
      <w:tblGrid>
        <w:gridCol w:w="6390"/>
      </w:tblGrid>
      <w:tr w:rsidR="00621007" w:rsidRPr="009B6AA6" w:rsidTr="008C631F">
        <w:tc>
          <w:tcPr>
            <w:tcW w:w="6390" w:type="dxa"/>
            <w:shd w:val="clear" w:color="auto" w:fill="000000" w:themeFill="text1"/>
          </w:tcPr>
          <w:p w:rsidR="00621007" w:rsidRPr="009B6AA6" w:rsidRDefault="00621007" w:rsidP="008C631F">
            <w:pPr>
              <w:jc w:val="center"/>
              <w:rPr>
                <w:rFonts w:ascii="Times New Roman" w:hAnsi="Times New Roman" w:cs="Times New Roman"/>
                <w:b/>
                <w:color w:val="00B050"/>
              </w:rPr>
            </w:pPr>
            <w:r>
              <w:rPr>
                <w:rFonts w:ascii="Times New Roman" w:hAnsi="Times New Roman" w:cs="Times New Roman"/>
                <w:b/>
                <w:color w:val="00B050"/>
              </w:rPr>
              <w:t>091</w:t>
            </w:r>
            <w:r w:rsidRPr="009B6AA6">
              <w:rPr>
                <w:rFonts w:ascii="Times New Roman" w:hAnsi="Times New Roman" w:cs="Times New Roman"/>
                <w:b/>
                <w:color w:val="00B050"/>
              </w:rPr>
              <w:t>NOGRR</w:t>
            </w:r>
            <w:r w:rsidRPr="0006701A">
              <w:rPr>
                <w:rFonts w:ascii="Times New Roman" w:hAnsi="Times New Roman" w:cs="Times New Roman"/>
                <w:b/>
                <w:noProof/>
                <w:color w:val="00B050"/>
              </w:rPr>
              <w:drawing>
                <wp:inline distT="0" distB="0" distL="0" distR="0">
                  <wp:extent cx="135456" cy="118652"/>
                  <wp:effectExtent l="19050" t="0" r="0" b="0"/>
                  <wp:docPr id="9"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621007" w:rsidRPr="009B6AA6" w:rsidTr="008C631F">
        <w:tc>
          <w:tcPr>
            <w:tcW w:w="6390" w:type="dxa"/>
          </w:tcPr>
          <w:p w:rsidR="00621007" w:rsidRPr="009B6AA6" w:rsidRDefault="00621007" w:rsidP="008C631F">
            <w:pPr>
              <w:jc w:val="center"/>
              <w:rPr>
                <w:rFonts w:ascii="Times New Roman" w:hAnsi="Times New Roman" w:cs="Times New Roman"/>
                <w:b/>
              </w:rPr>
            </w:pPr>
            <w:r w:rsidRPr="00621007">
              <w:rPr>
                <w:rFonts w:ascii="Times New Roman" w:hAnsi="Times New Roman" w:cs="Times New Roman"/>
                <w:b/>
              </w:rPr>
              <w:t>Criteria for the Selection of Operators.</w:t>
            </w:r>
          </w:p>
        </w:tc>
      </w:tr>
      <w:tr w:rsidR="00621007" w:rsidRPr="009B6AA6" w:rsidTr="008C631F">
        <w:tc>
          <w:tcPr>
            <w:tcW w:w="6390" w:type="dxa"/>
          </w:tcPr>
          <w:p w:rsidR="00621007" w:rsidRPr="009B6AA6" w:rsidRDefault="00127C45" w:rsidP="008C631F">
            <w:pPr>
              <w:jc w:val="center"/>
              <w:rPr>
                <w:rFonts w:ascii="Times New Roman" w:hAnsi="Times New Roman" w:cs="Times New Roman"/>
              </w:rPr>
            </w:pPr>
            <w:r w:rsidRPr="00127C45">
              <w:rPr>
                <w:rFonts w:ascii="Times New Roman" w:hAnsi="Times New Roman" w:cs="Times New Roman"/>
              </w:rPr>
              <w:t>Impact Analysis Review</w:t>
            </w:r>
          </w:p>
        </w:tc>
      </w:tr>
      <w:tr w:rsidR="00621007" w:rsidRPr="009B6AA6" w:rsidTr="008C631F">
        <w:tc>
          <w:tcPr>
            <w:tcW w:w="6390" w:type="dxa"/>
          </w:tcPr>
          <w:p w:rsidR="00621007" w:rsidRPr="009B6AA6" w:rsidRDefault="00621007" w:rsidP="00127C45">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127C45">
              <w:rPr>
                <w:rFonts w:ascii="Times New Roman" w:hAnsi="Times New Roman" w:cs="Times New Roman"/>
                <w:color w:val="00B050"/>
              </w:rPr>
              <w:t>OWG Recommends ROS Approval</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extent cx="135456" cy="118652"/>
                  <wp:effectExtent l="19050" t="0" r="0" b="0"/>
                  <wp:docPr id="10"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621007" w:rsidRPr="009B6AA6" w:rsidTr="008C631F">
        <w:tc>
          <w:tcPr>
            <w:tcW w:w="6390" w:type="dxa"/>
          </w:tcPr>
          <w:p w:rsidR="00621007" w:rsidRPr="009B6AA6" w:rsidRDefault="00621007" w:rsidP="008C631F">
            <w:pPr>
              <w:jc w:val="center"/>
              <w:rPr>
                <w:rFonts w:ascii="Times New Roman" w:hAnsi="Times New Roman" w:cs="Times New Roman"/>
              </w:rPr>
            </w:pPr>
            <w:r w:rsidRPr="009B6AA6">
              <w:rPr>
                <w:rFonts w:ascii="Times New Roman" w:hAnsi="Times New Roman" w:cs="Times New Roman"/>
              </w:rPr>
              <w:t>Discussion:</w:t>
            </w:r>
          </w:p>
          <w:p w:rsidR="00621007" w:rsidRPr="009B6AA6" w:rsidRDefault="00621007" w:rsidP="008C631F">
            <w:pPr>
              <w:jc w:val="center"/>
              <w:rPr>
                <w:rFonts w:ascii="Times New Roman" w:hAnsi="Times New Roman" w:cs="Times New Roman"/>
              </w:rPr>
            </w:pPr>
            <w:r w:rsidRPr="00621007">
              <w:rPr>
                <w:rFonts w:ascii="Times New Roman" w:hAnsi="Times New Roman" w:cs="Times New Roman"/>
              </w:rPr>
              <w:t>This Nodal Operating Guide Revision Request (NOGRR) adds clarification to the criteria for the selection of operators in the ERCOT Region.  Removes ambiguous wording, but retains important criteria specific for operators. [ERCOT] Language Review</w:t>
            </w:r>
            <w:r w:rsidRPr="009B6AA6">
              <w:rPr>
                <w:rFonts w:ascii="Times New Roman" w:hAnsi="Times New Roman" w:cs="Times New Roman"/>
              </w:rPr>
              <w:t>.</w:t>
            </w:r>
          </w:p>
          <w:p w:rsidR="00621007" w:rsidRDefault="00621007" w:rsidP="008C631F">
            <w:pPr>
              <w:jc w:val="center"/>
              <w:rPr>
                <w:rFonts w:ascii="Times New Roman" w:hAnsi="Times New Roman" w:cs="Times New Roman"/>
              </w:rPr>
            </w:pPr>
          </w:p>
          <w:p w:rsidR="00621007" w:rsidRDefault="00621007" w:rsidP="008C631F">
            <w:pPr>
              <w:jc w:val="center"/>
              <w:rPr>
                <w:rFonts w:ascii="Times New Roman" w:hAnsi="Times New Roman" w:cs="Times New Roman"/>
              </w:rPr>
            </w:pPr>
            <w:r>
              <w:rPr>
                <w:rFonts w:ascii="Times New Roman" w:hAnsi="Times New Roman" w:cs="Times New Roman"/>
              </w:rPr>
              <w:t>On 5/16/12, OWG</w:t>
            </w:r>
            <w:r w:rsidRPr="00621007">
              <w:rPr>
                <w:rFonts w:ascii="Times New Roman" w:hAnsi="Times New Roman" w:cs="Times New Roman"/>
              </w:rPr>
              <w:t xml:space="preserve"> agreed that the criteria for selection of operators in Section 1.5.5 does not comply with the North American Electric Reliability Corporation (NERC) Reliability Standards and instead should be determined by the individual Entity.  Participants and ERCOT Staff agreed to delete section 1.5.5 in its entirety.</w:t>
            </w:r>
            <w:r w:rsidR="0053172D">
              <w:rPr>
                <w:rFonts w:ascii="Times New Roman" w:hAnsi="Times New Roman" w:cs="Times New Roman"/>
              </w:rPr>
              <w:t xml:space="preserve">  </w:t>
            </w:r>
            <w:r w:rsidR="00127C45">
              <w:rPr>
                <w:rFonts w:ascii="Times New Roman" w:hAnsi="Times New Roman" w:cs="Times New Roman"/>
              </w:rPr>
              <w:t>After review of the Impact</w:t>
            </w:r>
            <w:r w:rsidR="0053172D">
              <w:rPr>
                <w:rFonts w:ascii="Times New Roman" w:hAnsi="Times New Roman" w:cs="Times New Roman"/>
              </w:rPr>
              <w:t xml:space="preserve"> Analysis</w:t>
            </w:r>
            <w:r w:rsidR="00127C45">
              <w:rPr>
                <w:rFonts w:ascii="Times New Roman" w:hAnsi="Times New Roman" w:cs="Times New Roman"/>
              </w:rPr>
              <w:t>, OWG recommends ROS approval</w:t>
            </w:r>
            <w:r w:rsidR="0053172D">
              <w:rPr>
                <w:rFonts w:ascii="Times New Roman" w:hAnsi="Times New Roman" w:cs="Times New Roman"/>
              </w:rPr>
              <w:t>.</w:t>
            </w:r>
          </w:p>
          <w:p w:rsidR="00621007" w:rsidRPr="009B6AA6" w:rsidRDefault="00621007" w:rsidP="008C631F">
            <w:pPr>
              <w:jc w:val="center"/>
              <w:rPr>
                <w:rFonts w:ascii="Times New Roman" w:hAnsi="Times New Roman" w:cs="Times New Roman"/>
              </w:rPr>
            </w:pPr>
          </w:p>
        </w:tc>
      </w:tr>
    </w:tbl>
    <w:p w:rsidR="00621007" w:rsidRPr="009B6AA6" w:rsidRDefault="00621007" w:rsidP="00A0788C">
      <w:pPr>
        <w:spacing w:after="0"/>
        <w:rPr>
          <w:rFonts w:ascii="Times New Roman" w:hAnsi="Times New Roman" w:cs="Times New Roman"/>
        </w:rPr>
      </w:pPr>
    </w:p>
    <w:tbl>
      <w:tblPr>
        <w:tblStyle w:val="TableGrid"/>
        <w:tblW w:w="6390" w:type="dxa"/>
        <w:tblInd w:w="1638" w:type="dxa"/>
        <w:tblLook w:val="04A0"/>
      </w:tblPr>
      <w:tblGrid>
        <w:gridCol w:w="6390"/>
      </w:tblGrid>
      <w:tr w:rsidR="00734CA7" w:rsidRPr="009B6AA6" w:rsidTr="00734CA7">
        <w:tc>
          <w:tcPr>
            <w:tcW w:w="6390" w:type="dxa"/>
            <w:shd w:val="clear" w:color="auto" w:fill="000000" w:themeFill="text1"/>
          </w:tcPr>
          <w:p w:rsidR="00734CA7" w:rsidRPr="009B6AA6" w:rsidRDefault="0086111A" w:rsidP="00734CA7">
            <w:pPr>
              <w:jc w:val="center"/>
              <w:rPr>
                <w:rFonts w:ascii="Times New Roman" w:hAnsi="Times New Roman" w:cs="Times New Roman"/>
                <w:b/>
                <w:color w:val="00B050"/>
              </w:rPr>
            </w:pPr>
            <w:r>
              <w:rPr>
                <w:rFonts w:ascii="Times New Roman" w:hAnsi="Times New Roman" w:cs="Times New Roman"/>
                <w:b/>
                <w:color w:val="00B050"/>
              </w:rPr>
              <w:t>093</w:t>
            </w:r>
            <w:r w:rsidR="00734CA7" w:rsidRPr="009B6AA6">
              <w:rPr>
                <w:rFonts w:ascii="Times New Roman" w:hAnsi="Times New Roman" w:cs="Times New Roman"/>
                <w:b/>
                <w:color w:val="00B050"/>
              </w:rPr>
              <w:t>NOGRR</w:t>
            </w:r>
            <w:r w:rsidR="0006701A" w:rsidRPr="0006701A">
              <w:rPr>
                <w:rFonts w:ascii="Times New Roman" w:hAnsi="Times New Roman" w:cs="Times New Roman"/>
                <w:b/>
                <w:noProof/>
                <w:color w:val="00B050"/>
              </w:rPr>
              <w:drawing>
                <wp:inline distT="0" distB="0" distL="0" distR="0">
                  <wp:extent cx="135456" cy="118652"/>
                  <wp:effectExtent l="19050" t="0" r="0" b="0"/>
                  <wp:docPr id="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734CA7" w:rsidRPr="009B6AA6" w:rsidTr="00734CA7">
        <w:tc>
          <w:tcPr>
            <w:tcW w:w="6390" w:type="dxa"/>
          </w:tcPr>
          <w:p w:rsidR="00734CA7" w:rsidRPr="009B6AA6" w:rsidRDefault="0086111A" w:rsidP="00734CA7">
            <w:pPr>
              <w:jc w:val="center"/>
              <w:rPr>
                <w:rFonts w:ascii="Times New Roman" w:hAnsi="Times New Roman" w:cs="Times New Roman"/>
                <w:b/>
              </w:rPr>
            </w:pPr>
            <w:r w:rsidRPr="0086111A">
              <w:rPr>
                <w:rFonts w:ascii="Times New Roman" w:hAnsi="Times New Roman" w:cs="Times New Roman"/>
                <w:b/>
              </w:rPr>
              <w:t>Synchronization with NPRR365</w:t>
            </w:r>
          </w:p>
        </w:tc>
      </w:tr>
      <w:tr w:rsidR="00734CA7" w:rsidRPr="009B6AA6" w:rsidTr="00734CA7">
        <w:tc>
          <w:tcPr>
            <w:tcW w:w="6390" w:type="dxa"/>
          </w:tcPr>
          <w:p w:rsidR="00734CA7" w:rsidRPr="009B6AA6" w:rsidRDefault="00127C45" w:rsidP="0086111A">
            <w:pPr>
              <w:jc w:val="center"/>
              <w:rPr>
                <w:rFonts w:ascii="Times New Roman" w:hAnsi="Times New Roman" w:cs="Times New Roman"/>
              </w:rPr>
            </w:pPr>
            <w:r w:rsidRPr="00127C45">
              <w:rPr>
                <w:rFonts w:ascii="Times New Roman" w:hAnsi="Times New Roman" w:cs="Times New Roman"/>
              </w:rPr>
              <w:t>Impact Analysis Review</w:t>
            </w:r>
          </w:p>
        </w:tc>
      </w:tr>
      <w:tr w:rsidR="00734CA7" w:rsidRPr="009B6AA6" w:rsidTr="00734CA7">
        <w:tc>
          <w:tcPr>
            <w:tcW w:w="6390" w:type="dxa"/>
          </w:tcPr>
          <w:p w:rsidR="00734CA7" w:rsidRPr="009B6AA6" w:rsidRDefault="00734CA7" w:rsidP="0086111A">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127C45" w:rsidRPr="00127C45">
              <w:rPr>
                <w:rFonts w:ascii="Times New Roman" w:hAnsi="Times New Roman" w:cs="Times New Roman"/>
                <w:color w:val="00B050"/>
              </w:rPr>
              <w:t xml:space="preserve">OWG Recommends ROS Approval </w:t>
            </w:r>
            <w:r w:rsidR="004A2211" w:rsidRPr="009B6AA6">
              <w:rPr>
                <w:rFonts w:ascii="Times New Roman" w:hAnsi="Times New Roman" w:cs="Times New Roman"/>
                <w:noProof/>
                <w:color w:val="00B050"/>
              </w:rPr>
              <w:drawing>
                <wp:inline distT="0" distB="0" distL="0" distR="0">
                  <wp:extent cx="135456" cy="118652"/>
                  <wp:effectExtent l="19050" t="0" r="0" b="0"/>
                  <wp:docPr id="12"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734CA7" w:rsidRPr="009B6AA6" w:rsidTr="00734CA7">
        <w:tc>
          <w:tcPr>
            <w:tcW w:w="6390" w:type="dxa"/>
          </w:tcPr>
          <w:p w:rsidR="00734CA7" w:rsidRPr="009B6AA6" w:rsidRDefault="00734CA7" w:rsidP="00734CA7">
            <w:pPr>
              <w:jc w:val="center"/>
              <w:rPr>
                <w:rFonts w:ascii="Times New Roman" w:hAnsi="Times New Roman" w:cs="Times New Roman"/>
              </w:rPr>
            </w:pPr>
            <w:r w:rsidRPr="009B6AA6">
              <w:rPr>
                <w:rFonts w:ascii="Times New Roman" w:hAnsi="Times New Roman" w:cs="Times New Roman"/>
              </w:rPr>
              <w:t>Discussion:</w:t>
            </w:r>
          </w:p>
          <w:p w:rsidR="0086111A" w:rsidRDefault="0086111A" w:rsidP="00541DA5">
            <w:pPr>
              <w:jc w:val="center"/>
              <w:rPr>
                <w:rFonts w:ascii="Times New Roman" w:hAnsi="Times New Roman" w:cs="Times New Roman"/>
              </w:rPr>
            </w:pPr>
            <w:r w:rsidRPr="0086111A">
              <w:rPr>
                <w:rFonts w:ascii="Times New Roman" w:hAnsi="Times New Roman" w:cs="Times New Roman"/>
              </w:rPr>
              <w:t>This Nodal Operating Guide Revision Request (NOGRR) synchronizes the Nodal Operating Guides with Nodal Protocol Revision Request (NPRR) 365, Change in Resource Outage Approvals from Eight to 45 Days, which was approved by the ERCOT Board on 9/20/11 and revised the deadline for ERCOT approval of Resource Outages from an eight-day notice to a 45-day notice while aligning the new Resource Outage timelines to match those of Transmission Outages.</w:t>
            </w:r>
            <w:r>
              <w:rPr>
                <w:rFonts w:ascii="Times New Roman" w:hAnsi="Times New Roman" w:cs="Times New Roman"/>
              </w:rPr>
              <w:t xml:space="preserve"> [OWG] </w:t>
            </w:r>
            <w:r w:rsidR="00127C45" w:rsidRPr="00127C45">
              <w:rPr>
                <w:rFonts w:ascii="Times New Roman" w:hAnsi="Times New Roman" w:cs="Times New Roman"/>
              </w:rPr>
              <w:t>After review of the Impact Analysis, OWG recommends ROS approval.</w:t>
            </w:r>
          </w:p>
          <w:p w:rsidR="00E850B4" w:rsidRDefault="00E850B4" w:rsidP="00541DA5">
            <w:pPr>
              <w:jc w:val="center"/>
              <w:rPr>
                <w:rFonts w:ascii="Times New Roman" w:hAnsi="Times New Roman" w:cs="Times New Roman"/>
              </w:rPr>
            </w:pPr>
          </w:p>
          <w:p w:rsidR="00E850B4" w:rsidRDefault="00E850B4" w:rsidP="00541DA5">
            <w:pPr>
              <w:jc w:val="center"/>
              <w:rPr>
                <w:rFonts w:ascii="Times New Roman" w:hAnsi="Times New Roman" w:cs="Times New Roman"/>
              </w:rPr>
            </w:pPr>
            <w:r>
              <w:rPr>
                <w:rFonts w:ascii="Times New Roman" w:hAnsi="Times New Roman" w:cs="Times New Roman"/>
              </w:rPr>
              <w:t>**Note**</w:t>
            </w:r>
          </w:p>
          <w:p w:rsidR="00E850B4" w:rsidRDefault="00E850B4" w:rsidP="00541DA5">
            <w:pPr>
              <w:jc w:val="center"/>
              <w:rPr>
                <w:rFonts w:ascii="Times New Roman" w:hAnsi="Times New Roman" w:cs="Times New Roman"/>
              </w:rPr>
            </w:pPr>
            <w:r w:rsidRPr="00E850B4">
              <w:rPr>
                <w:rFonts w:ascii="Times New Roman" w:hAnsi="Times New Roman" w:cs="Times New Roman"/>
              </w:rPr>
              <w:t>OWG recommends a Project Implementation Priority of year 2013 with a rank of 750.  This revisio</w:t>
            </w:r>
            <w:r w:rsidR="00583676">
              <w:rPr>
                <w:rFonts w:ascii="Times New Roman" w:hAnsi="Times New Roman" w:cs="Times New Roman"/>
              </w:rPr>
              <w:t xml:space="preserve">n will require a change to the </w:t>
            </w:r>
            <w:r w:rsidRPr="00E850B4">
              <w:rPr>
                <w:rFonts w:ascii="Times New Roman" w:hAnsi="Times New Roman" w:cs="Times New Roman"/>
              </w:rPr>
              <w:t>Enterprise Information Services (EIS).</w:t>
            </w:r>
          </w:p>
          <w:p w:rsidR="00364ED7" w:rsidRPr="009B6AA6" w:rsidRDefault="00364ED7" w:rsidP="0086111A">
            <w:pPr>
              <w:jc w:val="center"/>
              <w:rPr>
                <w:rFonts w:ascii="Times New Roman" w:hAnsi="Times New Roman" w:cs="Times New Roman"/>
              </w:rPr>
            </w:pPr>
          </w:p>
        </w:tc>
      </w:tr>
    </w:tbl>
    <w:p w:rsidR="0086111A" w:rsidRDefault="0086111A" w:rsidP="00A0788C">
      <w:pPr>
        <w:spacing w:after="0"/>
        <w:rPr>
          <w:rFonts w:ascii="Times New Roman" w:hAnsi="Times New Roman" w:cs="Times New Roman"/>
        </w:rPr>
      </w:pPr>
    </w:p>
    <w:tbl>
      <w:tblPr>
        <w:tblStyle w:val="TableGrid"/>
        <w:tblW w:w="6390" w:type="dxa"/>
        <w:tblInd w:w="1638" w:type="dxa"/>
        <w:tblLook w:val="04A0"/>
      </w:tblPr>
      <w:tblGrid>
        <w:gridCol w:w="6390"/>
      </w:tblGrid>
      <w:tr w:rsidR="0086111A" w:rsidRPr="009B6AA6" w:rsidTr="008C631F">
        <w:tc>
          <w:tcPr>
            <w:tcW w:w="6390" w:type="dxa"/>
            <w:shd w:val="clear" w:color="auto" w:fill="000000" w:themeFill="text1"/>
          </w:tcPr>
          <w:p w:rsidR="0086111A" w:rsidRPr="009B6AA6" w:rsidRDefault="00127C45" w:rsidP="008C631F">
            <w:pPr>
              <w:jc w:val="center"/>
              <w:rPr>
                <w:rFonts w:ascii="Times New Roman" w:hAnsi="Times New Roman" w:cs="Times New Roman"/>
                <w:b/>
                <w:color w:val="00B050"/>
              </w:rPr>
            </w:pPr>
            <w:r>
              <w:rPr>
                <w:rFonts w:ascii="Times New Roman" w:hAnsi="Times New Roman" w:cs="Times New Roman"/>
                <w:b/>
                <w:color w:val="00B050"/>
              </w:rPr>
              <w:t>096NOGRR</w:t>
            </w:r>
            <w:r w:rsidR="0086111A" w:rsidRPr="0086111A">
              <w:rPr>
                <w:rFonts w:ascii="Times New Roman" w:hAnsi="Times New Roman" w:cs="Times New Roman"/>
                <w:b/>
                <w:color w:val="00B050"/>
              </w:rPr>
              <w:t xml:space="preserve"> </w:t>
            </w:r>
            <w:r w:rsidR="0086111A" w:rsidRPr="0006701A">
              <w:rPr>
                <w:rFonts w:ascii="Times New Roman" w:hAnsi="Times New Roman" w:cs="Times New Roman"/>
                <w:b/>
                <w:noProof/>
                <w:color w:val="00B050"/>
              </w:rPr>
              <w:drawing>
                <wp:inline distT="0" distB="0" distL="0" distR="0">
                  <wp:extent cx="135456" cy="118652"/>
                  <wp:effectExtent l="19050" t="0" r="0" b="0"/>
                  <wp:docPr id="1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86111A" w:rsidRPr="009B6AA6" w:rsidTr="008C631F">
        <w:tc>
          <w:tcPr>
            <w:tcW w:w="6390" w:type="dxa"/>
          </w:tcPr>
          <w:p w:rsidR="0086111A" w:rsidRPr="009B6AA6" w:rsidRDefault="00127C45" w:rsidP="008C631F">
            <w:pPr>
              <w:jc w:val="center"/>
              <w:rPr>
                <w:rFonts w:ascii="Times New Roman" w:hAnsi="Times New Roman" w:cs="Times New Roman"/>
                <w:b/>
              </w:rPr>
            </w:pPr>
            <w:r w:rsidRPr="00127C45">
              <w:rPr>
                <w:rFonts w:ascii="Times New Roman" w:hAnsi="Times New Roman" w:cs="Times New Roman"/>
                <w:b/>
              </w:rPr>
              <w:t>Clarification of RRS Obligation.</w:t>
            </w:r>
          </w:p>
        </w:tc>
      </w:tr>
      <w:tr w:rsidR="0086111A" w:rsidRPr="009B6AA6" w:rsidTr="008C631F">
        <w:tc>
          <w:tcPr>
            <w:tcW w:w="6390" w:type="dxa"/>
          </w:tcPr>
          <w:p w:rsidR="0086111A" w:rsidRPr="009B6AA6" w:rsidRDefault="00127C45" w:rsidP="008C631F">
            <w:pPr>
              <w:jc w:val="center"/>
              <w:rPr>
                <w:rFonts w:ascii="Times New Roman" w:hAnsi="Times New Roman" w:cs="Times New Roman"/>
              </w:rPr>
            </w:pPr>
            <w:r w:rsidRPr="00127C45">
              <w:rPr>
                <w:rFonts w:ascii="Times New Roman" w:hAnsi="Times New Roman" w:cs="Times New Roman"/>
              </w:rPr>
              <w:t>Language Review</w:t>
            </w:r>
          </w:p>
        </w:tc>
      </w:tr>
      <w:tr w:rsidR="0086111A" w:rsidRPr="009B6AA6" w:rsidTr="008C631F">
        <w:tc>
          <w:tcPr>
            <w:tcW w:w="6390" w:type="dxa"/>
          </w:tcPr>
          <w:p w:rsidR="0086111A" w:rsidRPr="009B6AA6" w:rsidRDefault="0086111A" w:rsidP="00E850B4">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Pr="009B6AA6">
              <w:rPr>
                <w:rFonts w:ascii="Times New Roman" w:hAnsi="Times New Roman" w:cs="Times New Roman"/>
                <w:color w:val="00B050"/>
              </w:rPr>
              <w:t xml:space="preserve">OWG </w:t>
            </w:r>
            <w:r w:rsidR="00E850B4">
              <w:rPr>
                <w:rFonts w:ascii="Times New Roman" w:hAnsi="Times New Roman" w:cs="Times New Roman"/>
                <w:color w:val="00B050"/>
              </w:rPr>
              <w:t>calls for an Impact Analysis</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extent cx="135456" cy="118652"/>
                  <wp:effectExtent l="19050" t="0" r="0" b="0"/>
                  <wp:docPr id="19"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86111A" w:rsidRPr="009B6AA6" w:rsidTr="008C631F">
        <w:tc>
          <w:tcPr>
            <w:tcW w:w="6390" w:type="dxa"/>
          </w:tcPr>
          <w:p w:rsidR="0086111A" w:rsidRPr="009B6AA6" w:rsidRDefault="0086111A" w:rsidP="008C631F">
            <w:pPr>
              <w:jc w:val="center"/>
              <w:rPr>
                <w:rFonts w:ascii="Times New Roman" w:hAnsi="Times New Roman" w:cs="Times New Roman"/>
              </w:rPr>
            </w:pPr>
            <w:r w:rsidRPr="009B6AA6">
              <w:rPr>
                <w:rFonts w:ascii="Times New Roman" w:hAnsi="Times New Roman" w:cs="Times New Roman"/>
              </w:rPr>
              <w:t>Discussion:</w:t>
            </w:r>
          </w:p>
          <w:p w:rsidR="0086111A" w:rsidRDefault="00127C45" w:rsidP="008C631F">
            <w:pPr>
              <w:jc w:val="center"/>
              <w:rPr>
                <w:rFonts w:ascii="Times New Roman" w:hAnsi="Times New Roman" w:cs="Times New Roman"/>
              </w:rPr>
            </w:pPr>
            <w:r w:rsidRPr="00127C45">
              <w:rPr>
                <w:rFonts w:ascii="Times New Roman" w:hAnsi="Times New Roman" w:cs="Times New Roman"/>
              </w:rPr>
              <w:t xml:space="preserve">The Other Binding Document, Methodologies for Determining Ancillary Service Requirements, describes a process that may be used to procure additional Responsive Reserve Service (RRS).  This Nodal Operating Guide Revision Request (NOGRR) references that Other Binding Document and also adds clarifying language affirming that the minimum RRS obligation remains unchanged (2300 MW), but that additional RRS may be procured if there is a reliability need. [NPGRTF]  </w:t>
            </w:r>
            <w:r>
              <w:rPr>
                <w:rFonts w:ascii="Times New Roman" w:hAnsi="Times New Roman" w:cs="Times New Roman"/>
              </w:rPr>
              <w:t>This revision request will return to OWG in July for Impact Analysis review.</w:t>
            </w:r>
          </w:p>
          <w:p w:rsidR="00127C45" w:rsidRDefault="00127C45" w:rsidP="008C631F">
            <w:pPr>
              <w:jc w:val="center"/>
              <w:rPr>
                <w:rFonts w:ascii="Times New Roman" w:hAnsi="Times New Roman" w:cs="Times New Roman"/>
              </w:rPr>
            </w:pPr>
          </w:p>
          <w:p w:rsidR="00127C45" w:rsidRDefault="00127C45" w:rsidP="008C631F">
            <w:pPr>
              <w:jc w:val="center"/>
              <w:rPr>
                <w:rFonts w:ascii="Times New Roman" w:hAnsi="Times New Roman" w:cs="Times New Roman"/>
              </w:rPr>
            </w:pPr>
            <w:r>
              <w:rPr>
                <w:rFonts w:ascii="Times New Roman" w:hAnsi="Times New Roman" w:cs="Times New Roman"/>
              </w:rPr>
              <w:t>**NOTE**</w:t>
            </w:r>
          </w:p>
          <w:p w:rsidR="00127C45" w:rsidRDefault="00E850B4" w:rsidP="008C631F">
            <w:pPr>
              <w:jc w:val="center"/>
              <w:rPr>
                <w:rFonts w:ascii="Times New Roman" w:hAnsi="Times New Roman" w:cs="Times New Roman"/>
              </w:rPr>
            </w:pPr>
            <w:r>
              <w:rPr>
                <w:rFonts w:ascii="Times New Roman" w:hAnsi="Times New Roman" w:cs="Times New Roman"/>
              </w:rPr>
              <w:t xml:space="preserve">OWG is recommending a change to the language of the </w:t>
            </w:r>
            <w:r w:rsidRPr="00E850B4">
              <w:rPr>
                <w:rFonts w:ascii="Times New Roman" w:hAnsi="Times New Roman" w:cs="Times New Roman"/>
              </w:rPr>
              <w:t>Methodologies for Determining Ancillary Service Requirements</w:t>
            </w:r>
            <w:r>
              <w:rPr>
                <w:rFonts w:ascii="Times New Roman" w:hAnsi="Times New Roman" w:cs="Times New Roman"/>
              </w:rPr>
              <w:t xml:space="preserve"> document to read “</w:t>
            </w:r>
            <w:r w:rsidRPr="00E850B4">
              <w:rPr>
                <w:rFonts w:ascii="Times New Roman" w:hAnsi="Times New Roman" w:cs="Times New Roman"/>
              </w:rPr>
              <w:t xml:space="preserve">can </w:t>
            </w:r>
            <w:r w:rsidRPr="00E850B4">
              <w:rPr>
                <w:rFonts w:ascii="Times New Roman" w:hAnsi="Times New Roman" w:cs="Times New Roman"/>
                <w:u w:val="single"/>
              </w:rPr>
              <w:t>procure</w:t>
            </w:r>
            <w:r w:rsidRPr="00E850B4">
              <w:rPr>
                <w:rFonts w:ascii="Times New Roman" w:hAnsi="Times New Roman" w:cs="Times New Roman"/>
              </w:rPr>
              <w:t xml:space="preserve"> additional A</w:t>
            </w:r>
            <w:r>
              <w:rPr>
                <w:rFonts w:ascii="Times New Roman" w:hAnsi="Times New Roman" w:cs="Times New Roman"/>
              </w:rPr>
              <w:t xml:space="preserve">ncillary </w:t>
            </w:r>
            <w:r w:rsidRPr="00E850B4">
              <w:rPr>
                <w:rFonts w:ascii="Times New Roman" w:hAnsi="Times New Roman" w:cs="Times New Roman"/>
              </w:rPr>
              <w:t>S</w:t>
            </w:r>
            <w:r>
              <w:rPr>
                <w:rFonts w:ascii="Times New Roman" w:hAnsi="Times New Roman" w:cs="Times New Roman"/>
              </w:rPr>
              <w:t>ervices</w:t>
            </w:r>
            <w:r w:rsidRPr="00E850B4">
              <w:rPr>
                <w:rFonts w:ascii="Times New Roman" w:hAnsi="Times New Roman" w:cs="Times New Roman"/>
              </w:rPr>
              <w:t>...</w:t>
            </w:r>
            <w:r>
              <w:rPr>
                <w:rFonts w:ascii="Times New Roman" w:hAnsi="Times New Roman" w:cs="Times New Roman"/>
              </w:rPr>
              <w:t>”</w:t>
            </w:r>
          </w:p>
          <w:p w:rsidR="0086111A" w:rsidRPr="009B6AA6" w:rsidRDefault="0086111A" w:rsidP="008C631F">
            <w:pPr>
              <w:jc w:val="center"/>
              <w:rPr>
                <w:rFonts w:ascii="Times New Roman" w:hAnsi="Times New Roman" w:cs="Times New Roman"/>
              </w:rPr>
            </w:pPr>
          </w:p>
        </w:tc>
      </w:tr>
    </w:tbl>
    <w:p w:rsidR="0086111A" w:rsidRDefault="0086111A" w:rsidP="00A0788C">
      <w:pPr>
        <w:spacing w:after="0"/>
        <w:rPr>
          <w:rFonts w:ascii="Times New Roman" w:hAnsi="Times New Roman" w:cs="Times New Roman"/>
        </w:rPr>
      </w:pPr>
    </w:p>
    <w:tbl>
      <w:tblPr>
        <w:tblStyle w:val="TableGrid"/>
        <w:tblW w:w="6390" w:type="dxa"/>
        <w:tblInd w:w="1638" w:type="dxa"/>
        <w:tblLook w:val="04A0"/>
      </w:tblPr>
      <w:tblGrid>
        <w:gridCol w:w="6390"/>
      </w:tblGrid>
      <w:tr w:rsidR="00E850B4" w:rsidRPr="009B6AA6" w:rsidTr="0005296E">
        <w:tc>
          <w:tcPr>
            <w:tcW w:w="6390" w:type="dxa"/>
            <w:shd w:val="clear" w:color="auto" w:fill="000000" w:themeFill="text1"/>
          </w:tcPr>
          <w:p w:rsidR="00E850B4" w:rsidRPr="009B6AA6" w:rsidRDefault="00E850B4" w:rsidP="00E850B4">
            <w:pPr>
              <w:jc w:val="center"/>
              <w:rPr>
                <w:rFonts w:ascii="Times New Roman" w:hAnsi="Times New Roman" w:cs="Times New Roman"/>
                <w:b/>
                <w:color w:val="00B050"/>
              </w:rPr>
            </w:pPr>
            <w:r>
              <w:rPr>
                <w:rFonts w:ascii="Times New Roman" w:hAnsi="Times New Roman" w:cs="Times New Roman"/>
                <w:b/>
                <w:color w:val="00B050"/>
              </w:rPr>
              <w:t>09</w:t>
            </w:r>
            <w:r>
              <w:rPr>
                <w:rFonts w:ascii="Times New Roman" w:hAnsi="Times New Roman" w:cs="Times New Roman"/>
                <w:b/>
                <w:color w:val="00B050"/>
              </w:rPr>
              <w:t>7</w:t>
            </w:r>
            <w:r>
              <w:rPr>
                <w:rFonts w:ascii="Times New Roman" w:hAnsi="Times New Roman" w:cs="Times New Roman"/>
                <w:b/>
                <w:color w:val="00B050"/>
              </w:rPr>
              <w:t>NOGRR</w:t>
            </w:r>
            <w:r w:rsidRPr="0086111A">
              <w:rPr>
                <w:rFonts w:ascii="Times New Roman" w:hAnsi="Times New Roman" w:cs="Times New Roman"/>
                <w:b/>
                <w:color w:val="00B050"/>
              </w:rPr>
              <w:t xml:space="preserve"> </w:t>
            </w:r>
            <w:r w:rsidRPr="0006701A">
              <w:rPr>
                <w:rFonts w:ascii="Times New Roman" w:hAnsi="Times New Roman" w:cs="Times New Roman"/>
                <w:b/>
                <w:noProof/>
                <w:color w:val="00B050"/>
              </w:rPr>
              <w:drawing>
                <wp:inline distT="0" distB="0" distL="0" distR="0">
                  <wp:extent cx="135456" cy="118652"/>
                  <wp:effectExtent l="19050" t="0" r="0" b="0"/>
                  <wp:docPr id="1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E850B4" w:rsidRPr="009B6AA6" w:rsidTr="0005296E">
        <w:tc>
          <w:tcPr>
            <w:tcW w:w="6390" w:type="dxa"/>
          </w:tcPr>
          <w:p w:rsidR="00E850B4" w:rsidRPr="009B6AA6" w:rsidRDefault="00E850B4" w:rsidP="0005296E">
            <w:pPr>
              <w:jc w:val="center"/>
              <w:rPr>
                <w:rFonts w:ascii="Times New Roman" w:hAnsi="Times New Roman" w:cs="Times New Roman"/>
                <w:b/>
              </w:rPr>
            </w:pPr>
            <w:r w:rsidRPr="00E850B4">
              <w:rPr>
                <w:rFonts w:ascii="Times New Roman" w:hAnsi="Times New Roman" w:cs="Times New Roman"/>
                <w:b/>
              </w:rPr>
              <w:t>New Section 8I, Black Start Resource Availability Test Form.</w:t>
            </w:r>
          </w:p>
        </w:tc>
      </w:tr>
      <w:tr w:rsidR="00E850B4" w:rsidRPr="009B6AA6" w:rsidTr="0005296E">
        <w:tc>
          <w:tcPr>
            <w:tcW w:w="6390" w:type="dxa"/>
          </w:tcPr>
          <w:p w:rsidR="00E850B4" w:rsidRPr="009B6AA6" w:rsidRDefault="00E850B4" w:rsidP="0005296E">
            <w:pPr>
              <w:jc w:val="center"/>
              <w:rPr>
                <w:rFonts w:ascii="Times New Roman" w:hAnsi="Times New Roman" w:cs="Times New Roman"/>
              </w:rPr>
            </w:pPr>
            <w:r w:rsidRPr="00127C45">
              <w:rPr>
                <w:rFonts w:ascii="Times New Roman" w:hAnsi="Times New Roman" w:cs="Times New Roman"/>
              </w:rPr>
              <w:t>Language Review</w:t>
            </w:r>
          </w:p>
        </w:tc>
      </w:tr>
      <w:tr w:rsidR="00E850B4" w:rsidRPr="009B6AA6" w:rsidTr="0005296E">
        <w:tc>
          <w:tcPr>
            <w:tcW w:w="6390" w:type="dxa"/>
          </w:tcPr>
          <w:p w:rsidR="00E850B4" w:rsidRPr="009B6AA6" w:rsidRDefault="00E850B4" w:rsidP="0005296E">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Pr="009B6AA6">
              <w:rPr>
                <w:rFonts w:ascii="Times New Roman" w:hAnsi="Times New Roman" w:cs="Times New Roman"/>
                <w:color w:val="00B050"/>
              </w:rPr>
              <w:t xml:space="preserve">OWG </w:t>
            </w:r>
            <w:r>
              <w:rPr>
                <w:rFonts w:ascii="Times New Roman" w:hAnsi="Times New Roman" w:cs="Times New Roman"/>
                <w:color w:val="00B050"/>
              </w:rPr>
              <w:t>calls for an Impact Analysis</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extent cx="135456" cy="118652"/>
                  <wp:effectExtent l="19050" t="0" r="0" b="0"/>
                  <wp:docPr id="13"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E850B4" w:rsidRPr="009B6AA6" w:rsidTr="0005296E">
        <w:tc>
          <w:tcPr>
            <w:tcW w:w="6390" w:type="dxa"/>
          </w:tcPr>
          <w:p w:rsidR="00E850B4" w:rsidRPr="009B6AA6" w:rsidRDefault="00E850B4" w:rsidP="0005296E">
            <w:pPr>
              <w:jc w:val="center"/>
              <w:rPr>
                <w:rFonts w:ascii="Times New Roman" w:hAnsi="Times New Roman" w:cs="Times New Roman"/>
              </w:rPr>
            </w:pPr>
            <w:r w:rsidRPr="009B6AA6">
              <w:rPr>
                <w:rFonts w:ascii="Times New Roman" w:hAnsi="Times New Roman" w:cs="Times New Roman"/>
              </w:rPr>
              <w:t>Discussion:</w:t>
            </w:r>
          </w:p>
          <w:p w:rsidR="00E850B4" w:rsidRDefault="00E850B4" w:rsidP="0005296E">
            <w:pPr>
              <w:jc w:val="center"/>
              <w:rPr>
                <w:rFonts w:ascii="Times New Roman" w:hAnsi="Times New Roman" w:cs="Times New Roman"/>
              </w:rPr>
            </w:pPr>
            <w:r w:rsidRPr="00E850B4">
              <w:rPr>
                <w:rFonts w:ascii="Times New Roman" w:hAnsi="Times New Roman" w:cs="Times New Roman"/>
              </w:rPr>
              <w:t>This Nodal Operating Guide Revision Request (NOGRR) adds a Black Start Resource availability test form to the Nodal Operating Guide.  [ERCOT]  This revision request will return to OWG in July for Impact Analysis review.</w:t>
            </w:r>
          </w:p>
          <w:p w:rsidR="00E850B4" w:rsidRDefault="00E850B4" w:rsidP="0005296E">
            <w:pPr>
              <w:jc w:val="center"/>
              <w:rPr>
                <w:rFonts w:ascii="Times New Roman" w:hAnsi="Times New Roman" w:cs="Times New Roman"/>
              </w:rPr>
            </w:pPr>
          </w:p>
          <w:p w:rsidR="00E850B4" w:rsidRDefault="00E850B4" w:rsidP="0005296E">
            <w:pPr>
              <w:jc w:val="center"/>
              <w:rPr>
                <w:rFonts w:ascii="Times New Roman" w:hAnsi="Times New Roman" w:cs="Times New Roman"/>
              </w:rPr>
            </w:pPr>
            <w:r>
              <w:rPr>
                <w:rFonts w:ascii="Times New Roman" w:hAnsi="Times New Roman" w:cs="Times New Roman"/>
              </w:rPr>
              <w:t>**NOTE**</w:t>
            </w:r>
          </w:p>
          <w:p w:rsidR="00E850B4" w:rsidRDefault="00E850B4" w:rsidP="0005296E">
            <w:pPr>
              <w:jc w:val="center"/>
              <w:rPr>
                <w:rFonts w:ascii="Times New Roman" w:hAnsi="Times New Roman" w:cs="Times New Roman"/>
              </w:rPr>
            </w:pPr>
            <w:r>
              <w:rPr>
                <w:rFonts w:ascii="Times New Roman" w:hAnsi="Times New Roman" w:cs="Times New Roman"/>
              </w:rPr>
              <w:t>Revised by OWG</w:t>
            </w:r>
          </w:p>
          <w:p w:rsidR="00E850B4" w:rsidRPr="009B6AA6" w:rsidRDefault="00E850B4" w:rsidP="0005296E">
            <w:pPr>
              <w:jc w:val="center"/>
              <w:rPr>
                <w:rFonts w:ascii="Times New Roman" w:hAnsi="Times New Roman" w:cs="Times New Roman"/>
              </w:rPr>
            </w:pPr>
          </w:p>
        </w:tc>
      </w:tr>
    </w:tbl>
    <w:p w:rsidR="00E850B4" w:rsidRDefault="00E850B4" w:rsidP="00A0788C">
      <w:pPr>
        <w:spacing w:after="0"/>
        <w:rPr>
          <w:rFonts w:ascii="Times New Roman" w:hAnsi="Times New Roman" w:cs="Times New Roman"/>
        </w:rPr>
      </w:pPr>
    </w:p>
    <w:tbl>
      <w:tblPr>
        <w:tblStyle w:val="TableGrid"/>
        <w:tblW w:w="6390" w:type="dxa"/>
        <w:tblInd w:w="1638" w:type="dxa"/>
        <w:tblLook w:val="04A0"/>
      </w:tblPr>
      <w:tblGrid>
        <w:gridCol w:w="6390"/>
      </w:tblGrid>
      <w:tr w:rsidR="00E850B4" w:rsidRPr="009B6AA6" w:rsidTr="0005296E">
        <w:tc>
          <w:tcPr>
            <w:tcW w:w="6390" w:type="dxa"/>
            <w:shd w:val="clear" w:color="auto" w:fill="000000" w:themeFill="text1"/>
          </w:tcPr>
          <w:p w:rsidR="00E850B4" w:rsidRPr="009B6AA6" w:rsidRDefault="00E850B4" w:rsidP="0005296E">
            <w:pPr>
              <w:jc w:val="center"/>
              <w:rPr>
                <w:rFonts w:ascii="Times New Roman" w:hAnsi="Times New Roman" w:cs="Times New Roman"/>
                <w:b/>
                <w:color w:val="00B050"/>
              </w:rPr>
            </w:pPr>
            <w:r>
              <w:rPr>
                <w:rFonts w:ascii="Times New Roman" w:hAnsi="Times New Roman" w:cs="Times New Roman"/>
                <w:b/>
                <w:color w:val="00B050"/>
              </w:rPr>
              <w:t>09</w:t>
            </w:r>
            <w:r>
              <w:rPr>
                <w:rFonts w:ascii="Times New Roman" w:hAnsi="Times New Roman" w:cs="Times New Roman"/>
                <w:b/>
                <w:color w:val="00B050"/>
              </w:rPr>
              <w:t>8</w:t>
            </w:r>
            <w:r>
              <w:rPr>
                <w:rFonts w:ascii="Times New Roman" w:hAnsi="Times New Roman" w:cs="Times New Roman"/>
                <w:b/>
                <w:color w:val="00B050"/>
              </w:rPr>
              <w:t>NOGRR</w:t>
            </w:r>
            <w:r w:rsidRPr="0086111A">
              <w:rPr>
                <w:rFonts w:ascii="Times New Roman" w:hAnsi="Times New Roman" w:cs="Times New Roman"/>
                <w:b/>
                <w:color w:val="00B050"/>
              </w:rPr>
              <w:t xml:space="preserve"> </w:t>
            </w:r>
            <w:r w:rsidRPr="0006701A">
              <w:rPr>
                <w:rFonts w:ascii="Times New Roman" w:hAnsi="Times New Roman" w:cs="Times New Roman"/>
                <w:b/>
                <w:noProof/>
                <w:color w:val="00B050"/>
              </w:rPr>
              <w:drawing>
                <wp:inline distT="0" distB="0" distL="0" distR="0">
                  <wp:extent cx="135456" cy="118652"/>
                  <wp:effectExtent l="19050" t="0" r="0" b="0"/>
                  <wp:docPr id="20"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E850B4" w:rsidRPr="009B6AA6" w:rsidTr="0005296E">
        <w:tc>
          <w:tcPr>
            <w:tcW w:w="6390" w:type="dxa"/>
          </w:tcPr>
          <w:p w:rsidR="00E850B4" w:rsidRPr="009B6AA6" w:rsidRDefault="00E850B4" w:rsidP="0005296E">
            <w:pPr>
              <w:jc w:val="center"/>
              <w:rPr>
                <w:rFonts w:ascii="Times New Roman" w:hAnsi="Times New Roman" w:cs="Times New Roman"/>
                <w:b/>
              </w:rPr>
            </w:pPr>
            <w:r w:rsidRPr="00E850B4">
              <w:rPr>
                <w:rFonts w:ascii="Times New Roman" w:hAnsi="Times New Roman" w:cs="Times New Roman"/>
                <w:b/>
              </w:rPr>
              <w:t>Change of Facility Submission Time Lines to Align with Protocols.</w:t>
            </w:r>
          </w:p>
        </w:tc>
      </w:tr>
      <w:tr w:rsidR="00E850B4" w:rsidRPr="009B6AA6" w:rsidTr="0005296E">
        <w:tc>
          <w:tcPr>
            <w:tcW w:w="6390" w:type="dxa"/>
          </w:tcPr>
          <w:p w:rsidR="00E850B4" w:rsidRPr="009B6AA6" w:rsidRDefault="00E850B4" w:rsidP="0005296E">
            <w:pPr>
              <w:jc w:val="center"/>
              <w:rPr>
                <w:rFonts w:ascii="Times New Roman" w:hAnsi="Times New Roman" w:cs="Times New Roman"/>
              </w:rPr>
            </w:pPr>
            <w:r w:rsidRPr="00127C45">
              <w:rPr>
                <w:rFonts w:ascii="Times New Roman" w:hAnsi="Times New Roman" w:cs="Times New Roman"/>
              </w:rPr>
              <w:t>Language Review</w:t>
            </w:r>
          </w:p>
        </w:tc>
      </w:tr>
      <w:tr w:rsidR="00E850B4" w:rsidRPr="009B6AA6" w:rsidTr="0005296E">
        <w:tc>
          <w:tcPr>
            <w:tcW w:w="6390" w:type="dxa"/>
          </w:tcPr>
          <w:p w:rsidR="00E850B4" w:rsidRPr="009B6AA6" w:rsidRDefault="00E850B4" w:rsidP="0005296E">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Pr="009B6AA6">
              <w:rPr>
                <w:rFonts w:ascii="Times New Roman" w:hAnsi="Times New Roman" w:cs="Times New Roman"/>
                <w:color w:val="00B050"/>
              </w:rPr>
              <w:t xml:space="preserve">OWG </w:t>
            </w:r>
            <w:r>
              <w:rPr>
                <w:rFonts w:ascii="Times New Roman" w:hAnsi="Times New Roman" w:cs="Times New Roman"/>
                <w:color w:val="00B050"/>
              </w:rPr>
              <w:t>calls for an Impact Analysis</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extent cx="135456" cy="118652"/>
                  <wp:effectExtent l="19050" t="0" r="0" b="0"/>
                  <wp:docPr id="2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E850B4" w:rsidRPr="009B6AA6" w:rsidTr="0005296E">
        <w:tc>
          <w:tcPr>
            <w:tcW w:w="6390" w:type="dxa"/>
          </w:tcPr>
          <w:p w:rsidR="00E850B4" w:rsidRPr="009B6AA6" w:rsidRDefault="00E850B4" w:rsidP="0005296E">
            <w:pPr>
              <w:jc w:val="center"/>
              <w:rPr>
                <w:rFonts w:ascii="Times New Roman" w:hAnsi="Times New Roman" w:cs="Times New Roman"/>
              </w:rPr>
            </w:pPr>
            <w:r w:rsidRPr="009B6AA6">
              <w:rPr>
                <w:rFonts w:ascii="Times New Roman" w:hAnsi="Times New Roman" w:cs="Times New Roman"/>
              </w:rPr>
              <w:t>Discussion:</w:t>
            </w:r>
          </w:p>
          <w:p w:rsidR="00E850B4" w:rsidRDefault="00E850B4" w:rsidP="0005296E">
            <w:pPr>
              <w:jc w:val="center"/>
              <w:rPr>
                <w:rFonts w:ascii="Times New Roman" w:hAnsi="Times New Roman" w:cs="Times New Roman"/>
              </w:rPr>
            </w:pPr>
            <w:r w:rsidRPr="00E850B4">
              <w:rPr>
                <w:rFonts w:ascii="Times New Roman" w:hAnsi="Times New Roman" w:cs="Times New Roman"/>
              </w:rPr>
              <w:t>This Nodal Operating Guide Revision Request (NOGRR) clarifies the submission time line for facility reactive capability and other modeling information.  [ERCOT]</w:t>
            </w:r>
            <w:r>
              <w:rPr>
                <w:rFonts w:ascii="Times New Roman" w:hAnsi="Times New Roman" w:cs="Times New Roman"/>
              </w:rPr>
              <w:t xml:space="preserve"> </w:t>
            </w:r>
            <w:r w:rsidRPr="00E850B4">
              <w:rPr>
                <w:rFonts w:ascii="Times New Roman" w:hAnsi="Times New Roman" w:cs="Times New Roman"/>
              </w:rPr>
              <w:t>This revision request will return to OWG in July for Impact Analysis review.</w:t>
            </w:r>
          </w:p>
          <w:p w:rsidR="00E850B4" w:rsidRPr="009B6AA6" w:rsidRDefault="00E850B4" w:rsidP="0005296E">
            <w:pPr>
              <w:jc w:val="center"/>
              <w:rPr>
                <w:rFonts w:ascii="Times New Roman" w:hAnsi="Times New Roman" w:cs="Times New Roman"/>
              </w:rPr>
            </w:pPr>
          </w:p>
        </w:tc>
      </w:tr>
    </w:tbl>
    <w:p w:rsidR="00E850B4" w:rsidRDefault="00E850B4" w:rsidP="00A0788C">
      <w:pPr>
        <w:spacing w:after="0"/>
        <w:rPr>
          <w:rFonts w:ascii="Times New Roman" w:hAnsi="Times New Roman" w:cs="Times New Roman"/>
        </w:rPr>
      </w:pPr>
    </w:p>
    <w:tbl>
      <w:tblPr>
        <w:tblStyle w:val="TableGrid"/>
        <w:tblW w:w="6390" w:type="dxa"/>
        <w:tblInd w:w="1638" w:type="dxa"/>
        <w:tblLook w:val="04A0"/>
      </w:tblPr>
      <w:tblGrid>
        <w:gridCol w:w="6390"/>
      </w:tblGrid>
      <w:tr w:rsidR="00E850B4" w:rsidRPr="009B6AA6" w:rsidTr="0005296E">
        <w:tc>
          <w:tcPr>
            <w:tcW w:w="6390" w:type="dxa"/>
            <w:shd w:val="clear" w:color="auto" w:fill="000000" w:themeFill="text1"/>
          </w:tcPr>
          <w:p w:rsidR="00E850B4" w:rsidRPr="009B6AA6" w:rsidRDefault="00E850B4" w:rsidP="0005296E">
            <w:pPr>
              <w:jc w:val="center"/>
              <w:rPr>
                <w:rFonts w:ascii="Times New Roman" w:hAnsi="Times New Roman" w:cs="Times New Roman"/>
                <w:b/>
                <w:color w:val="00B050"/>
              </w:rPr>
            </w:pPr>
            <w:r>
              <w:rPr>
                <w:rFonts w:ascii="Times New Roman" w:hAnsi="Times New Roman" w:cs="Times New Roman"/>
                <w:b/>
                <w:color w:val="00B050"/>
              </w:rPr>
              <w:t>099</w:t>
            </w:r>
            <w:r w:rsidRPr="0086111A">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extent cx="135456" cy="118652"/>
                  <wp:effectExtent l="19050" t="0" r="0" b="0"/>
                  <wp:docPr id="24"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E850B4" w:rsidRPr="009B6AA6" w:rsidTr="0005296E">
        <w:tc>
          <w:tcPr>
            <w:tcW w:w="6390" w:type="dxa"/>
          </w:tcPr>
          <w:p w:rsidR="00E850B4" w:rsidRPr="009B6AA6" w:rsidRDefault="00E850B4" w:rsidP="0005296E">
            <w:pPr>
              <w:jc w:val="center"/>
              <w:rPr>
                <w:rFonts w:ascii="Times New Roman" w:hAnsi="Times New Roman" w:cs="Times New Roman"/>
                <w:b/>
              </w:rPr>
            </w:pPr>
            <w:r w:rsidRPr="00E850B4">
              <w:rPr>
                <w:rFonts w:ascii="Times New Roman" w:hAnsi="Times New Roman" w:cs="Times New Roman"/>
                <w:b/>
              </w:rPr>
              <w:lastRenderedPageBreak/>
              <w:t>SPS Procedure Changes for Consistency with NERC Reliability Standards.</w:t>
            </w:r>
          </w:p>
        </w:tc>
      </w:tr>
      <w:tr w:rsidR="00E850B4" w:rsidRPr="009B6AA6" w:rsidTr="0005296E">
        <w:tc>
          <w:tcPr>
            <w:tcW w:w="6390" w:type="dxa"/>
          </w:tcPr>
          <w:p w:rsidR="00E850B4" w:rsidRPr="009B6AA6" w:rsidRDefault="00E850B4" w:rsidP="0005296E">
            <w:pPr>
              <w:jc w:val="center"/>
              <w:rPr>
                <w:rFonts w:ascii="Times New Roman" w:hAnsi="Times New Roman" w:cs="Times New Roman"/>
              </w:rPr>
            </w:pPr>
            <w:r w:rsidRPr="00E850B4">
              <w:rPr>
                <w:rFonts w:ascii="Times New Roman" w:hAnsi="Times New Roman" w:cs="Times New Roman"/>
              </w:rPr>
              <w:t>Language Review</w:t>
            </w:r>
          </w:p>
        </w:tc>
      </w:tr>
      <w:tr w:rsidR="00E850B4" w:rsidRPr="009B6AA6" w:rsidTr="0005296E">
        <w:tc>
          <w:tcPr>
            <w:tcW w:w="6390" w:type="dxa"/>
          </w:tcPr>
          <w:p w:rsidR="00E850B4" w:rsidRPr="009B6AA6" w:rsidRDefault="00E850B4" w:rsidP="00E850B4">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Pr="009B6AA6">
              <w:rPr>
                <w:rFonts w:ascii="Times New Roman" w:hAnsi="Times New Roman" w:cs="Times New Roman"/>
                <w:color w:val="00B050"/>
              </w:rPr>
              <w:t xml:space="preserve">OWG </w:t>
            </w:r>
            <w:r>
              <w:rPr>
                <w:rFonts w:ascii="Times New Roman" w:hAnsi="Times New Roman" w:cs="Times New Roman"/>
                <w:color w:val="00B050"/>
              </w:rPr>
              <w:t>files comments</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extent cx="135456" cy="118652"/>
                  <wp:effectExtent l="19050" t="0" r="0" b="0"/>
                  <wp:docPr id="25"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E850B4" w:rsidRPr="009B6AA6" w:rsidTr="0005296E">
        <w:tc>
          <w:tcPr>
            <w:tcW w:w="6390" w:type="dxa"/>
          </w:tcPr>
          <w:p w:rsidR="00E850B4" w:rsidRPr="009B6AA6" w:rsidRDefault="00E850B4" w:rsidP="0005296E">
            <w:pPr>
              <w:jc w:val="center"/>
              <w:rPr>
                <w:rFonts w:ascii="Times New Roman" w:hAnsi="Times New Roman" w:cs="Times New Roman"/>
              </w:rPr>
            </w:pPr>
            <w:r w:rsidRPr="009B6AA6">
              <w:rPr>
                <w:rFonts w:ascii="Times New Roman" w:hAnsi="Times New Roman" w:cs="Times New Roman"/>
              </w:rPr>
              <w:t>Discussion:</w:t>
            </w:r>
          </w:p>
          <w:p w:rsidR="00E850B4" w:rsidRDefault="00E850B4" w:rsidP="0005296E">
            <w:pPr>
              <w:jc w:val="center"/>
              <w:rPr>
                <w:rFonts w:ascii="Times New Roman" w:hAnsi="Times New Roman" w:cs="Times New Roman"/>
              </w:rPr>
            </w:pPr>
            <w:r w:rsidRPr="0086111A">
              <w:rPr>
                <w:rFonts w:ascii="Times New Roman" w:hAnsi="Times New Roman" w:cs="Times New Roman"/>
              </w:rPr>
              <w:t>This Administrative Nodal Operating Guide Revision Request (NOGRR) updates the ERCOT Load Shed Table for 2012.  Administrative change to update the ERCOT Load Shed Table as allowed by Section 1.3, Process for Operating Guide Revision.  [ERCOT]</w:t>
            </w:r>
            <w:r>
              <w:rPr>
                <w:rFonts w:ascii="Times New Roman" w:hAnsi="Times New Roman" w:cs="Times New Roman"/>
              </w:rPr>
              <w:t xml:space="preserve">  OWG filed comments supporting the </w:t>
            </w:r>
            <w:proofErr w:type="spellStart"/>
            <w:r>
              <w:rPr>
                <w:rFonts w:ascii="Times New Roman" w:hAnsi="Times New Roman" w:cs="Times New Roman"/>
              </w:rPr>
              <w:t>Oncor</w:t>
            </w:r>
            <w:proofErr w:type="spellEnd"/>
            <w:r>
              <w:rPr>
                <w:rFonts w:ascii="Times New Roman" w:hAnsi="Times New Roman" w:cs="Times New Roman"/>
              </w:rPr>
              <w:t xml:space="preserve"> comments.</w:t>
            </w:r>
          </w:p>
          <w:p w:rsidR="00E850B4" w:rsidRPr="009B6AA6" w:rsidRDefault="00E850B4" w:rsidP="0005296E">
            <w:pPr>
              <w:jc w:val="center"/>
              <w:rPr>
                <w:rFonts w:ascii="Times New Roman" w:hAnsi="Times New Roman" w:cs="Times New Roman"/>
              </w:rPr>
            </w:pPr>
          </w:p>
        </w:tc>
      </w:tr>
    </w:tbl>
    <w:p w:rsidR="00E850B4" w:rsidRDefault="00E850B4" w:rsidP="00A0788C">
      <w:pPr>
        <w:spacing w:after="0"/>
        <w:rPr>
          <w:rFonts w:ascii="Times New Roman" w:hAnsi="Times New Roman" w:cs="Times New Roman"/>
        </w:rPr>
      </w:pPr>
    </w:p>
    <w:p w:rsidR="0086111A" w:rsidRPr="009B6AA6" w:rsidRDefault="0086111A" w:rsidP="00A0788C">
      <w:pPr>
        <w:spacing w:after="0"/>
        <w:rPr>
          <w:rFonts w:ascii="Times New Roman" w:hAnsi="Times New Roman" w:cs="Times New Roman"/>
        </w:rPr>
      </w:pPr>
    </w:p>
    <w:p w:rsidR="00672302" w:rsidRPr="009B6AA6"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Operations Task Force Report – </w:t>
      </w:r>
    </w:p>
    <w:p w:rsidR="009B2471" w:rsidRPr="009B6AA6" w:rsidRDefault="00C61410" w:rsidP="00C61410">
      <w:pPr>
        <w:pStyle w:val="ListParagraph"/>
        <w:numPr>
          <w:ilvl w:val="0"/>
          <w:numId w:val="2"/>
        </w:numPr>
        <w:spacing w:after="0"/>
        <w:rPr>
          <w:rFonts w:ascii="Times New Roman" w:hAnsi="Times New Roman" w:cs="Times New Roman"/>
        </w:rPr>
      </w:pPr>
      <w:r>
        <w:rPr>
          <w:rFonts w:ascii="Times New Roman" w:hAnsi="Times New Roman" w:cs="Times New Roman"/>
        </w:rPr>
        <w:t>Hurricane Drill</w:t>
      </w:r>
      <w:r w:rsidR="009B2471" w:rsidRPr="009B6AA6">
        <w:rPr>
          <w:rFonts w:ascii="Times New Roman" w:hAnsi="Times New Roman" w:cs="Times New Roman"/>
        </w:rPr>
        <w:t xml:space="preserve"> </w:t>
      </w:r>
      <w:r>
        <w:rPr>
          <w:rFonts w:ascii="Times New Roman" w:hAnsi="Times New Roman" w:cs="Times New Roman"/>
        </w:rPr>
        <w:t>was successful.  OTF to file a detailed summary.</w:t>
      </w:r>
    </w:p>
    <w:p w:rsidR="009B2471" w:rsidRDefault="009B2471" w:rsidP="000F2B8B">
      <w:pPr>
        <w:spacing w:after="0"/>
        <w:rPr>
          <w:rFonts w:ascii="Times New Roman" w:hAnsi="Times New Roman" w:cs="Times New Roman"/>
        </w:rPr>
      </w:pPr>
    </w:p>
    <w:p w:rsidR="00655E7C" w:rsidRPr="00C37408" w:rsidRDefault="00655E7C" w:rsidP="00C37408">
      <w:pPr>
        <w:spacing w:after="0"/>
        <w:rPr>
          <w:rFonts w:ascii="Times New Roman" w:hAnsi="Times New Roman" w:cs="Times New Roman"/>
          <w:b/>
        </w:rPr>
      </w:pPr>
      <w:r w:rsidRPr="00655E7C">
        <w:rPr>
          <w:rFonts w:ascii="Times New Roman" w:hAnsi="Times New Roman" w:cs="Times New Roman"/>
          <w:b/>
        </w:rPr>
        <w:t>Nodal Protocol and Guides Resolution Task Force Report</w:t>
      </w:r>
      <w:r>
        <w:rPr>
          <w:rFonts w:ascii="Times New Roman" w:hAnsi="Times New Roman" w:cs="Times New Roman"/>
          <w:b/>
        </w:rPr>
        <w:t xml:space="preserve"> – </w:t>
      </w:r>
    </w:p>
    <w:p w:rsidR="00655E7C" w:rsidRPr="00C61410" w:rsidRDefault="00C61410" w:rsidP="00C61410">
      <w:pPr>
        <w:pStyle w:val="ListParagraph"/>
        <w:numPr>
          <w:ilvl w:val="0"/>
          <w:numId w:val="2"/>
        </w:numPr>
        <w:spacing w:after="0"/>
      </w:pPr>
      <w:r w:rsidRPr="00C61410">
        <w:t>Did not meet, will report in July</w:t>
      </w:r>
      <w:r w:rsidR="00914FA4">
        <w:t>.</w:t>
      </w:r>
    </w:p>
    <w:p w:rsidR="00655E7C" w:rsidRPr="009B6AA6" w:rsidRDefault="00655E7C" w:rsidP="00C61410">
      <w:pPr>
        <w:spacing w:after="0"/>
        <w:rPr>
          <w:rFonts w:ascii="Times New Roman" w:hAnsi="Times New Roman" w:cs="Times New Roman"/>
        </w:rPr>
      </w:pPr>
    </w:p>
    <w:p w:rsidR="00672302" w:rsidRPr="009B6AA6" w:rsidRDefault="00FB0BBC" w:rsidP="000F2B8B">
      <w:pPr>
        <w:spacing w:after="0"/>
        <w:rPr>
          <w:rFonts w:ascii="Times New Roman" w:hAnsi="Times New Roman" w:cs="Times New Roman"/>
          <w:b/>
          <w:sz w:val="24"/>
        </w:rPr>
      </w:pPr>
      <w:r w:rsidRPr="009B6AA6">
        <w:rPr>
          <w:rFonts w:ascii="Times New Roman" w:hAnsi="Times New Roman" w:cs="Times New Roman"/>
          <w:b/>
          <w:sz w:val="24"/>
        </w:rPr>
        <w:t>TRE Update</w:t>
      </w:r>
      <w:r w:rsidR="000F2B8B" w:rsidRPr="009B6AA6">
        <w:rPr>
          <w:rFonts w:ascii="Times New Roman" w:hAnsi="Times New Roman" w:cs="Times New Roman"/>
          <w:b/>
          <w:sz w:val="24"/>
        </w:rPr>
        <w:t xml:space="preserve"> Report – </w:t>
      </w:r>
    </w:p>
    <w:p w:rsidR="00C37408" w:rsidRDefault="00C61410" w:rsidP="00C37408">
      <w:pPr>
        <w:pStyle w:val="ListParagraph"/>
        <w:numPr>
          <w:ilvl w:val="0"/>
          <w:numId w:val="3"/>
        </w:numPr>
        <w:spacing w:after="0"/>
        <w:rPr>
          <w:rFonts w:ascii="Times New Roman" w:hAnsi="Times New Roman" w:cs="Times New Roman"/>
        </w:rPr>
      </w:pPr>
      <w:r w:rsidRPr="00C61410">
        <w:rPr>
          <w:rFonts w:ascii="Times New Roman" w:hAnsi="Times New Roman" w:cs="Times New Roman"/>
        </w:rPr>
        <w:t>There was no report available this month.</w:t>
      </w:r>
    </w:p>
    <w:p w:rsidR="00C61410" w:rsidRPr="00C61410" w:rsidRDefault="00C61410" w:rsidP="00C61410">
      <w:pPr>
        <w:pStyle w:val="ListParagraph"/>
        <w:spacing w:after="0"/>
        <w:ind w:left="1080"/>
        <w:rPr>
          <w:rFonts w:ascii="Times New Roman" w:hAnsi="Times New Roman" w:cs="Times New Roman"/>
        </w:rPr>
      </w:pPr>
    </w:p>
    <w:p w:rsidR="00672302" w:rsidRPr="009B6AA6" w:rsidRDefault="000F2B8B" w:rsidP="00C37408">
      <w:pPr>
        <w:spacing w:after="0"/>
        <w:rPr>
          <w:rFonts w:ascii="Times New Roman" w:hAnsi="Times New Roman" w:cs="Times New Roman"/>
          <w:b/>
          <w:sz w:val="24"/>
        </w:rPr>
      </w:pPr>
      <w:r w:rsidRPr="009B6AA6">
        <w:rPr>
          <w:rFonts w:ascii="Times New Roman" w:hAnsi="Times New Roman" w:cs="Times New Roman"/>
          <w:b/>
          <w:sz w:val="24"/>
        </w:rPr>
        <w:t xml:space="preserve">System Operations Report – </w:t>
      </w:r>
    </w:p>
    <w:p w:rsidR="00C37408" w:rsidRDefault="00C23097" w:rsidP="00C23097">
      <w:pPr>
        <w:pStyle w:val="ListParagraph"/>
        <w:numPr>
          <w:ilvl w:val="0"/>
          <w:numId w:val="3"/>
        </w:numPr>
        <w:spacing w:after="0"/>
        <w:rPr>
          <w:rFonts w:ascii="Times New Roman" w:hAnsi="Times New Roman" w:cs="Times New Roman"/>
        </w:rPr>
      </w:pPr>
      <w:r>
        <w:rPr>
          <w:rFonts w:ascii="Times New Roman" w:hAnsi="Times New Roman" w:cs="Times New Roman"/>
        </w:rPr>
        <w:t>There was discussion about when to push constraints that cause a 2% generation shift factor to SCED</w:t>
      </w:r>
      <w:r w:rsidR="00F624F4">
        <w:rPr>
          <w:rFonts w:ascii="Times New Roman" w:hAnsi="Times New Roman" w:cs="Times New Roman"/>
        </w:rPr>
        <w:t>.</w:t>
      </w:r>
    </w:p>
    <w:p w:rsidR="00C23097" w:rsidRPr="00C23097" w:rsidRDefault="00C23097" w:rsidP="00C23097">
      <w:pPr>
        <w:pStyle w:val="ListParagraph"/>
        <w:numPr>
          <w:ilvl w:val="1"/>
          <w:numId w:val="3"/>
        </w:numPr>
        <w:spacing w:after="0"/>
        <w:rPr>
          <w:rFonts w:ascii="Times New Roman" w:hAnsi="Times New Roman" w:cs="Times New Roman"/>
        </w:rPr>
      </w:pPr>
      <w:r>
        <w:rPr>
          <w:rFonts w:ascii="Times New Roman" w:hAnsi="Times New Roman" w:cs="Times New Roman"/>
        </w:rPr>
        <w:t>Colleen Frosch to follow-up next meeting</w:t>
      </w:r>
      <w:r w:rsidR="00F624F4">
        <w:rPr>
          <w:rFonts w:ascii="Times New Roman" w:hAnsi="Times New Roman" w:cs="Times New Roman"/>
        </w:rPr>
        <w:t>.</w:t>
      </w:r>
    </w:p>
    <w:p w:rsidR="00F3274F" w:rsidRPr="009B6AA6" w:rsidRDefault="00F3274F" w:rsidP="009B2471">
      <w:pPr>
        <w:spacing w:after="0"/>
        <w:rPr>
          <w:rFonts w:ascii="Times New Roman" w:hAnsi="Times New Roman" w:cs="Times New Roman"/>
        </w:rPr>
      </w:pPr>
    </w:p>
    <w:p w:rsidR="00672302"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Other – </w:t>
      </w:r>
    </w:p>
    <w:p w:rsidR="00C23097" w:rsidRDefault="00C23097" w:rsidP="00C23097">
      <w:pPr>
        <w:pStyle w:val="ListParagraph"/>
        <w:numPr>
          <w:ilvl w:val="0"/>
          <w:numId w:val="3"/>
        </w:numPr>
        <w:spacing w:after="0"/>
        <w:rPr>
          <w:rFonts w:ascii="Times New Roman" w:hAnsi="Times New Roman" w:cs="Times New Roman"/>
          <w:sz w:val="24"/>
        </w:rPr>
      </w:pPr>
      <w:r w:rsidRPr="00C23097">
        <w:rPr>
          <w:rFonts w:ascii="Times New Roman" w:hAnsi="Times New Roman" w:cs="Times New Roman"/>
          <w:sz w:val="24"/>
        </w:rPr>
        <w:t>The group entered into a discussion about compliance with load shed totals during a rotating outage where the amounts change.</w:t>
      </w:r>
    </w:p>
    <w:p w:rsidR="00C23097" w:rsidRDefault="00C23097" w:rsidP="00C23097">
      <w:pPr>
        <w:pStyle w:val="ListParagraph"/>
        <w:numPr>
          <w:ilvl w:val="1"/>
          <w:numId w:val="3"/>
        </w:numPr>
        <w:spacing w:after="0"/>
        <w:rPr>
          <w:rFonts w:ascii="Times New Roman" w:hAnsi="Times New Roman" w:cs="Times New Roman"/>
          <w:sz w:val="24"/>
        </w:rPr>
      </w:pPr>
      <w:r>
        <w:rPr>
          <w:rFonts w:ascii="Times New Roman" w:hAnsi="Times New Roman" w:cs="Times New Roman"/>
          <w:sz w:val="24"/>
        </w:rPr>
        <w:t xml:space="preserve">The </w:t>
      </w:r>
      <w:r w:rsidR="00177504">
        <w:rPr>
          <w:rFonts w:ascii="Times New Roman" w:hAnsi="Times New Roman" w:cs="Times New Roman"/>
          <w:sz w:val="24"/>
        </w:rPr>
        <w:t>group asked Brad Calhoun to request the Texas RE provides</w:t>
      </w:r>
      <w:r>
        <w:rPr>
          <w:rFonts w:ascii="Times New Roman" w:hAnsi="Times New Roman" w:cs="Times New Roman"/>
          <w:sz w:val="24"/>
        </w:rPr>
        <w:t xml:space="preserve"> load information</w:t>
      </w:r>
      <w:r w:rsidR="00177504">
        <w:rPr>
          <w:rFonts w:ascii="Times New Roman" w:hAnsi="Times New Roman" w:cs="Times New Roman"/>
          <w:sz w:val="24"/>
        </w:rPr>
        <w:t xml:space="preserve"> from the February 2</w:t>
      </w:r>
      <w:r w:rsidR="00177504" w:rsidRPr="00177504">
        <w:rPr>
          <w:rFonts w:ascii="Times New Roman" w:hAnsi="Times New Roman" w:cs="Times New Roman"/>
          <w:sz w:val="24"/>
          <w:vertAlign w:val="superscript"/>
        </w:rPr>
        <w:t>nd</w:t>
      </w:r>
      <w:r w:rsidR="00177504">
        <w:rPr>
          <w:rFonts w:ascii="Times New Roman" w:hAnsi="Times New Roman" w:cs="Times New Roman"/>
          <w:sz w:val="24"/>
        </w:rPr>
        <w:t xml:space="preserve"> event that the group could review.</w:t>
      </w:r>
    </w:p>
    <w:p w:rsidR="009B2471" w:rsidRPr="00F624F4" w:rsidRDefault="00177504" w:rsidP="000F2B8B">
      <w:pPr>
        <w:pStyle w:val="ListParagraph"/>
        <w:numPr>
          <w:ilvl w:val="0"/>
          <w:numId w:val="3"/>
        </w:numPr>
        <w:spacing w:after="0"/>
        <w:rPr>
          <w:rFonts w:ascii="Times New Roman" w:hAnsi="Times New Roman" w:cs="Times New Roman"/>
        </w:rPr>
      </w:pPr>
      <w:r w:rsidRPr="00177504">
        <w:rPr>
          <w:rFonts w:ascii="Times New Roman" w:hAnsi="Times New Roman" w:cs="Times New Roman"/>
          <w:sz w:val="24"/>
        </w:rPr>
        <w:t>Ross Owen wanted to move the ERCOT Operations Training Seminar to the fall.  The group did not reach a resolution on this matter.</w:t>
      </w:r>
    </w:p>
    <w:p w:rsidR="00F624F4" w:rsidRPr="00177504" w:rsidRDefault="00F624F4" w:rsidP="000F2B8B">
      <w:pPr>
        <w:pStyle w:val="ListParagraph"/>
        <w:numPr>
          <w:ilvl w:val="0"/>
          <w:numId w:val="3"/>
        </w:numPr>
        <w:spacing w:after="0"/>
        <w:rPr>
          <w:rFonts w:ascii="Times New Roman" w:hAnsi="Times New Roman" w:cs="Times New Roman"/>
        </w:rPr>
      </w:pPr>
      <w:r>
        <w:rPr>
          <w:rFonts w:ascii="Times New Roman" w:hAnsi="Times New Roman" w:cs="Times New Roman"/>
          <w:sz w:val="24"/>
        </w:rPr>
        <w:t>Brad Calhoun talked to Walter Reid about wind generation concerns about reactive capability requirements and testing procedures.  Walter expressed his thought that those concerns had already been addressed adequately.</w:t>
      </w:r>
    </w:p>
    <w:p w:rsidR="00655E7C" w:rsidRPr="009B6AA6" w:rsidRDefault="00655E7C" w:rsidP="000F2B8B">
      <w:pPr>
        <w:spacing w:after="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47273C" w:rsidRPr="007C6C5F" w:rsidRDefault="00C37408" w:rsidP="00A0788C">
      <w:pPr>
        <w:spacing w:after="0"/>
        <w:rPr>
          <w:rFonts w:ascii="Georgia" w:hAnsi="Georgia"/>
        </w:rPr>
      </w:pPr>
      <w:r>
        <w:rPr>
          <w:rFonts w:ascii="Times New Roman" w:hAnsi="Times New Roman" w:cs="Times New Roman"/>
        </w:rPr>
        <w:t>July 18</w:t>
      </w:r>
      <w:r w:rsidR="007C6C5F">
        <w:rPr>
          <w:rFonts w:ascii="Georgia" w:hAnsi="Georgia"/>
        </w:rPr>
        <w:t>th, 2012</w:t>
      </w:r>
    </w:p>
    <w:sectPr w:rsidR="0047273C" w:rsidRPr="007C6C5F" w:rsidSect="00CE2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8AB3AB3"/>
    <w:multiLevelType w:val="hybridMultilevel"/>
    <w:tmpl w:val="F2707B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9181127"/>
    <w:multiLevelType w:val="hybridMultilevel"/>
    <w:tmpl w:val="7DAE14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3"/>
  </w:num>
  <w:num w:numId="4">
    <w:abstractNumId w:val="5"/>
  </w:num>
  <w:num w:numId="5">
    <w:abstractNumId w:val="2"/>
  </w:num>
  <w:num w:numId="6">
    <w:abstractNumId w:val="0"/>
  </w:num>
  <w:num w:numId="7">
    <w:abstractNumId w:val="6"/>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oNotDisplayPageBoundaries/>
  <w:proofState w:spelling="clean" w:grammar="clean"/>
  <w:defaultTabStop w:val="720"/>
  <w:characterSpacingControl w:val="doNotCompress"/>
  <w:compat>
    <w:useFELayout/>
  </w:compat>
  <w:rsids>
    <w:rsidRoot w:val="00A0788C"/>
    <w:rsid w:val="00013694"/>
    <w:rsid w:val="0006701A"/>
    <w:rsid w:val="000F2B8B"/>
    <w:rsid w:val="00127C45"/>
    <w:rsid w:val="001300F3"/>
    <w:rsid w:val="001401BB"/>
    <w:rsid w:val="00177504"/>
    <w:rsid w:val="001E353E"/>
    <w:rsid w:val="00256EDE"/>
    <w:rsid w:val="00263CEA"/>
    <w:rsid w:val="002A23C9"/>
    <w:rsid w:val="002A4A9E"/>
    <w:rsid w:val="00331489"/>
    <w:rsid w:val="00364ED7"/>
    <w:rsid w:val="00370EC3"/>
    <w:rsid w:val="00396E23"/>
    <w:rsid w:val="003B2C22"/>
    <w:rsid w:val="003D5246"/>
    <w:rsid w:val="004308AD"/>
    <w:rsid w:val="00435944"/>
    <w:rsid w:val="00447403"/>
    <w:rsid w:val="00462E30"/>
    <w:rsid w:val="004666B1"/>
    <w:rsid w:val="0047273C"/>
    <w:rsid w:val="004805AC"/>
    <w:rsid w:val="00485E20"/>
    <w:rsid w:val="004A2211"/>
    <w:rsid w:val="004A571E"/>
    <w:rsid w:val="004B3967"/>
    <w:rsid w:val="004D5166"/>
    <w:rsid w:val="005178A8"/>
    <w:rsid w:val="00521C01"/>
    <w:rsid w:val="00527D2D"/>
    <w:rsid w:val="0053172D"/>
    <w:rsid w:val="00541DA5"/>
    <w:rsid w:val="00583676"/>
    <w:rsid w:val="00590BB0"/>
    <w:rsid w:val="00592401"/>
    <w:rsid w:val="005A4A3C"/>
    <w:rsid w:val="005B14A9"/>
    <w:rsid w:val="00621007"/>
    <w:rsid w:val="00637621"/>
    <w:rsid w:val="00655E7C"/>
    <w:rsid w:val="00655F35"/>
    <w:rsid w:val="00662858"/>
    <w:rsid w:val="00672302"/>
    <w:rsid w:val="00693A65"/>
    <w:rsid w:val="006A48A1"/>
    <w:rsid w:val="006C45FD"/>
    <w:rsid w:val="006D7ADC"/>
    <w:rsid w:val="007173AE"/>
    <w:rsid w:val="00734CA7"/>
    <w:rsid w:val="00740FF4"/>
    <w:rsid w:val="007B1481"/>
    <w:rsid w:val="007C6C5F"/>
    <w:rsid w:val="007E783C"/>
    <w:rsid w:val="00812757"/>
    <w:rsid w:val="008317DF"/>
    <w:rsid w:val="00836DCA"/>
    <w:rsid w:val="0086111A"/>
    <w:rsid w:val="0086459D"/>
    <w:rsid w:val="00884B84"/>
    <w:rsid w:val="008B4377"/>
    <w:rsid w:val="00902B74"/>
    <w:rsid w:val="00904754"/>
    <w:rsid w:val="00914FA4"/>
    <w:rsid w:val="00956025"/>
    <w:rsid w:val="00960EB9"/>
    <w:rsid w:val="00992EBA"/>
    <w:rsid w:val="009B232B"/>
    <w:rsid w:val="009B2471"/>
    <w:rsid w:val="009B6AA6"/>
    <w:rsid w:val="00A0788C"/>
    <w:rsid w:val="00A16300"/>
    <w:rsid w:val="00A35D8B"/>
    <w:rsid w:val="00A5083E"/>
    <w:rsid w:val="00A64492"/>
    <w:rsid w:val="00AC05C3"/>
    <w:rsid w:val="00AC57E7"/>
    <w:rsid w:val="00AC7B9F"/>
    <w:rsid w:val="00AD180D"/>
    <w:rsid w:val="00B33277"/>
    <w:rsid w:val="00B52FEA"/>
    <w:rsid w:val="00B62AF1"/>
    <w:rsid w:val="00B648B1"/>
    <w:rsid w:val="00B66BCE"/>
    <w:rsid w:val="00BA3F5E"/>
    <w:rsid w:val="00BD145D"/>
    <w:rsid w:val="00BD3F7D"/>
    <w:rsid w:val="00BF17E4"/>
    <w:rsid w:val="00C23097"/>
    <w:rsid w:val="00C37408"/>
    <w:rsid w:val="00C46AA0"/>
    <w:rsid w:val="00C61410"/>
    <w:rsid w:val="00C802BB"/>
    <w:rsid w:val="00CE2266"/>
    <w:rsid w:val="00D229AE"/>
    <w:rsid w:val="00D51E3F"/>
    <w:rsid w:val="00D63E5E"/>
    <w:rsid w:val="00D94ABD"/>
    <w:rsid w:val="00DA136F"/>
    <w:rsid w:val="00DB285C"/>
    <w:rsid w:val="00DC08A7"/>
    <w:rsid w:val="00DE221D"/>
    <w:rsid w:val="00E54337"/>
    <w:rsid w:val="00E573DB"/>
    <w:rsid w:val="00E6058A"/>
    <w:rsid w:val="00E850B4"/>
    <w:rsid w:val="00EE2055"/>
    <w:rsid w:val="00F12322"/>
    <w:rsid w:val="00F15C5B"/>
    <w:rsid w:val="00F3274F"/>
    <w:rsid w:val="00F624F4"/>
    <w:rsid w:val="00F926A6"/>
    <w:rsid w:val="00FB0BBC"/>
    <w:rsid w:val="00FB0D09"/>
    <w:rsid w:val="00FC25F5"/>
    <w:rsid w:val="00FC5F97"/>
    <w:rsid w:val="00FD20DE"/>
    <w:rsid w:val="00FF0BD2"/>
    <w:rsid w:val="00FF45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0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F617C1-A2BA-4BB2-99D1-F6C25ACAA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752</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5029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Brad Calhoun</cp:lastModifiedBy>
  <cp:revision>2</cp:revision>
  <dcterms:created xsi:type="dcterms:W3CDTF">2012-06-19T19:11:00Z</dcterms:created>
  <dcterms:modified xsi:type="dcterms:W3CDTF">2012-06-19T19:11:00Z</dcterms:modified>
</cp:coreProperties>
</file>