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590BB0" w:rsidP="00A0788C">
      <w:pPr>
        <w:spacing w:after="0"/>
        <w:jc w:val="center"/>
        <w:rPr>
          <w:rFonts w:ascii="Times New Roman" w:hAnsi="Times New Roman" w:cs="Times New Roman"/>
        </w:rPr>
      </w:pPr>
      <w:r>
        <w:rPr>
          <w:rFonts w:ascii="Times New Roman" w:hAnsi="Times New Roman" w:cs="Times New Roman"/>
        </w:rPr>
        <w:t>June</w:t>
      </w:r>
      <w:r w:rsidR="00A0788C" w:rsidRPr="009B6AA6">
        <w:rPr>
          <w:rFonts w:ascii="Times New Roman" w:hAnsi="Times New Roman" w:cs="Times New Roman"/>
        </w:rPr>
        <w:t>, 2012</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B66BCE">
        <w:rPr>
          <w:rFonts w:ascii="Times New Roman" w:hAnsi="Times New Roman" w:cs="Times New Roman"/>
        </w:rPr>
        <w:t>g Group (OWG) met on May 16</w:t>
      </w:r>
      <w:r w:rsidRPr="009B6AA6">
        <w:rPr>
          <w:rFonts w:ascii="Times New Roman" w:hAnsi="Times New Roman" w:cs="Times New Roman"/>
        </w:rPr>
        <w:t>, 2012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4666B1" w:rsidP="00A0788C">
      <w:pPr>
        <w:spacing w:after="0"/>
        <w:rPr>
          <w:rFonts w:ascii="Times New Roman" w:hAnsi="Times New Roman" w:cs="Times New Roman"/>
          <w:b/>
          <w:sz w:val="24"/>
        </w:rPr>
      </w:pPr>
      <w:r>
        <w:rPr>
          <w:rFonts w:ascii="Times New Roman" w:hAnsi="Times New Roman" w:cs="Times New Roman"/>
          <w:b/>
          <w:sz w:val="24"/>
        </w:rPr>
        <w:t>April</w:t>
      </w:r>
      <w:r w:rsidR="00DC08A7" w:rsidRPr="009B6AA6">
        <w:rPr>
          <w:rFonts w:ascii="Times New Roman" w:hAnsi="Times New Roman" w:cs="Times New Roman"/>
          <w:b/>
          <w:sz w:val="24"/>
        </w:rPr>
        <w:t xml:space="preserve"> OWG Meeting Minutes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4666B1">
        <w:rPr>
          <w:rFonts w:ascii="Times New Roman" w:hAnsi="Times New Roman" w:cs="Times New Roman"/>
        </w:rPr>
        <w:t>viewed and approved the April</w:t>
      </w:r>
      <w:r w:rsidRPr="009B6AA6">
        <w:rPr>
          <w:rFonts w:ascii="Times New Roman" w:hAnsi="Times New Roman" w:cs="Times New Roman"/>
        </w:rPr>
        <w:t xml:space="preserve"> meeting minutes.</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62858"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tbl>
      <w:tblPr>
        <w:tblStyle w:val="TableGrid"/>
        <w:tblW w:w="6390" w:type="dxa"/>
        <w:tblInd w:w="1638" w:type="dxa"/>
        <w:tblLook w:val="04A0"/>
      </w:tblPr>
      <w:tblGrid>
        <w:gridCol w:w="6390"/>
      </w:tblGrid>
      <w:tr w:rsidR="00662858" w:rsidRPr="009B6AA6" w:rsidTr="00662858">
        <w:tc>
          <w:tcPr>
            <w:tcW w:w="6390" w:type="dxa"/>
            <w:shd w:val="clear" w:color="auto" w:fill="000000" w:themeFill="text1"/>
          </w:tcPr>
          <w:p w:rsidR="00662858" w:rsidRPr="009B6AA6" w:rsidRDefault="00662858" w:rsidP="00662858">
            <w:pPr>
              <w:jc w:val="center"/>
              <w:rPr>
                <w:rFonts w:ascii="Times New Roman" w:hAnsi="Times New Roman" w:cs="Times New Roman"/>
                <w:b/>
                <w:color w:val="00B050"/>
              </w:rPr>
            </w:pPr>
            <w:r w:rsidRPr="009B6AA6">
              <w:rPr>
                <w:rFonts w:ascii="Times New Roman" w:hAnsi="Times New Roman" w:cs="Times New Roman"/>
                <w:b/>
                <w:color w:val="00B050"/>
              </w:rPr>
              <w:t>086NOGRR</w:t>
            </w:r>
            <w:r w:rsidR="0086459D" w:rsidRPr="009B6AA6">
              <w:rPr>
                <w:rFonts w:ascii="Times New Roman" w:hAnsi="Times New Roman" w:cs="Times New Roman"/>
                <w:noProof/>
                <w:color w:val="FF0000"/>
              </w:rPr>
              <w:drawing>
                <wp:inline distT="0" distB="0" distL="0" distR="0">
                  <wp:extent cx="135456" cy="118652"/>
                  <wp:effectExtent l="19050" t="0" r="0" b="0"/>
                  <wp:docPr id="4"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662858" w:rsidRPr="009B6AA6" w:rsidTr="00662858">
        <w:tc>
          <w:tcPr>
            <w:tcW w:w="6390" w:type="dxa"/>
          </w:tcPr>
          <w:p w:rsidR="00662858" w:rsidRPr="009B6AA6" w:rsidRDefault="00662858" w:rsidP="00662858">
            <w:pPr>
              <w:jc w:val="center"/>
              <w:rPr>
                <w:rFonts w:ascii="Times New Roman" w:hAnsi="Times New Roman" w:cs="Times New Roman"/>
                <w:b/>
              </w:rPr>
            </w:pPr>
            <w:r w:rsidRPr="009B6AA6">
              <w:rPr>
                <w:rFonts w:ascii="Times New Roman" w:hAnsi="Times New Roman" w:cs="Times New Roman"/>
                <w:b/>
              </w:rPr>
              <w:t>Clarification of Seasonal Unit Capability Testing Requirements</w:t>
            </w:r>
          </w:p>
        </w:tc>
      </w:tr>
      <w:tr w:rsidR="00662858" w:rsidRPr="009B6AA6" w:rsidTr="00662858">
        <w:tc>
          <w:tcPr>
            <w:tcW w:w="6390" w:type="dxa"/>
          </w:tcPr>
          <w:p w:rsidR="00662858" w:rsidRPr="009B6AA6" w:rsidRDefault="00662858" w:rsidP="00662858">
            <w:pPr>
              <w:jc w:val="center"/>
              <w:rPr>
                <w:rFonts w:ascii="Times New Roman" w:hAnsi="Times New Roman" w:cs="Times New Roman"/>
              </w:rPr>
            </w:pPr>
            <w:r w:rsidRPr="009B6AA6">
              <w:rPr>
                <w:rFonts w:ascii="Times New Roman" w:hAnsi="Times New Roman" w:cs="Times New Roman"/>
              </w:rPr>
              <w:t>Language Review</w:t>
            </w:r>
          </w:p>
        </w:tc>
      </w:tr>
      <w:tr w:rsidR="00662858" w:rsidRPr="009B6AA6" w:rsidTr="00662858">
        <w:tc>
          <w:tcPr>
            <w:tcW w:w="6390" w:type="dxa"/>
          </w:tcPr>
          <w:p w:rsidR="00662858" w:rsidRPr="009B6AA6" w:rsidRDefault="00662858" w:rsidP="00662858">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0086459D" w:rsidRPr="009B6AA6">
              <w:rPr>
                <w:rFonts w:ascii="Times New Roman" w:hAnsi="Times New Roman" w:cs="Times New Roman"/>
                <w:color w:val="00B050"/>
              </w:rPr>
              <w:t xml:space="preserve">OWG </w:t>
            </w:r>
            <w:r w:rsidR="00E6058A">
              <w:rPr>
                <w:rFonts w:ascii="Times New Roman" w:hAnsi="Times New Roman" w:cs="Times New Roman"/>
                <w:color w:val="00B050"/>
              </w:rPr>
              <w:t>recommends ROS approval</w:t>
            </w:r>
            <w:r w:rsidR="00263CEA" w:rsidRPr="009B6AA6">
              <w:rPr>
                <w:rFonts w:ascii="Times New Roman" w:hAnsi="Times New Roman" w:cs="Times New Roman"/>
                <w:color w:val="FF0000"/>
              </w:rPr>
              <w:t xml:space="preserve">  </w:t>
            </w:r>
            <w:r w:rsidR="00263CEA" w:rsidRPr="009B6AA6">
              <w:rPr>
                <w:rFonts w:ascii="Times New Roman" w:hAnsi="Times New Roman" w:cs="Times New Roman"/>
                <w:noProof/>
                <w:color w:val="FF0000"/>
              </w:rPr>
              <w:drawing>
                <wp:inline distT="0" distB="0" distL="0" distR="0">
                  <wp:extent cx="135456" cy="118652"/>
                  <wp:effectExtent l="19050" t="0" r="0" b="0"/>
                  <wp:docPr id="2"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662858" w:rsidRPr="009B6AA6" w:rsidTr="00662858">
        <w:tc>
          <w:tcPr>
            <w:tcW w:w="6390" w:type="dxa"/>
          </w:tcPr>
          <w:p w:rsidR="00734CA7" w:rsidRPr="009B6AA6" w:rsidRDefault="00662858" w:rsidP="00662858">
            <w:pPr>
              <w:jc w:val="center"/>
              <w:rPr>
                <w:rFonts w:ascii="Times New Roman" w:hAnsi="Times New Roman" w:cs="Times New Roman"/>
              </w:rPr>
            </w:pPr>
            <w:r w:rsidRPr="009B6AA6">
              <w:rPr>
                <w:rFonts w:ascii="Times New Roman" w:hAnsi="Times New Roman" w:cs="Times New Roman"/>
              </w:rPr>
              <w:t>Discussion:</w:t>
            </w:r>
          </w:p>
          <w:p w:rsidR="00662858" w:rsidRPr="009B6AA6" w:rsidRDefault="00E6058A" w:rsidP="00447403">
            <w:pPr>
              <w:jc w:val="center"/>
              <w:rPr>
                <w:rFonts w:ascii="Times New Roman" w:hAnsi="Times New Roman" w:cs="Times New Roman"/>
              </w:rPr>
            </w:pPr>
            <w:r w:rsidRPr="00E6058A">
              <w:rPr>
                <w:rFonts w:ascii="Times New Roman" w:hAnsi="Times New Roman" w:cs="Times New Roman"/>
              </w:rPr>
              <w:t>This Nodal Operating Guide Revision Request (NOGRR) clarifies the seasonal unit capability testing requirement. [ERCOT]</w:t>
            </w:r>
            <w:r w:rsidR="002A4A9E" w:rsidRPr="009B6AA6">
              <w:rPr>
                <w:rFonts w:ascii="Times New Roman" w:hAnsi="Times New Roman" w:cs="Times New Roman"/>
              </w:rPr>
              <w:t xml:space="preserve">  OWG </w:t>
            </w:r>
            <w:r>
              <w:rPr>
                <w:rFonts w:ascii="Times New Roman" w:hAnsi="Times New Roman" w:cs="Times New Roman"/>
              </w:rPr>
              <w:t>reviewed the Impact Analysis and recommends ROS approve</w:t>
            </w:r>
            <w:r w:rsidR="009B232B">
              <w:rPr>
                <w:rFonts w:ascii="Times New Roman" w:hAnsi="Times New Roman" w:cs="Times New Roman"/>
              </w:rPr>
              <w:t xml:space="preserve"> the May 16</w:t>
            </w:r>
            <w:r w:rsidR="009B232B" w:rsidRPr="009B232B">
              <w:rPr>
                <w:rFonts w:ascii="Times New Roman" w:hAnsi="Times New Roman" w:cs="Times New Roman"/>
                <w:vertAlign w:val="superscript"/>
              </w:rPr>
              <w:t>th</w:t>
            </w:r>
            <w:r w:rsidR="009B232B">
              <w:rPr>
                <w:rFonts w:ascii="Times New Roman" w:hAnsi="Times New Roman" w:cs="Times New Roman"/>
              </w:rPr>
              <w:t xml:space="preserve"> version.</w:t>
            </w:r>
          </w:p>
          <w:p w:rsidR="00364ED7" w:rsidRPr="009B6AA6" w:rsidRDefault="00364ED7" w:rsidP="00447403">
            <w:pPr>
              <w:jc w:val="center"/>
              <w:rPr>
                <w:rFonts w:ascii="Times New Roman" w:hAnsi="Times New Roman" w:cs="Times New Roman"/>
              </w:rPr>
            </w:pPr>
          </w:p>
        </w:tc>
      </w:tr>
      <w:tr w:rsidR="00FF4593" w:rsidRPr="009B6AA6" w:rsidTr="00662858">
        <w:tc>
          <w:tcPr>
            <w:tcW w:w="6390" w:type="dxa"/>
          </w:tcPr>
          <w:p w:rsidR="00FF4593" w:rsidRPr="009B6AA6" w:rsidRDefault="00FF4593" w:rsidP="00662858">
            <w:pPr>
              <w:jc w:val="center"/>
              <w:rPr>
                <w:rFonts w:ascii="Times New Roman" w:hAnsi="Times New Roman" w:cs="Times New Roman"/>
              </w:rPr>
            </w:pPr>
            <w:r w:rsidRPr="009B6AA6">
              <w:rPr>
                <w:rFonts w:ascii="Times New Roman" w:hAnsi="Times New Roman" w:cs="Times New Roman"/>
              </w:rPr>
              <w:t>Related Item</w:t>
            </w:r>
            <w:r w:rsidR="00BA3F5E" w:rsidRPr="009B6AA6">
              <w:rPr>
                <w:rFonts w:ascii="Times New Roman" w:hAnsi="Times New Roman" w:cs="Times New Roman"/>
              </w:rPr>
              <w:t xml:space="preserve"> (s)</w:t>
            </w:r>
          </w:p>
        </w:tc>
      </w:tr>
      <w:tr w:rsidR="00FF4593" w:rsidRPr="009B6AA6" w:rsidTr="00812757">
        <w:tc>
          <w:tcPr>
            <w:tcW w:w="6390" w:type="dxa"/>
            <w:shd w:val="clear" w:color="auto" w:fill="000000" w:themeFill="text1"/>
          </w:tcPr>
          <w:p w:rsidR="00FF4593" w:rsidRPr="009B6AA6" w:rsidRDefault="00FF4593" w:rsidP="00662858">
            <w:pPr>
              <w:jc w:val="center"/>
              <w:rPr>
                <w:rFonts w:ascii="Times New Roman" w:hAnsi="Times New Roman" w:cs="Times New Roman"/>
                <w:b/>
                <w:color w:val="00B050"/>
              </w:rPr>
            </w:pPr>
            <w:r w:rsidRPr="009B6AA6">
              <w:rPr>
                <w:rFonts w:ascii="Times New Roman" w:hAnsi="Times New Roman" w:cs="Times New Roman"/>
                <w:b/>
                <w:color w:val="00B050"/>
              </w:rPr>
              <w:t>NPRR436</w:t>
            </w:r>
            <w:r w:rsidR="00263CEA" w:rsidRPr="009B6AA6">
              <w:rPr>
                <w:rFonts w:ascii="Times New Roman" w:hAnsi="Times New Roman" w:cs="Times New Roman"/>
                <w:b/>
                <w:noProof/>
                <w:color w:val="00B050"/>
              </w:rPr>
              <w:drawing>
                <wp:inline distT="0" distB="0" distL="0" distR="0">
                  <wp:extent cx="135456" cy="118652"/>
                  <wp:effectExtent l="19050" t="0" r="0" b="0"/>
                  <wp:docPr id="3"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FF4593" w:rsidRPr="009B6AA6" w:rsidTr="00662858">
        <w:tc>
          <w:tcPr>
            <w:tcW w:w="6390" w:type="dxa"/>
          </w:tcPr>
          <w:p w:rsidR="00FF4593" w:rsidRPr="009B6AA6" w:rsidRDefault="00FF4593" w:rsidP="00662858">
            <w:pPr>
              <w:jc w:val="center"/>
              <w:rPr>
                <w:rFonts w:ascii="Times New Roman" w:hAnsi="Times New Roman" w:cs="Times New Roman"/>
                <w:b/>
              </w:rPr>
            </w:pPr>
            <w:r w:rsidRPr="009B6AA6">
              <w:rPr>
                <w:rFonts w:ascii="Times New Roman" w:hAnsi="Times New Roman" w:cs="Times New Roman"/>
                <w:b/>
              </w:rPr>
              <w:t>Clarify the Use of the Defined Term Season and Its Derivatives</w:t>
            </w:r>
          </w:p>
        </w:tc>
      </w:tr>
      <w:tr w:rsidR="00FF4593" w:rsidRPr="009B6AA6" w:rsidTr="00662858">
        <w:tc>
          <w:tcPr>
            <w:tcW w:w="6390" w:type="dxa"/>
          </w:tcPr>
          <w:p w:rsidR="00485E20" w:rsidRPr="009B6AA6" w:rsidRDefault="00485E20" w:rsidP="00485E20">
            <w:pPr>
              <w:jc w:val="center"/>
              <w:rPr>
                <w:rFonts w:ascii="Times New Roman" w:hAnsi="Times New Roman" w:cs="Times New Roman"/>
                <w:b/>
              </w:rPr>
            </w:pPr>
          </w:p>
          <w:p w:rsidR="00F15C5B" w:rsidRDefault="00F15C5B" w:rsidP="00485E20">
            <w:pPr>
              <w:jc w:val="center"/>
              <w:rPr>
                <w:rFonts w:ascii="Times New Roman" w:hAnsi="Times New Roman" w:cs="Times New Roman"/>
              </w:rPr>
            </w:pPr>
            <w:r w:rsidRPr="00F15C5B">
              <w:rPr>
                <w:rFonts w:ascii="Times New Roman" w:hAnsi="Times New Roman" w:cs="Times New Roman"/>
              </w:rPr>
              <w:t>This Nodal Protocol Revision Request (NPRR) deletes the reference to the Operating Guides in paragraph (6) of Section 3.7, and capitalizes uses of the word “Season” and its derivatives where applicable according to the definition in Section 2.1.</w:t>
            </w:r>
          </w:p>
          <w:p w:rsidR="00F15C5B" w:rsidRDefault="00F15C5B" w:rsidP="00485E20">
            <w:pPr>
              <w:jc w:val="center"/>
              <w:rPr>
                <w:rFonts w:ascii="Times New Roman" w:hAnsi="Times New Roman" w:cs="Times New Roman"/>
              </w:rPr>
            </w:pPr>
          </w:p>
          <w:p w:rsidR="00FF4593" w:rsidRPr="00F15C5B" w:rsidRDefault="00F15C5B" w:rsidP="00485E20">
            <w:pPr>
              <w:jc w:val="center"/>
              <w:rPr>
                <w:rFonts w:ascii="Times New Roman" w:hAnsi="Times New Roman" w:cs="Times New Roman"/>
              </w:rPr>
            </w:pPr>
            <w:r w:rsidRPr="00F15C5B">
              <w:rPr>
                <w:rFonts w:ascii="Times New Roman" w:hAnsi="Times New Roman" w:cs="Times New Roman"/>
              </w:rPr>
              <w:t>On 5/17/12, PRS unanimously voted to recommend approval of NPRR436 as amended by the 4/23/12 OWG comments and as revised by PRS.  All Market Segments were present for the vote.</w:t>
            </w:r>
          </w:p>
          <w:p w:rsidR="00485E20" w:rsidRPr="009B6AA6" w:rsidRDefault="00485E20" w:rsidP="00485E20">
            <w:pPr>
              <w:jc w:val="center"/>
              <w:rPr>
                <w:rFonts w:ascii="Times New Roman" w:hAnsi="Times New Roman" w:cs="Times New Roman"/>
              </w:rPr>
            </w:pPr>
          </w:p>
        </w:tc>
      </w:tr>
    </w:tbl>
    <w:p w:rsidR="00662858" w:rsidRPr="009B6AA6" w:rsidRDefault="00662858" w:rsidP="00A0788C">
      <w:pPr>
        <w:spacing w:after="0"/>
        <w:rPr>
          <w:rFonts w:ascii="Times New Roman" w:hAnsi="Times New Roman" w:cs="Times New Roman"/>
        </w:rPr>
      </w:pPr>
    </w:p>
    <w:p w:rsidR="00662858" w:rsidRPr="009B6AA6" w:rsidRDefault="00662858" w:rsidP="00A0788C">
      <w:pPr>
        <w:spacing w:after="0"/>
        <w:rPr>
          <w:rFonts w:ascii="Times New Roman" w:hAnsi="Times New Roman" w:cs="Times New Roman"/>
        </w:rPr>
      </w:pPr>
    </w:p>
    <w:tbl>
      <w:tblPr>
        <w:tblStyle w:val="TableGrid"/>
        <w:tblW w:w="6390" w:type="dxa"/>
        <w:tblInd w:w="1638" w:type="dxa"/>
        <w:tblLook w:val="04A0"/>
      </w:tblPr>
      <w:tblGrid>
        <w:gridCol w:w="6390"/>
      </w:tblGrid>
      <w:tr w:rsidR="00662858" w:rsidRPr="009B6AA6" w:rsidTr="00662858">
        <w:tc>
          <w:tcPr>
            <w:tcW w:w="6390" w:type="dxa"/>
            <w:shd w:val="clear" w:color="auto" w:fill="000000" w:themeFill="text1"/>
          </w:tcPr>
          <w:p w:rsidR="00662858" w:rsidRPr="009B6AA6" w:rsidRDefault="00662858" w:rsidP="00662858">
            <w:pPr>
              <w:jc w:val="center"/>
              <w:rPr>
                <w:rFonts w:ascii="Times New Roman" w:hAnsi="Times New Roman" w:cs="Times New Roman"/>
                <w:b/>
                <w:color w:val="00B050"/>
              </w:rPr>
            </w:pPr>
            <w:r w:rsidRPr="009B6AA6">
              <w:rPr>
                <w:rFonts w:ascii="Times New Roman" w:hAnsi="Times New Roman" w:cs="Times New Roman"/>
                <w:b/>
                <w:color w:val="00B050"/>
              </w:rPr>
              <w:t>089NOGRR</w:t>
            </w:r>
            <w:r w:rsidR="0086459D" w:rsidRPr="009B6AA6">
              <w:rPr>
                <w:rFonts w:ascii="Times New Roman" w:hAnsi="Times New Roman" w:cs="Times New Roman"/>
                <w:noProof/>
                <w:color w:val="FF0000"/>
              </w:rPr>
              <w:drawing>
                <wp:inline distT="0" distB="0" distL="0" distR="0">
                  <wp:extent cx="135456" cy="118652"/>
                  <wp:effectExtent l="19050" t="0" r="0" b="0"/>
                  <wp:docPr id="5"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662858" w:rsidRPr="009B6AA6" w:rsidTr="00662858">
        <w:tc>
          <w:tcPr>
            <w:tcW w:w="6390" w:type="dxa"/>
          </w:tcPr>
          <w:p w:rsidR="00662858" w:rsidRPr="009B6AA6" w:rsidRDefault="00662858" w:rsidP="00662858">
            <w:pPr>
              <w:jc w:val="center"/>
              <w:rPr>
                <w:rFonts w:ascii="Times New Roman" w:hAnsi="Times New Roman" w:cs="Times New Roman"/>
                <w:b/>
              </w:rPr>
            </w:pPr>
            <w:r w:rsidRPr="009B6AA6">
              <w:rPr>
                <w:rFonts w:ascii="Times New Roman" w:hAnsi="Times New Roman" w:cs="Times New Roman"/>
                <w:b/>
              </w:rPr>
              <w:t>Clarification of Responsibilities for Black Start Resources and QSEs</w:t>
            </w:r>
          </w:p>
        </w:tc>
      </w:tr>
      <w:tr w:rsidR="00662858" w:rsidRPr="009B6AA6" w:rsidTr="00662858">
        <w:tc>
          <w:tcPr>
            <w:tcW w:w="6390" w:type="dxa"/>
          </w:tcPr>
          <w:p w:rsidR="00662858" w:rsidRPr="009B6AA6" w:rsidRDefault="00662858" w:rsidP="00662858">
            <w:pPr>
              <w:jc w:val="center"/>
              <w:rPr>
                <w:rFonts w:ascii="Times New Roman" w:hAnsi="Times New Roman" w:cs="Times New Roman"/>
              </w:rPr>
            </w:pPr>
            <w:r w:rsidRPr="009B6AA6">
              <w:rPr>
                <w:rFonts w:ascii="Times New Roman" w:hAnsi="Times New Roman" w:cs="Times New Roman"/>
              </w:rPr>
              <w:t>Language Review</w:t>
            </w:r>
          </w:p>
        </w:tc>
      </w:tr>
      <w:tr w:rsidR="00662858" w:rsidRPr="009B6AA6" w:rsidTr="00662858">
        <w:tc>
          <w:tcPr>
            <w:tcW w:w="6390" w:type="dxa"/>
          </w:tcPr>
          <w:p w:rsidR="00662858" w:rsidRPr="009B6AA6" w:rsidRDefault="00662858" w:rsidP="00662858">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621007" w:rsidRPr="00621007">
              <w:rPr>
                <w:rFonts w:ascii="Times New Roman" w:hAnsi="Times New Roman" w:cs="Times New Roman"/>
                <w:color w:val="00B050"/>
              </w:rPr>
              <w:t>OWG recommends ROS approval</w:t>
            </w:r>
            <w:r w:rsidR="0086459D" w:rsidRPr="009B6AA6">
              <w:rPr>
                <w:rFonts w:ascii="Times New Roman" w:hAnsi="Times New Roman" w:cs="Times New Roman"/>
                <w:color w:val="FF0000"/>
              </w:rPr>
              <w:t xml:space="preserve">  </w:t>
            </w:r>
            <w:r w:rsidR="0086459D" w:rsidRPr="009B6AA6">
              <w:rPr>
                <w:rFonts w:ascii="Times New Roman" w:hAnsi="Times New Roman" w:cs="Times New Roman"/>
                <w:noProof/>
                <w:color w:val="FF0000"/>
              </w:rPr>
              <w:drawing>
                <wp:inline distT="0" distB="0" distL="0" distR="0">
                  <wp:extent cx="135456" cy="118652"/>
                  <wp:effectExtent l="19050" t="0" r="0" b="0"/>
                  <wp:docPr id="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662858" w:rsidRPr="009B6AA6" w:rsidTr="00662858">
        <w:tc>
          <w:tcPr>
            <w:tcW w:w="6390" w:type="dxa"/>
          </w:tcPr>
          <w:p w:rsidR="00734CA7" w:rsidRPr="009B6AA6" w:rsidRDefault="00734CA7" w:rsidP="00662858">
            <w:pPr>
              <w:jc w:val="center"/>
              <w:rPr>
                <w:rFonts w:ascii="Times New Roman" w:hAnsi="Times New Roman" w:cs="Times New Roman"/>
              </w:rPr>
            </w:pPr>
            <w:r w:rsidRPr="009B6AA6">
              <w:rPr>
                <w:rFonts w:ascii="Times New Roman" w:hAnsi="Times New Roman" w:cs="Times New Roman"/>
              </w:rPr>
              <w:t>Discussion:</w:t>
            </w:r>
          </w:p>
          <w:p w:rsidR="00364ED7" w:rsidRPr="009B6AA6" w:rsidRDefault="00621007" w:rsidP="00662858">
            <w:pPr>
              <w:jc w:val="center"/>
              <w:rPr>
                <w:rFonts w:ascii="Times New Roman" w:hAnsi="Times New Roman" w:cs="Times New Roman"/>
              </w:rPr>
            </w:pPr>
            <w:r w:rsidRPr="00621007">
              <w:rPr>
                <w:rFonts w:ascii="Times New Roman" w:hAnsi="Times New Roman" w:cs="Times New Roman"/>
              </w:rPr>
              <w:t>This Nodal Operating Guide Revision Request (NOGRR) clarifies the responsibilities of the Black Start Resource and the Qualified Scheduling Entity (QSE) representing the Black Start Resource.  It also clarifies language related to the Transmission Operator’s (TO’s) local Black Start plans and the QSE's Black Start procedures. [</w:t>
            </w:r>
            <w:proofErr w:type="spellStart"/>
            <w:r w:rsidRPr="00621007">
              <w:rPr>
                <w:rFonts w:ascii="Times New Roman" w:hAnsi="Times New Roman" w:cs="Times New Roman"/>
              </w:rPr>
              <w:t>Luminant</w:t>
            </w:r>
            <w:proofErr w:type="spellEnd"/>
            <w:r w:rsidRPr="00621007">
              <w:rPr>
                <w:rFonts w:ascii="Times New Roman" w:hAnsi="Times New Roman" w:cs="Times New Roman"/>
              </w:rPr>
              <w:t>]</w:t>
            </w:r>
            <w:r>
              <w:rPr>
                <w:rFonts w:ascii="Times New Roman" w:hAnsi="Times New Roman" w:cs="Times New Roman"/>
              </w:rPr>
              <w:t xml:space="preserve">  </w:t>
            </w:r>
            <w:r w:rsidRPr="00621007">
              <w:rPr>
                <w:rFonts w:ascii="Times New Roman" w:hAnsi="Times New Roman" w:cs="Times New Roman"/>
              </w:rPr>
              <w:t xml:space="preserve">OWG reviewed the Impact Analysis and recommends </w:t>
            </w:r>
            <w:r>
              <w:rPr>
                <w:rFonts w:ascii="Times New Roman" w:hAnsi="Times New Roman" w:cs="Times New Roman"/>
              </w:rPr>
              <w:t>ROS approve</w:t>
            </w:r>
            <w:r w:rsidRPr="00621007">
              <w:rPr>
                <w:rFonts w:ascii="Times New Roman" w:hAnsi="Times New Roman" w:cs="Times New Roman"/>
              </w:rPr>
              <w:t>.</w:t>
            </w:r>
          </w:p>
          <w:p w:rsidR="004308AD" w:rsidRPr="009B6AA6" w:rsidRDefault="004308AD" w:rsidP="00662858">
            <w:pPr>
              <w:jc w:val="center"/>
              <w:rPr>
                <w:rFonts w:ascii="Times New Roman" w:hAnsi="Times New Roman" w:cs="Times New Roman"/>
              </w:rPr>
            </w:pPr>
          </w:p>
        </w:tc>
      </w:tr>
    </w:tbl>
    <w:p w:rsidR="00662858" w:rsidRDefault="00662858" w:rsidP="00A0788C">
      <w:pPr>
        <w:spacing w:after="0"/>
        <w:rPr>
          <w:rFonts w:ascii="Times New Roman" w:hAnsi="Times New Roman" w:cs="Times New Roman"/>
        </w:rPr>
      </w:pPr>
    </w:p>
    <w:p w:rsidR="00621007" w:rsidRDefault="00621007" w:rsidP="00A0788C">
      <w:pPr>
        <w:spacing w:after="0"/>
        <w:rPr>
          <w:rFonts w:ascii="Times New Roman" w:hAnsi="Times New Roman" w:cs="Times New Roman"/>
        </w:rPr>
      </w:pPr>
    </w:p>
    <w:tbl>
      <w:tblPr>
        <w:tblStyle w:val="TableGrid"/>
        <w:tblW w:w="6390" w:type="dxa"/>
        <w:tblInd w:w="1638" w:type="dxa"/>
        <w:tblLook w:val="04A0"/>
      </w:tblPr>
      <w:tblGrid>
        <w:gridCol w:w="6390"/>
      </w:tblGrid>
      <w:tr w:rsidR="00621007" w:rsidRPr="009B6AA6" w:rsidTr="008C631F">
        <w:tc>
          <w:tcPr>
            <w:tcW w:w="6390" w:type="dxa"/>
            <w:shd w:val="clear" w:color="auto" w:fill="000000" w:themeFill="text1"/>
          </w:tcPr>
          <w:p w:rsidR="00621007" w:rsidRPr="009B6AA6" w:rsidRDefault="00621007" w:rsidP="008C631F">
            <w:pPr>
              <w:jc w:val="center"/>
              <w:rPr>
                <w:rFonts w:ascii="Times New Roman" w:hAnsi="Times New Roman" w:cs="Times New Roman"/>
                <w:b/>
                <w:color w:val="00B050"/>
              </w:rPr>
            </w:pPr>
            <w:r>
              <w:rPr>
                <w:rFonts w:ascii="Times New Roman" w:hAnsi="Times New Roman" w:cs="Times New Roman"/>
                <w:b/>
                <w:color w:val="00B050"/>
              </w:rPr>
              <w:t>091</w:t>
            </w:r>
            <w:r w:rsidRPr="009B6AA6">
              <w:rPr>
                <w:rFonts w:ascii="Times New Roman" w:hAnsi="Times New Roman" w:cs="Times New Roman"/>
                <w:b/>
                <w:color w:val="00B050"/>
              </w:rPr>
              <w:t>NOGRR</w:t>
            </w:r>
            <w:r w:rsidRPr="0006701A">
              <w:rPr>
                <w:rFonts w:ascii="Times New Roman" w:hAnsi="Times New Roman" w:cs="Times New Roman"/>
                <w:b/>
                <w:noProof/>
                <w:color w:val="00B050"/>
              </w:rPr>
              <w:drawing>
                <wp:inline distT="0" distB="0" distL="0" distR="0">
                  <wp:extent cx="135456" cy="118652"/>
                  <wp:effectExtent l="19050" t="0" r="0" b="0"/>
                  <wp:docPr id="9"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621007" w:rsidRPr="009B6AA6" w:rsidTr="008C631F">
        <w:tc>
          <w:tcPr>
            <w:tcW w:w="6390" w:type="dxa"/>
          </w:tcPr>
          <w:p w:rsidR="00621007" w:rsidRPr="009B6AA6" w:rsidRDefault="00621007" w:rsidP="008C631F">
            <w:pPr>
              <w:jc w:val="center"/>
              <w:rPr>
                <w:rFonts w:ascii="Times New Roman" w:hAnsi="Times New Roman" w:cs="Times New Roman"/>
                <w:b/>
              </w:rPr>
            </w:pPr>
            <w:r w:rsidRPr="00621007">
              <w:rPr>
                <w:rFonts w:ascii="Times New Roman" w:hAnsi="Times New Roman" w:cs="Times New Roman"/>
                <w:b/>
              </w:rPr>
              <w:t>Criteria for the Selection of Operators.</w:t>
            </w:r>
          </w:p>
        </w:tc>
      </w:tr>
      <w:tr w:rsidR="00621007" w:rsidRPr="009B6AA6" w:rsidTr="008C631F">
        <w:tc>
          <w:tcPr>
            <w:tcW w:w="6390" w:type="dxa"/>
          </w:tcPr>
          <w:p w:rsidR="00621007" w:rsidRPr="009B6AA6" w:rsidRDefault="00621007" w:rsidP="008C631F">
            <w:pPr>
              <w:jc w:val="center"/>
              <w:rPr>
                <w:rFonts w:ascii="Times New Roman" w:hAnsi="Times New Roman" w:cs="Times New Roman"/>
              </w:rPr>
            </w:pPr>
            <w:r>
              <w:rPr>
                <w:rFonts w:ascii="Times New Roman" w:hAnsi="Times New Roman" w:cs="Times New Roman"/>
              </w:rPr>
              <w:t>Language Review</w:t>
            </w:r>
          </w:p>
        </w:tc>
      </w:tr>
      <w:tr w:rsidR="00621007" w:rsidRPr="009B6AA6" w:rsidTr="008C631F">
        <w:tc>
          <w:tcPr>
            <w:tcW w:w="6390" w:type="dxa"/>
          </w:tcPr>
          <w:p w:rsidR="00621007" w:rsidRPr="009B6AA6" w:rsidRDefault="00621007" w:rsidP="00621007">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w:t>
            </w:r>
            <w:r w:rsidR="0053172D">
              <w:rPr>
                <w:rFonts w:ascii="Times New Roman" w:hAnsi="Times New Roman" w:cs="Times New Roman"/>
                <w:color w:val="00B050"/>
              </w:rPr>
              <w:t>calls for an Impact Analysis</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extent cx="135456" cy="118652"/>
                  <wp:effectExtent l="19050" t="0" r="0" b="0"/>
                  <wp:docPr id="10"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621007" w:rsidRPr="009B6AA6" w:rsidTr="008C631F">
        <w:tc>
          <w:tcPr>
            <w:tcW w:w="6390" w:type="dxa"/>
          </w:tcPr>
          <w:p w:rsidR="00621007" w:rsidRPr="009B6AA6" w:rsidRDefault="00621007" w:rsidP="008C631F">
            <w:pPr>
              <w:jc w:val="center"/>
              <w:rPr>
                <w:rFonts w:ascii="Times New Roman" w:hAnsi="Times New Roman" w:cs="Times New Roman"/>
              </w:rPr>
            </w:pPr>
            <w:r w:rsidRPr="009B6AA6">
              <w:rPr>
                <w:rFonts w:ascii="Times New Roman" w:hAnsi="Times New Roman" w:cs="Times New Roman"/>
              </w:rPr>
              <w:t>Discussion:</w:t>
            </w:r>
          </w:p>
          <w:p w:rsidR="00621007" w:rsidRPr="009B6AA6" w:rsidRDefault="00621007" w:rsidP="008C631F">
            <w:pPr>
              <w:jc w:val="center"/>
              <w:rPr>
                <w:rFonts w:ascii="Times New Roman" w:hAnsi="Times New Roman" w:cs="Times New Roman"/>
              </w:rPr>
            </w:pPr>
            <w:r w:rsidRPr="00621007">
              <w:rPr>
                <w:rFonts w:ascii="Times New Roman" w:hAnsi="Times New Roman" w:cs="Times New Roman"/>
              </w:rPr>
              <w:t>This Nodal Operating Guide Revision Request (NOGRR) adds clarification to the criteria for the selection of operators in the ERCOT Region.  Removes ambiguous wording, but retains important criteria specific for operators. [ERCOT] Language Review</w:t>
            </w:r>
            <w:r w:rsidRPr="009B6AA6">
              <w:rPr>
                <w:rFonts w:ascii="Times New Roman" w:hAnsi="Times New Roman" w:cs="Times New Roman"/>
              </w:rPr>
              <w:t>.</w:t>
            </w:r>
          </w:p>
          <w:p w:rsidR="00621007" w:rsidRDefault="00621007" w:rsidP="008C631F">
            <w:pPr>
              <w:jc w:val="center"/>
              <w:rPr>
                <w:rFonts w:ascii="Times New Roman" w:hAnsi="Times New Roman" w:cs="Times New Roman"/>
              </w:rPr>
            </w:pPr>
          </w:p>
          <w:p w:rsidR="00621007" w:rsidRDefault="00621007" w:rsidP="008C631F">
            <w:pPr>
              <w:jc w:val="center"/>
              <w:rPr>
                <w:rFonts w:ascii="Times New Roman" w:hAnsi="Times New Roman" w:cs="Times New Roman"/>
              </w:rPr>
            </w:pPr>
            <w:r>
              <w:rPr>
                <w:rFonts w:ascii="Times New Roman" w:hAnsi="Times New Roman" w:cs="Times New Roman"/>
              </w:rPr>
              <w:t>On 5/16/12, OWG</w:t>
            </w:r>
            <w:r w:rsidRPr="00621007">
              <w:rPr>
                <w:rFonts w:ascii="Times New Roman" w:hAnsi="Times New Roman" w:cs="Times New Roman"/>
              </w:rPr>
              <w:t xml:space="preserve"> agreed that the criteria for selection of operators in Section 1.5.5 does not comply with the North American Electric Reliability Corporation (NERC) Reliability Standards and instead should be determined by the individual Entity.  Participants and ERCOT Staff agreed to delete section 1.5.5 in its entirety.</w:t>
            </w:r>
            <w:r w:rsidR="0053172D">
              <w:rPr>
                <w:rFonts w:ascii="Times New Roman" w:hAnsi="Times New Roman" w:cs="Times New Roman"/>
              </w:rPr>
              <w:t xml:space="preserve">  This revision request will return to OWG in June for an Impact Analysis review.</w:t>
            </w:r>
          </w:p>
          <w:p w:rsidR="00621007" w:rsidRPr="009B6AA6" w:rsidRDefault="00621007" w:rsidP="008C631F">
            <w:pPr>
              <w:jc w:val="center"/>
              <w:rPr>
                <w:rFonts w:ascii="Times New Roman" w:hAnsi="Times New Roman" w:cs="Times New Roman"/>
              </w:rPr>
            </w:pPr>
          </w:p>
        </w:tc>
      </w:tr>
    </w:tbl>
    <w:p w:rsidR="00621007" w:rsidRPr="009B6AA6" w:rsidRDefault="00621007" w:rsidP="00A0788C">
      <w:pPr>
        <w:spacing w:after="0"/>
        <w:rPr>
          <w:rFonts w:ascii="Times New Roman" w:hAnsi="Times New Roman" w:cs="Times New Roman"/>
        </w:rPr>
      </w:pPr>
    </w:p>
    <w:p w:rsidR="00884B84" w:rsidRPr="009B6AA6" w:rsidRDefault="00884B84" w:rsidP="00A0788C">
      <w:pPr>
        <w:spacing w:after="0"/>
        <w:rPr>
          <w:rFonts w:ascii="Times New Roman" w:hAnsi="Times New Roman" w:cs="Times New Roman"/>
        </w:rPr>
      </w:pPr>
    </w:p>
    <w:tbl>
      <w:tblPr>
        <w:tblStyle w:val="TableGrid"/>
        <w:tblW w:w="6390" w:type="dxa"/>
        <w:tblInd w:w="1638" w:type="dxa"/>
        <w:tblLook w:val="04A0"/>
      </w:tblPr>
      <w:tblGrid>
        <w:gridCol w:w="6390"/>
      </w:tblGrid>
      <w:tr w:rsidR="00734CA7" w:rsidRPr="009B6AA6" w:rsidTr="00734CA7">
        <w:tc>
          <w:tcPr>
            <w:tcW w:w="6390" w:type="dxa"/>
            <w:shd w:val="clear" w:color="auto" w:fill="000000" w:themeFill="text1"/>
          </w:tcPr>
          <w:p w:rsidR="00734CA7" w:rsidRPr="009B6AA6" w:rsidRDefault="0086111A" w:rsidP="00734CA7">
            <w:pPr>
              <w:jc w:val="center"/>
              <w:rPr>
                <w:rFonts w:ascii="Times New Roman" w:hAnsi="Times New Roman" w:cs="Times New Roman"/>
                <w:b/>
                <w:color w:val="00B050"/>
              </w:rPr>
            </w:pPr>
            <w:r>
              <w:rPr>
                <w:rFonts w:ascii="Times New Roman" w:hAnsi="Times New Roman" w:cs="Times New Roman"/>
                <w:b/>
                <w:color w:val="00B050"/>
              </w:rPr>
              <w:t>093</w:t>
            </w:r>
            <w:r w:rsidR="00734CA7" w:rsidRPr="009B6AA6">
              <w:rPr>
                <w:rFonts w:ascii="Times New Roman" w:hAnsi="Times New Roman" w:cs="Times New Roman"/>
                <w:b/>
                <w:color w:val="00B050"/>
              </w:rPr>
              <w:t>NOGRR</w:t>
            </w:r>
            <w:r w:rsidR="0006701A" w:rsidRPr="0006701A">
              <w:rPr>
                <w:rFonts w:ascii="Times New Roman" w:hAnsi="Times New Roman" w:cs="Times New Roman"/>
                <w:b/>
                <w:noProof/>
                <w:color w:val="00B050"/>
              </w:rPr>
              <w:drawing>
                <wp:inline distT="0" distB="0" distL="0" distR="0">
                  <wp:extent cx="135456" cy="118652"/>
                  <wp:effectExtent l="19050" t="0" r="0" b="0"/>
                  <wp:docPr id="6"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734CA7" w:rsidRPr="009B6AA6" w:rsidTr="00734CA7">
        <w:tc>
          <w:tcPr>
            <w:tcW w:w="6390" w:type="dxa"/>
          </w:tcPr>
          <w:p w:rsidR="00734CA7" w:rsidRPr="009B6AA6" w:rsidRDefault="0086111A" w:rsidP="00734CA7">
            <w:pPr>
              <w:jc w:val="center"/>
              <w:rPr>
                <w:rFonts w:ascii="Times New Roman" w:hAnsi="Times New Roman" w:cs="Times New Roman"/>
                <w:b/>
              </w:rPr>
            </w:pPr>
            <w:r w:rsidRPr="0086111A">
              <w:rPr>
                <w:rFonts w:ascii="Times New Roman" w:hAnsi="Times New Roman" w:cs="Times New Roman"/>
                <w:b/>
              </w:rPr>
              <w:t>Synchronization with NPRR365</w:t>
            </w:r>
          </w:p>
        </w:tc>
      </w:tr>
      <w:tr w:rsidR="00734CA7" w:rsidRPr="009B6AA6" w:rsidTr="00734CA7">
        <w:tc>
          <w:tcPr>
            <w:tcW w:w="6390" w:type="dxa"/>
          </w:tcPr>
          <w:p w:rsidR="00734CA7" w:rsidRPr="009B6AA6" w:rsidRDefault="0086111A" w:rsidP="0086111A">
            <w:pPr>
              <w:jc w:val="center"/>
              <w:rPr>
                <w:rFonts w:ascii="Times New Roman" w:hAnsi="Times New Roman" w:cs="Times New Roman"/>
              </w:rPr>
            </w:pPr>
            <w:r>
              <w:rPr>
                <w:rFonts w:ascii="Times New Roman" w:hAnsi="Times New Roman" w:cs="Times New Roman"/>
              </w:rPr>
              <w:t>Language Review</w:t>
            </w:r>
          </w:p>
        </w:tc>
      </w:tr>
      <w:tr w:rsidR="00734CA7" w:rsidRPr="009B6AA6" w:rsidTr="00734CA7">
        <w:tc>
          <w:tcPr>
            <w:tcW w:w="6390" w:type="dxa"/>
          </w:tcPr>
          <w:p w:rsidR="00734CA7" w:rsidRPr="009B6AA6" w:rsidRDefault="00734CA7" w:rsidP="0086111A">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86459D" w:rsidRPr="009B6AA6">
              <w:rPr>
                <w:rFonts w:ascii="Times New Roman" w:hAnsi="Times New Roman" w:cs="Times New Roman"/>
                <w:color w:val="00B050"/>
              </w:rPr>
              <w:t xml:space="preserve">OWG </w:t>
            </w:r>
            <w:r w:rsidR="0086111A">
              <w:rPr>
                <w:rFonts w:ascii="Times New Roman" w:hAnsi="Times New Roman" w:cs="Times New Roman"/>
                <w:color w:val="00B050"/>
              </w:rPr>
              <w:t>call</w:t>
            </w:r>
            <w:r w:rsidR="00A35D8B">
              <w:rPr>
                <w:rFonts w:ascii="Times New Roman" w:hAnsi="Times New Roman" w:cs="Times New Roman"/>
                <w:color w:val="00B050"/>
              </w:rPr>
              <w:t>s</w:t>
            </w:r>
            <w:r w:rsidR="0086111A">
              <w:rPr>
                <w:rFonts w:ascii="Times New Roman" w:hAnsi="Times New Roman" w:cs="Times New Roman"/>
                <w:color w:val="00B050"/>
              </w:rPr>
              <w:t xml:space="preserve"> for an Impact Analysis</w:t>
            </w:r>
            <w:r w:rsidR="004A2211" w:rsidRPr="009B6AA6">
              <w:rPr>
                <w:rFonts w:ascii="Times New Roman" w:hAnsi="Times New Roman" w:cs="Times New Roman"/>
                <w:color w:val="00B050"/>
              </w:rPr>
              <w:t xml:space="preserve"> </w:t>
            </w:r>
            <w:r w:rsidR="004A2211" w:rsidRPr="009B6AA6">
              <w:rPr>
                <w:rFonts w:ascii="Times New Roman" w:hAnsi="Times New Roman" w:cs="Times New Roman"/>
                <w:noProof/>
                <w:color w:val="00B050"/>
              </w:rPr>
              <w:drawing>
                <wp:inline distT="0" distB="0" distL="0" distR="0">
                  <wp:extent cx="135456" cy="118652"/>
                  <wp:effectExtent l="19050" t="0" r="0" b="0"/>
                  <wp:docPr id="12"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734CA7" w:rsidRPr="009B6AA6" w:rsidTr="00734CA7">
        <w:tc>
          <w:tcPr>
            <w:tcW w:w="6390" w:type="dxa"/>
          </w:tcPr>
          <w:p w:rsidR="00734CA7" w:rsidRPr="009B6AA6" w:rsidRDefault="00734CA7" w:rsidP="00734CA7">
            <w:pPr>
              <w:jc w:val="center"/>
              <w:rPr>
                <w:rFonts w:ascii="Times New Roman" w:hAnsi="Times New Roman" w:cs="Times New Roman"/>
              </w:rPr>
            </w:pPr>
            <w:r w:rsidRPr="009B6AA6">
              <w:rPr>
                <w:rFonts w:ascii="Times New Roman" w:hAnsi="Times New Roman" w:cs="Times New Roman"/>
              </w:rPr>
              <w:t>Discussion:</w:t>
            </w:r>
          </w:p>
          <w:p w:rsidR="0086111A" w:rsidRDefault="0086111A" w:rsidP="00541DA5">
            <w:pPr>
              <w:jc w:val="center"/>
              <w:rPr>
                <w:rFonts w:ascii="Times New Roman" w:hAnsi="Times New Roman" w:cs="Times New Roman"/>
              </w:rPr>
            </w:pPr>
            <w:r w:rsidRPr="0086111A">
              <w:rPr>
                <w:rFonts w:ascii="Times New Roman" w:hAnsi="Times New Roman" w:cs="Times New Roman"/>
              </w:rPr>
              <w:t>This Nodal Operating Guide Revision Request (NOGRR) synchronizes the Nodal Operating Guides with Nodal Protocol Revision Request (NPRR) 365, Change in Resource Outage Approvals from Eight to 45 Days, which was approved by the ERCOT Board on 9/20/11 and revised the deadline for ERCOT approval of Resource Outages from an eight-day notice to a 45-day notice while aligning the new Resource Outage timelines to match those of Transmission Outages.</w:t>
            </w:r>
            <w:r>
              <w:rPr>
                <w:rFonts w:ascii="Times New Roman" w:hAnsi="Times New Roman" w:cs="Times New Roman"/>
              </w:rPr>
              <w:t xml:space="preserve"> [OWG] </w:t>
            </w:r>
            <w:r w:rsidRPr="0086111A">
              <w:rPr>
                <w:rFonts w:ascii="Times New Roman" w:hAnsi="Times New Roman" w:cs="Times New Roman"/>
              </w:rPr>
              <w:t>This revision request will return to OWG in June for an Impact Analysis review.</w:t>
            </w:r>
          </w:p>
          <w:p w:rsidR="00364ED7" w:rsidRPr="009B6AA6" w:rsidRDefault="00364ED7" w:rsidP="0086111A">
            <w:pPr>
              <w:jc w:val="center"/>
              <w:rPr>
                <w:rFonts w:ascii="Times New Roman" w:hAnsi="Times New Roman" w:cs="Times New Roman"/>
              </w:rPr>
            </w:pPr>
          </w:p>
        </w:tc>
      </w:tr>
    </w:tbl>
    <w:p w:rsidR="00734CA7" w:rsidRPr="009B6AA6" w:rsidRDefault="00734CA7" w:rsidP="00A0788C">
      <w:pPr>
        <w:spacing w:after="0"/>
        <w:rPr>
          <w:rFonts w:ascii="Times New Roman" w:hAnsi="Times New Roman" w:cs="Times New Roman"/>
        </w:rPr>
      </w:pPr>
    </w:p>
    <w:p w:rsidR="007B1481" w:rsidRDefault="007B1481" w:rsidP="00A0788C">
      <w:pPr>
        <w:spacing w:after="0"/>
        <w:rPr>
          <w:rFonts w:ascii="Times New Roman" w:hAnsi="Times New Roman" w:cs="Times New Roman"/>
        </w:rPr>
      </w:pPr>
    </w:p>
    <w:tbl>
      <w:tblPr>
        <w:tblStyle w:val="TableGrid"/>
        <w:tblW w:w="6390" w:type="dxa"/>
        <w:tblInd w:w="1638" w:type="dxa"/>
        <w:tblLook w:val="04A0"/>
      </w:tblPr>
      <w:tblGrid>
        <w:gridCol w:w="6390"/>
      </w:tblGrid>
      <w:tr w:rsidR="0086111A" w:rsidRPr="009B6AA6" w:rsidTr="008C631F">
        <w:tc>
          <w:tcPr>
            <w:tcW w:w="6390" w:type="dxa"/>
            <w:shd w:val="clear" w:color="auto" w:fill="000000" w:themeFill="text1"/>
          </w:tcPr>
          <w:p w:rsidR="0086111A" w:rsidRPr="009B6AA6" w:rsidRDefault="0086111A" w:rsidP="008C631F">
            <w:pPr>
              <w:jc w:val="center"/>
              <w:rPr>
                <w:rFonts w:ascii="Times New Roman" w:hAnsi="Times New Roman" w:cs="Times New Roman"/>
                <w:b/>
                <w:color w:val="00B050"/>
              </w:rPr>
            </w:pPr>
            <w:r w:rsidRPr="0086111A">
              <w:rPr>
                <w:rFonts w:ascii="Times New Roman" w:hAnsi="Times New Roman" w:cs="Times New Roman"/>
                <w:b/>
                <w:color w:val="00B050"/>
              </w:rPr>
              <w:t xml:space="preserve">094NOGRR </w:t>
            </w:r>
            <w:r w:rsidRPr="0006701A">
              <w:rPr>
                <w:rFonts w:ascii="Times New Roman" w:hAnsi="Times New Roman" w:cs="Times New Roman"/>
                <w:b/>
                <w:noProof/>
                <w:color w:val="00B050"/>
              </w:rPr>
              <w:drawing>
                <wp:inline distT="0" distB="0" distL="0" distR="0">
                  <wp:extent cx="135456" cy="118652"/>
                  <wp:effectExtent l="19050" t="0" r="0" b="0"/>
                  <wp:docPr id="14"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86111A" w:rsidRPr="009B6AA6" w:rsidTr="008C631F">
        <w:tc>
          <w:tcPr>
            <w:tcW w:w="6390" w:type="dxa"/>
          </w:tcPr>
          <w:p w:rsidR="0086111A" w:rsidRPr="009B6AA6" w:rsidRDefault="0086111A" w:rsidP="008C631F">
            <w:pPr>
              <w:jc w:val="center"/>
              <w:rPr>
                <w:rFonts w:ascii="Times New Roman" w:hAnsi="Times New Roman" w:cs="Times New Roman"/>
                <w:b/>
              </w:rPr>
            </w:pPr>
            <w:r w:rsidRPr="0086111A">
              <w:rPr>
                <w:rFonts w:ascii="Times New Roman" w:hAnsi="Times New Roman" w:cs="Times New Roman"/>
                <w:b/>
              </w:rPr>
              <w:t>Administrative Changes for June 1, 2012 Nodal Operating Guides</w:t>
            </w:r>
          </w:p>
        </w:tc>
      </w:tr>
      <w:tr w:rsidR="0086111A" w:rsidRPr="009B6AA6" w:rsidTr="008C631F">
        <w:tc>
          <w:tcPr>
            <w:tcW w:w="6390" w:type="dxa"/>
          </w:tcPr>
          <w:p w:rsidR="0086111A" w:rsidRPr="009B6AA6" w:rsidRDefault="0086111A" w:rsidP="008C631F">
            <w:pPr>
              <w:jc w:val="center"/>
              <w:rPr>
                <w:rFonts w:ascii="Times New Roman" w:hAnsi="Times New Roman" w:cs="Times New Roman"/>
              </w:rPr>
            </w:pPr>
            <w:r>
              <w:rPr>
                <w:rFonts w:ascii="Times New Roman" w:hAnsi="Times New Roman" w:cs="Times New Roman"/>
              </w:rPr>
              <w:t>For Review Only</w:t>
            </w:r>
          </w:p>
        </w:tc>
      </w:tr>
      <w:tr w:rsidR="0086111A" w:rsidRPr="009B6AA6" w:rsidTr="008C631F">
        <w:tc>
          <w:tcPr>
            <w:tcW w:w="6390" w:type="dxa"/>
          </w:tcPr>
          <w:p w:rsidR="0086111A" w:rsidRPr="009B6AA6" w:rsidRDefault="0086111A" w:rsidP="0086111A">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Pr="009B6AA6">
              <w:rPr>
                <w:rFonts w:ascii="Times New Roman" w:hAnsi="Times New Roman" w:cs="Times New Roman"/>
                <w:color w:val="00B050"/>
              </w:rPr>
              <w:t xml:space="preserve">OWG </w:t>
            </w:r>
            <w:r>
              <w:rPr>
                <w:rFonts w:ascii="Times New Roman" w:hAnsi="Times New Roman" w:cs="Times New Roman"/>
                <w:color w:val="00B050"/>
              </w:rPr>
              <w:t>takes no action</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extent cx="135456" cy="118652"/>
                  <wp:effectExtent l="19050" t="0" r="0" b="0"/>
                  <wp:docPr id="15"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86111A" w:rsidRPr="009B6AA6" w:rsidTr="008C631F">
        <w:tc>
          <w:tcPr>
            <w:tcW w:w="6390" w:type="dxa"/>
          </w:tcPr>
          <w:p w:rsidR="0086111A" w:rsidRPr="009B6AA6" w:rsidRDefault="0086111A" w:rsidP="008C631F">
            <w:pPr>
              <w:jc w:val="center"/>
              <w:rPr>
                <w:rFonts w:ascii="Times New Roman" w:hAnsi="Times New Roman" w:cs="Times New Roman"/>
              </w:rPr>
            </w:pPr>
            <w:r w:rsidRPr="009B6AA6">
              <w:rPr>
                <w:rFonts w:ascii="Times New Roman" w:hAnsi="Times New Roman" w:cs="Times New Roman"/>
              </w:rPr>
              <w:t>Discussion:</w:t>
            </w:r>
          </w:p>
          <w:p w:rsidR="0086111A" w:rsidRDefault="0086111A" w:rsidP="008C631F">
            <w:pPr>
              <w:jc w:val="center"/>
              <w:rPr>
                <w:rFonts w:ascii="Times New Roman" w:hAnsi="Times New Roman" w:cs="Times New Roman"/>
              </w:rPr>
            </w:pPr>
            <w:r w:rsidRPr="0086111A">
              <w:rPr>
                <w:rFonts w:ascii="Times New Roman" w:hAnsi="Times New Roman" w:cs="Times New Roman"/>
              </w:rPr>
              <w:t xml:space="preserve">This Administrative Nodal Operating Guide Revision Request (NOGRR) updates the ERCOT Load Shed Table for 2012.  Administrative change to update the ERCOT Load Shed Table as </w:t>
            </w:r>
            <w:r w:rsidRPr="0086111A">
              <w:rPr>
                <w:rFonts w:ascii="Times New Roman" w:hAnsi="Times New Roman" w:cs="Times New Roman"/>
              </w:rPr>
              <w:lastRenderedPageBreak/>
              <w:t>allowed by Section 1.3, Process for Operating Guide Revision.  [ERCOT]</w:t>
            </w:r>
          </w:p>
          <w:p w:rsidR="0086111A" w:rsidRPr="009B6AA6" w:rsidRDefault="0086111A" w:rsidP="008C631F">
            <w:pPr>
              <w:jc w:val="center"/>
              <w:rPr>
                <w:rFonts w:ascii="Times New Roman" w:hAnsi="Times New Roman" w:cs="Times New Roman"/>
              </w:rPr>
            </w:pPr>
          </w:p>
        </w:tc>
      </w:tr>
    </w:tbl>
    <w:p w:rsidR="0086111A" w:rsidRDefault="0086111A" w:rsidP="00A0788C">
      <w:pPr>
        <w:spacing w:after="0"/>
        <w:rPr>
          <w:rFonts w:ascii="Times New Roman" w:hAnsi="Times New Roman" w:cs="Times New Roman"/>
        </w:rPr>
      </w:pPr>
    </w:p>
    <w:p w:rsidR="0086111A" w:rsidRDefault="0086111A" w:rsidP="00A0788C">
      <w:pPr>
        <w:spacing w:after="0"/>
        <w:rPr>
          <w:rFonts w:ascii="Times New Roman" w:hAnsi="Times New Roman" w:cs="Times New Roman"/>
        </w:rPr>
      </w:pPr>
    </w:p>
    <w:tbl>
      <w:tblPr>
        <w:tblStyle w:val="TableGrid"/>
        <w:tblW w:w="6390" w:type="dxa"/>
        <w:tblInd w:w="1638" w:type="dxa"/>
        <w:tblLook w:val="04A0"/>
      </w:tblPr>
      <w:tblGrid>
        <w:gridCol w:w="6390"/>
      </w:tblGrid>
      <w:tr w:rsidR="0086111A" w:rsidRPr="009B6AA6" w:rsidTr="008C631F">
        <w:tc>
          <w:tcPr>
            <w:tcW w:w="6390" w:type="dxa"/>
            <w:shd w:val="clear" w:color="auto" w:fill="000000" w:themeFill="text1"/>
          </w:tcPr>
          <w:p w:rsidR="0086111A" w:rsidRPr="009B6AA6" w:rsidRDefault="0086111A" w:rsidP="008C631F">
            <w:pPr>
              <w:jc w:val="center"/>
              <w:rPr>
                <w:rFonts w:ascii="Times New Roman" w:hAnsi="Times New Roman" w:cs="Times New Roman"/>
                <w:b/>
                <w:color w:val="00B050"/>
              </w:rPr>
            </w:pPr>
            <w:r w:rsidRPr="0086111A">
              <w:rPr>
                <w:rFonts w:ascii="Times New Roman" w:hAnsi="Times New Roman" w:cs="Times New Roman"/>
                <w:b/>
                <w:color w:val="00B050"/>
              </w:rPr>
              <w:t>095NOGRR</w:t>
            </w:r>
            <w:r w:rsidRPr="0086111A">
              <w:rPr>
                <w:rFonts w:ascii="Times New Roman" w:hAnsi="Times New Roman" w:cs="Times New Roman"/>
                <w:b/>
                <w:color w:val="00B050"/>
              </w:rPr>
              <w:t xml:space="preserve"> </w:t>
            </w:r>
            <w:r w:rsidRPr="0006701A">
              <w:rPr>
                <w:rFonts w:ascii="Times New Roman" w:hAnsi="Times New Roman" w:cs="Times New Roman"/>
                <w:b/>
                <w:noProof/>
                <w:color w:val="00B050"/>
              </w:rPr>
              <w:drawing>
                <wp:inline distT="0" distB="0" distL="0" distR="0">
                  <wp:extent cx="135456" cy="118652"/>
                  <wp:effectExtent l="19050" t="0" r="0" b="0"/>
                  <wp:docPr id="18"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86111A" w:rsidRPr="009B6AA6" w:rsidTr="008C631F">
        <w:tc>
          <w:tcPr>
            <w:tcW w:w="6390" w:type="dxa"/>
          </w:tcPr>
          <w:p w:rsidR="0086111A" w:rsidRPr="009B6AA6" w:rsidRDefault="0086111A" w:rsidP="008C631F">
            <w:pPr>
              <w:jc w:val="center"/>
              <w:rPr>
                <w:rFonts w:ascii="Times New Roman" w:hAnsi="Times New Roman" w:cs="Times New Roman"/>
                <w:b/>
              </w:rPr>
            </w:pPr>
            <w:r w:rsidRPr="0086111A">
              <w:rPr>
                <w:rFonts w:ascii="Times New Roman" w:hAnsi="Times New Roman" w:cs="Times New Roman"/>
                <w:b/>
              </w:rPr>
              <w:t>Type 2 Special Protection System Submissions.</w:t>
            </w:r>
          </w:p>
        </w:tc>
      </w:tr>
      <w:tr w:rsidR="0086111A" w:rsidRPr="009B6AA6" w:rsidTr="008C631F">
        <w:tc>
          <w:tcPr>
            <w:tcW w:w="6390" w:type="dxa"/>
          </w:tcPr>
          <w:p w:rsidR="0086111A" w:rsidRPr="009B6AA6" w:rsidRDefault="00FB0D09" w:rsidP="008C631F">
            <w:pPr>
              <w:jc w:val="center"/>
              <w:rPr>
                <w:rFonts w:ascii="Times New Roman" w:hAnsi="Times New Roman" w:cs="Times New Roman"/>
              </w:rPr>
            </w:pPr>
            <w:r>
              <w:rPr>
                <w:rFonts w:ascii="Times New Roman" w:hAnsi="Times New Roman" w:cs="Times New Roman"/>
              </w:rPr>
              <w:t>OWG Considers Commenting</w:t>
            </w:r>
          </w:p>
        </w:tc>
      </w:tr>
      <w:tr w:rsidR="0086111A" w:rsidRPr="009B6AA6" w:rsidTr="008C631F">
        <w:tc>
          <w:tcPr>
            <w:tcW w:w="6390" w:type="dxa"/>
          </w:tcPr>
          <w:p w:rsidR="0086111A" w:rsidRPr="009B6AA6" w:rsidRDefault="0086111A" w:rsidP="008C631F">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Pr="009B6AA6">
              <w:rPr>
                <w:rFonts w:ascii="Times New Roman" w:hAnsi="Times New Roman" w:cs="Times New Roman"/>
                <w:color w:val="00B050"/>
              </w:rPr>
              <w:t xml:space="preserve">OWG </w:t>
            </w:r>
            <w:r w:rsidR="00FB0D09">
              <w:rPr>
                <w:rFonts w:ascii="Times New Roman" w:hAnsi="Times New Roman" w:cs="Times New Roman"/>
                <w:color w:val="00B050"/>
              </w:rPr>
              <w:t>files comments</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extent cx="135456" cy="118652"/>
                  <wp:effectExtent l="19050" t="0" r="0" b="0"/>
                  <wp:docPr id="19"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86111A" w:rsidRPr="009B6AA6" w:rsidTr="008C631F">
        <w:tc>
          <w:tcPr>
            <w:tcW w:w="6390" w:type="dxa"/>
          </w:tcPr>
          <w:p w:rsidR="0086111A" w:rsidRPr="009B6AA6" w:rsidRDefault="0086111A" w:rsidP="008C631F">
            <w:pPr>
              <w:jc w:val="center"/>
              <w:rPr>
                <w:rFonts w:ascii="Times New Roman" w:hAnsi="Times New Roman" w:cs="Times New Roman"/>
              </w:rPr>
            </w:pPr>
            <w:r w:rsidRPr="009B6AA6">
              <w:rPr>
                <w:rFonts w:ascii="Times New Roman" w:hAnsi="Times New Roman" w:cs="Times New Roman"/>
              </w:rPr>
              <w:t>Discussion:</w:t>
            </w:r>
          </w:p>
          <w:p w:rsidR="0086111A" w:rsidRDefault="00FB0D09" w:rsidP="008C631F">
            <w:pPr>
              <w:jc w:val="center"/>
              <w:rPr>
                <w:rFonts w:ascii="Times New Roman" w:hAnsi="Times New Roman" w:cs="Times New Roman"/>
              </w:rPr>
            </w:pPr>
            <w:r w:rsidRPr="00FB0D09">
              <w:rPr>
                <w:rFonts w:ascii="Times New Roman" w:hAnsi="Times New Roman" w:cs="Times New Roman"/>
              </w:rPr>
              <w:t>This Nodal Operating Guide Revision Request (NOGRR) will allow Facility owners other than Transmission Service Providers (TSPs) to propose and implement Special Protection Systems (SPSs), which can carry the potential value of making available more transmission capacity where contingency circumstances might otherwise limit transmission capability available in both the Day-Ahead Market (DAM) and the Real-Time Market (RTM).</w:t>
            </w:r>
          </w:p>
          <w:p w:rsidR="0086111A" w:rsidRPr="009B6AA6" w:rsidRDefault="0086111A" w:rsidP="008C631F">
            <w:pPr>
              <w:jc w:val="center"/>
              <w:rPr>
                <w:rFonts w:ascii="Times New Roman" w:hAnsi="Times New Roman" w:cs="Times New Roman"/>
              </w:rPr>
            </w:pPr>
          </w:p>
        </w:tc>
      </w:tr>
    </w:tbl>
    <w:p w:rsidR="0086111A" w:rsidRDefault="0086111A" w:rsidP="00A0788C">
      <w:pPr>
        <w:spacing w:after="0"/>
        <w:rPr>
          <w:rFonts w:ascii="Times New Roman" w:hAnsi="Times New Roman" w:cs="Times New Roman"/>
        </w:rPr>
      </w:pPr>
    </w:p>
    <w:p w:rsidR="0086111A" w:rsidRPr="009B6AA6" w:rsidRDefault="0086111A" w:rsidP="00A0788C">
      <w:pPr>
        <w:spacing w:after="0"/>
        <w:rPr>
          <w:rFonts w:ascii="Times New Roman" w:hAnsi="Times New Roman" w:cs="Times New Roman"/>
        </w:rPr>
      </w:pPr>
    </w:p>
    <w:p w:rsidR="00672302" w:rsidRPr="009B6AA6"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Operations Task Force Report – </w:t>
      </w:r>
    </w:p>
    <w:p w:rsidR="009B2471" w:rsidRPr="009B6AA6" w:rsidRDefault="009B2471" w:rsidP="007C6C5F">
      <w:pPr>
        <w:pStyle w:val="ListParagraph"/>
        <w:numPr>
          <w:ilvl w:val="0"/>
          <w:numId w:val="2"/>
        </w:numPr>
        <w:spacing w:after="0"/>
        <w:rPr>
          <w:rFonts w:ascii="Times New Roman" w:hAnsi="Times New Roman" w:cs="Times New Roman"/>
        </w:rPr>
      </w:pPr>
      <w:r w:rsidRPr="009B6AA6">
        <w:rPr>
          <w:rFonts w:ascii="Times New Roman" w:hAnsi="Times New Roman" w:cs="Times New Roman"/>
        </w:rPr>
        <w:t>Hurricane Drills on May 23</w:t>
      </w:r>
      <w:r w:rsidRPr="009B6AA6">
        <w:rPr>
          <w:rFonts w:ascii="Times New Roman" w:hAnsi="Times New Roman" w:cs="Times New Roman"/>
          <w:vertAlign w:val="superscript"/>
        </w:rPr>
        <w:t>rd</w:t>
      </w:r>
      <w:r w:rsidRPr="009B6AA6">
        <w:rPr>
          <w:rFonts w:ascii="Times New Roman" w:hAnsi="Times New Roman" w:cs="Times New Roman"/>
        </w:rPr>
        <w:t xml:space="preserve"> @ 08:00.</w:t>
      </w:r>
    </w:p>
    <w:p w:rsidR="009B2471" w:rsidRPr="009B6AA6" w:rsidRDefault="009B2471" w:rsidP="009B2471">
      <w:pPr>
        <w:numPr>
          <w:ilvl w:val="1"/>
          <w:numId w:val="2"/>
        </w:numPr>
        <w:spacing w:after="0"/>
        <w:rPr>
          <w:rFonts w:ascii="Times New Roman" w:hAnsi="Times New Roman" w:cs="Times New Roman"/>
        </w:rPr>
      </w:pPr>
      <w:r w:rsidRPr="009B6AA6">
        <w:rPr>
          <w:rFonts w:ascii="Times New Roman" w:hAnsi="Times New Roman" w:cs="Times New Roman"/>
        </w:rPr>
        <w:t>ERCOT will deliver the results of the drill to the OWG and the OWG will report to the ROS.</w:t>
      </w:r>
    </w:p>
    <w:p w:rsidR="009B2471" w:rsidRDefault="009B2471" w:rsidP="000F2B8B">
      <w:pPr>
        <w:spacing w:after="0"/>
        <w:rPr>
          <w:rFonts w:ascii="Times New Roman" w:hAnsi="Times New Roman" w:cs="Times New Roman"/>
        </w:rPr>
      </w:pPr>
    </w:p>
    <w:p w:rsidR="00655E7C" w:rsidRPr="00C37408" w:rsidRDefault="00655E7C" w:rsidP="00C37408">
      <w:pPr>
        <w:spacing w:after="0"/>
        <w:rPr>
          <w:rFonts w:ascii="Times New Roman" w:hAnsi="Times New Roman" w:cs="Times New Roman"/>
          <w:b/>
        </w:rPr>
      </w:pPr>
      <w:r w:rsidRPr="00655E7C">
        <w:rPr>
          <w:rFonts w:ascii="Times New Roman" w:hAnsi="Times New Roman" w:cs="Times New Roman"/>
          <w:b/>
        </w:rPr>
        <w:t>Nodal Protocol and Guides Resolution Task Force Report</w:t>
      </w:r>
      <w:r>
        <w:rPr>
          <w:rFonts w:ascii="Times New Roman" w:hAnsi="Times New Roman" w:cs="Times New Roman"/>
          <w:b/>
        </w:rPr>
        <w:t xml:space="preserve"> – </w:t>
      </w:r>
    </w:p>
    <w:p w:rsidR="00655E7C" w:rsidRPr="00655E7C" w:rsidRDefault="00C37408" w:rsidP="00655E7C">
      <w:pPr>
        <w:pStyle w:val="ListParagraph"/>
        <w:numPr>
          <w:ilvl w:val="0"/>
          <w:numId w:val="2"/>
        </w:numPr>
        <w:spacing w:after="0"/>
      </w:pPr>
      <w:r>
        <w:t xml:space="preserve">NPGRTF to determine if </w:t>
      </w:r>
      <w:r w:rsidR="00655E7C" w:rsidRPr="00655E7C">
        <w:t>Voltage set point monitoring telemetry accuracy</w:t>
      </w:r>
      <w:r>
        <w:t xml:space="preserve"> is an issue OWG needs to address</w:t>
      </w:r>
      <w:r w:rsidR="00655E7C" w:rsidRPr="00655E7C">
        <w:t xml:space="preserve"> and report back to OWG in June.</w:t>
      </w:r>
    </w:p>
    <w:p w:rsidR="00655E7C" w:rsidRPr="009B6AA6" w:rsidRDefault="00655E7C" w:rsidP="00655E7C">
      <w:pPr>
        <w:spacing w:after="0"/>
        <w:rPr>
          <w:rFonts w:ascii="Times New Roman" w:hAnsi="Times New Roman" w:cs="Times New Roman"/>
        </w:rPr>
      </w:pPr>
    </w:p>
    <w:p w:rsidR="00672302" w:rsidRPr="009B6AA6" w:rsidRDefault="00FB0BBC" w:rsidP="000F2B8B">
      <w:pPr>
        <w:spacing w:after="0"/>
        <w:rPr>
          <w:rFonts w:ascii="Times New Roman" w:hAnsi="Times New Roman" w:cs="Times New Roman"/>
          <w:b/>
          <w:sz w:val="24"/>
        </w:rPr>
      </w:pPr>
      <w:r w:rsidRPr="009B6AA6">
        <w:rPr>
          <w:rFonts w:ascii="Times New Roman" w:hAnsi="Times New Roman" w:cs="Times New Roman"/>
          <w:b/>
          <w:sz w:val="24"/>
        </w:rPr>
        <w:t>TRE Update</w:t>
      </w:r>
      <w:r w:rsidR="000F2B8B" w:rsidRPr="009B6AA6">
        <w:rPr>
          <w:rFonts w:ascii="Times New Roman" w:hAnsi="Times New Roman" w:cs="Times New Roman"/>
          <w:b/>
          <w:sz w:val="24"/>
        </w:rPr>
        <w:t xml:space="preserve"> Report – </w:t>
      </w:r>
    </w:p>
    <w:p w:rsidR="00C37408" w:rsidRPr="00C37408" w:rsidRDefault="00C37408" w:rsidP="00C37408">
      <w:pPr>
        <w:pStyle w:val="ListParagraph"/>
        <w:numPr>
          <w:ilvl w:val="0"/>
          <w:numId w:val="3"/>
        </w:numPr>
        <w:rPr>
          <w:rFonts w:ascii="Times New Roman" w:hAnsi="Times New Roman" w:cs="Times New Roman"/>
        </w:rPr>
      </w:pPr>
      <w:r w:rsidRPr="00C37408">
        <w:rPr>
          <w:rFonts w:ascii="Times New Roman" w:hAnsi="Times New Roman" w:cs="Times New Roman"/>
        </w:rPr>
        <w:t>David Penney discussed NERC Standards which are currently out for comments and balloting:</w:t>
      </w:r>
    </w:p>
    <w:p w:rsidR="00C37408" w:rsidRPr="00C37408" w:rsidRDefault="00C37408" w:rsidP="00C37408">
      <w:pPr>
        <w:pStyle w:val="ListParagraph"/>
        <w:numPr>
          <w:ilvl w:val="1"/>
          <w:numId w:val="3"/>
        </w:numPr>
        <w:rPr>
          <w:rFonts w:ascii="Times New Roman" w:hAnsi="Times New Roman" w:cs="Times New Roman"/>
        </w:rPr>
      </w:pPr>
      <w:r w:rsidRPr="00C37408">
        <w:rPr>
          <w:rFonts w:ascii="Times New Roman" w:hAnsi="Times New Roman" w:cs="Times New Roman"/>
        </w:rPr>
        <w:t>Cyber Security:  CIP Version 5 standards (10 of them) currently out for comment.  Ballot period starts 5/11 and ends 5/21.</w:t>
      </w:r>
    </w:p>
    <w:p w:rsidR="00C37408" w:rsidRPr="00C37408" w:rsidRDefault="00C37408" w:rsidP="00C37408">
      <w:pPr>
        <w:pStyle w:val="ListParagraph"/>
        <w:numPr>
          <w:ilvl w:val="1"/>
          <w:numId w:val="3"/>
        </w:numPr>
        <w:rPr>
          <w:rFonts w:ascii="Times New Roman" w:hAnsi="Times New Roman" w:cs="Times New Roman"/>
        </w:rPr>
      </w:pPr>
      <w:r w:rsidRPr="00C37408">
        <w:rPr>
          <w:rFonts w:ascii="Times New Roman" w:hAnsi="Times New Roman" w:cs="Times New Roman"/>
        </w:rPr>
        <w:t>Disturbance Reporting:  CIP-001 and EOP-004 currently out for comment.  Ballot period ends 5/24.</w:t>
      </w:r>
    </w:p>
    <w:p w:rsidR="00C37408" w:rsidRPr="00C37408" w:rsidRDefault="00C37408" w:rsidP="00C37408">
      <w:pPr>
        <w:pStyle w:val="ListParagraph"/>
        <w:numPr>
          <w:ilvl w:val="1"/>
          <w:numId w:val="3"/>
        </w:numPr>
        <w:rPr>
          <w:rFonts w:ascii="Times New Roman" w:hAnsi="Times New Roman" w:cs="Times New Roman"/>
        </w:rPr>
      </w:pPr>
      <w:r w:rsidRPr="00C37408">
        <w:rPr>
          <w:rFonts w:ascii="Times New Roman" w:hAnsi="Times New Roman" w:cs="Times New Roman"/>
        </w:rPr>
        <w:t>Operating Personnel Communications:  COM-003 currently out for comment.  Ballot period ends 6/20.  This is a new standard covering operating communications and 3-part communication.</w:t>
      </w:r>
    </w:p>
    <w:p w:rsidR="00C37408" w:rsidRPr="00C37408" w:rsidRDefault="00C37408" w:rsidP="00C37408">
      <w:pPr>
        <w:pStyle w:val="ListParagraph"/>
        <w:ind w:left="1080"/>
        <w:rPr>
          <w:rFonts w:ascii="Times New Roman" w:hAnsi="Times New Roman" w:cs="Times New Roman"/>
        </w:rPr>
      </w:pPr>
    </w:p>
    <w:p w:rsidR="00FB0BBC" w:rsidRDefault="00C37408" w:rsidP="00C37408">
      <w:pPr>
        <w:pStyle w:val="ListParagraph"/>
        <w:numPr>
          <w:ilvl w:val="0"/>
          <w:numId w:val="3"/>
        </w:numPr>
        <w:rPr>
          <w:rFonts w:ascii="Times New Roman" w:hAnsi="Times New Roman" w:cs="Times New Roman"/>
        </w:rPr>
      </w:pPr>
      <w:r w:rsidRPr="00C37408">
        <w:rPr>
          <w:rFonts w:ascii="Times New Roman" w:hAnsi="Times New Roman" w:cs="Times New Roman"/>
        </w:rPr>
        <w:t xml:space="preserve">He also proposed that we review the concerns related to voltage profile </w:t>
      </w:r>
      <w:proofErr w:type="spellStart"/>
      <w:r w:rsidRPr="00C37408">
        <w:rPr>
          <w:rFonts w:ascii="Times New Roman" w:hAnsi="Times New Roman" w:cs="Times New Roman"/>
        </w:rPr>
        <w:t>setpoints</w:t>
      </w:r>
      <w:proofErr w:type="spellEnd"/>
      <w:r w:rsidRPr="00C37408">
        <w:rPr>
          <w:rFonts w:ascii="Times New Roman" w:hAnsi="Times New Roman" w:cs="Times New Roman"/>
        </w:rPr>
        <w:t xml:space="preserve"> and SCADA accuracy in future OWG meetings.</w:t>
      </w:r>
    </w:p>
    <w:p w:rsidR="00C37408" w:rsidRPr="00C37408" w:rsidRDefault="00C37408" w:rsidP="00C37408">
      <w:pPr>
        <w:spacing w:after="0"/>
        <w:rPr>
          <w:rFonts w:ascii="Times New Roman" w:hAnsi="Times New Roman" w:cs="Times New Roman"/>
        </w:rPr>
      </w:pPr>
    </w:p>
    <w:p w:rsidR="00672302" w:rsidRPr="009B6AA6" w:rsidRDefault="000F2B8B" w:rsidP="00C37408">
      <w:pPr>
        <w:spacing w:after="0"/>
        <w:rPr>
          <w:rFonts w:ascii="Times New Roman" w:hAnsi="Times New Roman" w:cs="Times New Roman"/>
          <w:b/>
          <w:sz w:val="24"/>
        </w:rPr>
      </w:pPr>
      <w:r w:rsidRPr="009B6AA6">
        <w:rPr>
          <w:rFonts w:ascii="Times New Roman" w:hAnsi="Times New Roman" w:cs="Times New Roman"/>
          <w:b/>
          <w:sz w:val="24"/>
        </w:rPr>
        <w:t xml:space="preserve">System Operations Report – </w:t>
      </w:r>
    </w:p>
    <w:p w:rsidR="00C37408" w:rsidRPr="009B6AA6" w:rsidRDefault="009B2471" w:rsidP="009B2471">
      <w:pPr>
        <w:spacing w:after="0"/>
        <w:rPr>
          <w:rFonts w:ascii="Times New Roman" w:hAnsi="Times New Roman" w:cs="Times New Roman"/>
        </w:rPr>
      </w:pPr>
      <w:bookmarkStart w:id="0" w:name="_GoBack"/>
      <w:r w:rsidRPr="009B6AA6">
        <w:rPr>
          <w:rFonts w:ascii="Times New Roman" w:hAnsi="Times New Roman" w:cs="Times New Roman"/>
        </w:rPr>
        <w:lastRenderedPageBreak/>
        <w:t xml:space="preserve">Jimmy Hartmann </w:t>
      </w:r>
      <w:bookmarkEnd w:id="0"/>
      <w:r w:rsidRPr="009B6AA6">
        <w:rPr>
          <w:rFonts w:ascii="Times New Roman" w:hAnsi="Times New Roman" w:cs="Times New Roman"/>
        </w:rPr>
        <w:t xml:space="preserve">talks about </w:t>
      </w:r>
      <w:r w:rsidR="00655E7C">
        <w:rPr>
          <w:rFonts w:ascii="Times New Roman" w:hAnsi="Times New Roman" w:cs="Times New Roman"/>
        </w:rPr>
        <w:t xml:space="preserve">how </w:t>
      </w:r>
      <w:r w:rsidR="00655E7C" w:rsidRPr="00655E7C">
        <w:rPr>
          <w:rFonts w:ascii="Times New Roman" w:hAnsi="Times New Roman" w:cs="Times New Roman"/>
        </w:rPr>
        <w:t xml:space="preserve">Commercial Load Shed </w:t>
      </w:r>
      <w:r w:rsidR="00331489">
        <w:rPr>
          <w:rFonts w:ascii="Times New Roman" w:hAnsi="Times New Roman" w:cs="Times New Roman"/>
        </w:rPr>
        <w:t xml:space="preserve">is </w:t>
      </w:r>
      <w:r w:rsidR="00655E7C" w:rsidRPr="00655E7C">
        <w:rPr>
          <w:rFonts w:ascii="Times New Roman" w:hAnsi="Times New Roman" w:cs="Times New Roman"/>
        </w:rPr>
        <w:t>to be implemented by VDI</w:t>
      </w:r>
      <w:r w:rsidRPr="009B6AA6">
        <w:rPr>
          <w:rFonts w:ascii="Times New Roman" w:hAnsi="Times New Roman" w:cs="Times New Roman"/>
        </w:rPr>
        <w:t>.</w:t>
      </w:r>
      <w:r w:rsidR="00C37408">
        <w:rPr>
          <w:rFonts w:ascii="Times New Roman" w:hAnsi="Times New Roman" w:cs="Times New Roman"/>
        </w:rPr>
        <w:t xml:space="preserve">  </w:t>
      </w:r>
      <w:r w:rsidR="00C37408" w:rsidRPr="00C37408">
        <w:rPr>
          <w:rFonts w:ascii="Times New Roman" w:hAnsi="Times New Roman" w:cs="Times New Roman"/>
        </w:rPr>
        <w:t>ERCOT will request the deployment of the capacity from these programs if ERCOT has declared an EEA Level 1 and anticipates going into Level 2.</w:t>
      </w:r>
    </w:p>
    <w:p w:rsidR="00F3274F" w:rsidRPr="009B6AA6" w:rsidRDefault="00F3274F" w:rsidP="009B2471">
      <w:pPr>
        <w:spacing w:after="0"/>
        <w:rPr>
          <w:rFonts w:ascii="Times New Roman" w:hAnsi="Times New Roman" w:cs="Times New Roman"/>
        </w:rPr>
      </w:pPr>
    </w:p>
    <w:p w:rsidR="00672302" w:rsidRPr="009B6AA6"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Other – </w:t>
      </w:r>
    </w:p>
    <w:p w:rsidR="009B2471" w:rsidRDefault="009B2471" w:rsidP="000F2B8B">
      <w:pPr>
        <w:spacing w:after="0"/>
        <w:rPr>
          <w:rFonts w:ascii="Times New Roman" w:hAnsi="Times New Roman" w:cs="Times New Roman"/>
        </w:rPr>
      </w:pPr>
    </w:p>
    <w:p w:rsidR="00655E7C" w:rsidRDefault="00655E7C" w:rsidP="00655E7C">
      <w:pPr>
        <w:pStyle w:val="ListParagraph"/>
        <w:numPr>
          <w:ilvl w:val="0"/>
          <w:numId w:val="6"/>
        </w:numPr>
        <w:spacing w:after="0"/>
        <w:rPr>
          <w:rFonts w:ascii="Times New Roman" w:hAnsi="Times New Roman" w:cs="Times New Roman"/>
        </w:rPr>
      </w:pPr>
      <w:r w:rsidRPr="00655E7C">
        <w:rPr>
          <w:rFonts w:ascii="Times New Roman" w:hAnsi="Times New Roman" w:cs="Times New Roman"/>
        </w:rPr>
        <w:t>Kelly Blackmer addressed standardizing training dates</w:t>
      </w:r>
      <w:r w:rsidRPr="00655E7C">
        <w:rPr>
          <w:rFonts w:ascii="Times New Roman" w:hAnsi="Times New Roman" w:cs="Times New Roman"/>
        </w:rPr>
        <w:t xml:space="preserve"> for </w:t>
      </w:r>
      <w:r w:rsidRPr="00655E7C">
        <w:rPr>
          <w:rFonts w:ascii="Times New Roman" w:hAnsi="Times New Roman" w:cs="Times New Roman"/>
        </w:rPr>
        <w:t>ERCOT Seminar and Black</w:t>
      </w:r>
      <w:r w:rsidRPr="00655E7C">
        <w:rPr>
          <w:rFonts w:ascii="Times New Roman" w:hAnsi="Times New Roman" w:cs="Times New Roman"/>
        </w:rPr>
        <w:t xml:space="preserve"> S</w:t>
      </w:r>
      <w:r w:rsidRPr="00655E7C">
        <w:rPr>
          <w:rFonts w:ascii="Times New Roman" w:hAnsi="Times New Roman" w:cs="Times New Roman"/>
        </w:rPr>
        <w:t>tart training scheduling</w:t>
      </w:r>
    </w:p>
    <w:p w:rsidR="00655E7C" w:rsidRDefault="00655E7C" w:rsidP="00655E7C">
      <w:pPr>
        <w:pStyle w:val="ListParagraph"/>
        <w:numPr>
          <w:ilvl w:val="0"/>
          <w:numId w:val="6"/>
        </w:numPr>
        <w:spacing w:after="0"/>
        <w:rPr>
          <w:rFonts w:ascii="Times New Roman" w:hAnsi="Times New Roman" w:cs="Times New Roman"/>
        </w:rPr>
      </w:pPr>
      <w:r w:rsidRPr="00655E7C">
        <w:rPr>
          <w:rFonts w:ascii="Times New Roman" w:hAnsi="Times New Roman" w:cs="Times New Roman"/>
        </w:rPr>
        <w:t xml:space="preserve">OWG </w:t>
      </w:r>
      <w:r>
        <w:rPr>
          <w:rFonts w:ascii="Times New Roman" w:hAnsi="Times New Roman" w:cs="Times New Roman"/>
        </w:rPr>
        <w:t xml:space="preserve">Reviewed </w:t>
      </w:r>
      <w:r w:rsidR="00C37408">
        <w:rPr>
          <w:rFonts w:ascii="Times New Roman" w:hAnsi="Times New Roman" w:cs="Times New Roman"/>
        </w:rPr>
        <w:t xml:space="preserve">the </w:t>
      </w:r>
      <w:r>
        <w:rPr>
          <w:rFonts w:ascii="Times New Roman" w:hAnsi="Times New Roman" w:cs="Times New Roman"/>
        </w:rPr>
        <w:t xml:space="preserve">Outstanding Task </w:t>
      </w:r>
      <w:r w:rsidRPr="00655E7C">
        <w:rPr>
          <w:rFonts w:ascii="Times New Roman" w:hAnsi="Times New Roman" w:cs="Times New Roman"/>
        </w:rPr>
        <w:t>List</w:t>
      </w:r>
    </w:p>
    <w:p w:rsidR="00C37408" w:rsidRDefault="00C37408" w:rsidP="00C37408">
      <w:pPr>
        <w:pStyle w:val="ListParagraph"/>
        <w:numPr>
          <w:ilvl w:val="1"/>
          <w:numId w:val="6"/>
        </w:numPr>
      </w:pPr>
      <w:r>
        <w:t xml:space="preserve">Review the future OWG agenda items.  </w:t>
      </w:r>
    </w:p>
    <w:p w:rsidR="00C37408" w:rsidRDefault="00C37408" w:rsidP="00C37408">
      <w:pPr>
        <w:pStyle w:val="ListParagraph"/>
        <w:numPr>
          <w:ilvl w:val="1"/>
          <w:numId w:val="6"/>
        </w:numPr>
      </w:pPr>
      <w:r>
        <w:t>Brad to discuss “Facility” NPRR with Frank.</w:t>
      </w:r>
    </w:p>
    <w:p w:rsidR="00C37408" w:rsidRPr="00C37408" w:rsidRDefault="00C37408" w:rsidP="00C37408">
      <w:pPr>
        <w:pStyle w:val="ListParagraph"/>
        <w:numPr>
          <w:ilvl w:val="1"/>
          <w:numId w:val="6"/>
        </w:numPr>
      </w:pPr>
      <w:r>
        <w:t xml:space="preserve">Brad to discuss VRT and WGRs with Walter Reid. </w:t>
      </w:r>
    </w:p>
    <w:p w:rsidR="00C37408" w:rsidRPr="00C37408" w:rsidRDefault="00C37408" w:rsidP="00C37408">
      <w:pPr>
        <w:pStyle w:val="ListParagraph"/>
        <w:numPr>
          <w:ilvl w:val="0"/>
          <w:numId w:val="6"/>
        </w:numPr>
        <w:rPr>
          <w:rFonts w:ascii="Times New Roman" w:hAnsi="Times New Roman" w:cs="Times New Roman"/>
        </w:rPr>
      </w:pPr>
      <w:r w:rsidRPr="00C37408">
        <w:rPr>
          <w:rFonts w:ascii="Times New Roman" w:hAnsi="Times New Roman" w:cs="Times New Roman"/>
        </w:rPr>
        <w:t>David provided high-level overview of FERC recommendations from San Diego blackout event.</w:t>
      </w:r>
    </w:p>
    <w:p w:rsidR="00655E7C" w:rsidRDefault="00655E7C" w:rsidP="00655E7C">
      <w:pPr>
        <w:pStyle w:val="ListParagraph"/>
        <w:numPr>
          <w:ilvl w:val="1"/>
          <w:numId w:val="6"/>
        </w:numPr>
      </w:pPr>
      <w:r>
        <w:t xml:space="preserve">Finding 3 - Sub-100 kV Facilities Not Adequately Considered in Next-Day Studies </w:t>
      </w:r>
    </w:p>
    <w:p w:rsidR="00655E7C" w:rsidRDefault="00655E7C" w:rsidP="00655E7C">
      <w:pPr>
        <w:pStyle w:val="ListParagraph"/>
        <w:numPr>
          <w:ilvl w:val="1"/>
          <w:numId w:val="6"/>
        </w:numPr>
      </w:pPr>
      <w:r>
        <w:t>Finding 11 - Lack of Real-Time External Visibility</w:t>
      </w:r>
    </w:p>
    <w:p w:rsidR="00655E7C" w:rsidRDefault="00655E7C" w:rsidP="00655E7C">
      <w:pPr>
        <w:pStyle w:val="ListParagraph"/>
        <w:numPr>
          <w:ilvl w:val="1"/>
          <w:numId w:val="6"/>
        </w:numPr>
      </w:pPr>
      <w:r>
        <w:t>Finding 12 - Inadequate Real-Time Tools</w:t>
      </w:r>
    </w:p>
    <w:p w:rsidR="00655E7C" w:rsidRDefault="00655E7C" w:rsidP="00655E7C">
      <w:pPr>
        <w:pStyle w:val="ListParagraph"/>
        <w:numPr>
          <w:ilvl w:val="1"/>
          <w:numId w:val="6"/>
        </w:numPr>
      </w:pPr>
      <w:r>
        <w:t>Finding 13 -  Reliance on Post-Contingency Mitigation Plans</w:t>
      </w:r>
    </w:p>
    <w:p w:rsidR="00655E7C" w:rsidRDefault="00655E7C" w:rsidP="00655E7C">
      <w:pPr>
        <w:pStyle w:val="ListParagraph"/>
        <w:numPr>
          <w:ilvl w:val="1"/>
          <w:numId w:val="6"/>
        </w:numPr>
      </w:pPr>
      <w:r>
        <w:t>Finding 15 - Failure to Notify WECC RC and Neighboring TOPs Upon Losing RTCA</w:t>
      </w:r>
    </w:p>
    <w:p w:rsidR="00655E7C" w:rsidRDefault="00655E7C" w:rsidP="00655E7C">
      <w:pPr>
        <w:pStyle w:val="ListParagraph"/>
        <w:numPr>
          <w:ilvl w:val="1"/>
          <w:numId w:val="6"/>
        </w:numPr>
      </w:pPr>
      <w:r>
        <w:t>Finding 16 - Discrepancies Between RTCA and Planning Models</w:t>
      </w:r>
    </w:p>
    <w:p w:rsidR="00655E7C" w:rsidRDefault="00655E7C" w:rsidP="00655E7C">
      <w:pPr>
        <w:pStyle w:val="ListParagraph"/>
        <w:numPr>
          <w:ilvl w:val="1"/>
          <w:numId w:val="6"/>
        </w:numPr>
      </w:pPr>
      <w:r>
        <w:t>Finding 17 - Impact of Sub-100 kV Facilities on BPS Reliability</w:t>
      </w:r>
    </w:p>
    <w:p w:rsidR="00655E7C" w:rsidRDefault="00655E7C" w:rsidP="00655E7C">
      <w:pPr>
        <w:pStyle w:val="ListParagraph"/>
        <w:numPr>
          <w:ilvl w:val="1"/>
          <w:numId w:val="6"/>
        </w:numPr>
      </w:pPr>
      <w:r>
        <w:t>Finding 18 - Failure to Establish Valid SOLs and Identify IROLs</w:t>
      </w:r>
    </w:p>
    <w:p w:rsidR="00655E7C" w:rsidRDefault="00655E7C" w:rsidP="00655E7C">
      <w:pPr>
        <w:pStyle w:val="ListParagraph"/>
        <w:numPr>
          <w:ilvl w:val="1"/>
          <w:numId w:val="6"/>
        </w:numPr>
      </w:pPr>
      <w:r>
        <w:t>Finding 22 - Lack of Review and Studying Impact of SPSs</w:t>
      </w:r>
    </w:p>
    <w:p w:rsidR="00655E7C" w:rsidRDefault="00655E7C" w:rsidP="00655E7C">
      <w:pPr>
        <w:pStyle w:val="ListParagraph"/>
        <w:numPr>
          <w:ilvl w:val="1"/>
          <w:numId w:val="6"/>
        </w:numPr>
      </w:pPr>
      <w:r>
        <w:t>Finding 24 - Not Recognizing Relay Settings When Establishing SOLs</w:t>
      </w:r>
    </w:p>
    <w:p w:rsidR="00655E7C" w:rsidRDefault="00655E7C" w:rsidP="00655E7C">
      <w:pPr>
        <w:pStyle w:val="ListParagraph"/>
        <w:numPr>
          <w:ilvl w:val="1"/>
          <w:numId w:val="6"/>
        </w:numPr>
      </w:pPr>
      <w:r>
        <w:t>Finding 25 - Margin Between Overload Relay Protection Settings and Emergency Ratings</w:t>
      </w:r>
    </w:p>
    <w:p w:rsidR="00655E7C" w:rsidRPr="00C37408" w:rsidRDefault="00655E7C" w:rsidP="00C37408">
      <w:pPr>
        <w:pStyle w:val="ListParagraph"/>
        <w:numPr>
          <w:ilvl w:val="1"/>
          <w:numId w:val="6"/>
        </w:numPr>
      </w:pPr>
      <w:r>
        <w:t>Finding 26 - Relay Settings and Proximity to Emergency Ratings</w:t>
      </w:r>
    </w:p>
    <w:p w:rsidR="00655E7C" w:rsidRPr="009B6AA6" w:rsidRDefault="00655E7C" w:rsidP="000F2B8B">
      <w:pPr>
        <w:spacing w:after="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47273C" w:rsidRPr="007C6C5F" w:rsidRDefault="00C37408" w:rsidP="00A0788C">
      <w:pPr>
        <w:spacing w:after="0"/>
        <w:rPr>
          <w:rFonts w:ascii="Georgia" w:hAnsi="Georgia"/>
        </w:rPr>
      </w:pPr>
      <w:r>
        <w:rPr>
          <w:rFonts w:ascii="Times New Roman" w:hAnsi="Times New Roman" w:cs="Times New Roman"/>
        </w:rPr>
        <w:t>July 18</w:t>
      </w:r>
      <w:r w:rsidR="007C6C5F">
        <w:rPr>
          <w:rFonts w:ascii="Georgia" w:hAnsi="Georgia"/>
        </w:rPr>
        <w:t>th, 2012</w:t>
      </w:r>
    </w:p>
    <w:sectPr w:rsidR="0047273C" w:rsidRPr="007C6C5F" w:rsidSect="00CE2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AB3AB3"/>
    <w:multiLevelType w:val="hybridMultilevel"/>
    <w:tmpl w:val="65CE1A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181127"/>
    <w:multiLevelType w:val="hybridMultilevel"/>
    <w:tmpl w:val="7DAE14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3"/>
  </w:num>
  <w:num w:numId="4">
    <w:abstractNumId w:val="5"/>
  </w:num>
  <w:num w:numId="5">
    <w:abstractNumId w:val="2"/>
  </w:num>
  <w:num w:numId="6">
    <w:abstractNumId w:val="0"/>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oNotDisplayPageBoundaries/>
  <w:proofState w:spelling="clean" w:grammar="clean"/>
  <w:defaultTabStop w:val="720"/>
  <w:characterSpacingControl w:val="doNotCompress"/>
  <w:compat>
    <w:useFELayout/>
  </w:compat>
  <w:rsids>
    <w:rsidRoot w:val="00A0788C"/>
    <w:rsid w:val="00013694"/>
    <w:rsid w:val="0006701A"/>
    <w:rsid w:val="000F2B8B"/>
    <w:rsid w:val="001300F3"/>
    <w:rsid w:val="001401BB"/>
    <w:rsid w:val="00256EDE"/>
    <w:rsid w:val="00263CEA"/>
    <w:rsid w:val="002A23C9"/>
    <w:rsid w:val="002A4A9E"/>
    <w:rsid w:val="00331489"/>
    <w:rsid w:val="00364ED7"/>
    <w:rsid w:val="00370EC3"/>
    <w:rsid w:val="00396E23"/>
    <w:rsid w:val="003B2C22"/>
    <w:rsid w:val="003D5246"/>
    <w:rsid w:val="004308AD"/>
    <w:rsid w:val="00435944"/>
    <w:rsid w:val="00447403"/>
    <w:rsid w:val="00462E30"/>
    <w:rsid w:val="004666B1"/>
    <w:rsid w:val="0047273C"/>
    <w:rsid w:val="004805AC"/>
    <w:rsid w:val="00485E20"/>
    <w:rsid w:val="004A2211"/>
    <w:rsid w:val="004A571E"/>
    <w:rsid w:val="004B3967"/>
    <w:rsid w:val="004D5166"/>
    <w:rsid w:val="005178A8"/>
    <w:rsid w:val="00521C01"/>
    <w:rsid w:val="00527D2D"/>
    <w:rsid w:val="0053172D"/>
    <w:rsid w:val="00541DA5"/>
    <w:rsid w:val="00590BB0"/>
    <w:rsid w:val="00592401"/>
    <w:rsid w:val="005A4A3C"/>
    <w:rsid w:val="005B14A9"/>
    <w:rsid w:val="00621007"/>
    <w:rsid w:val="00637621"/>
    <w:rsid w:val="00655E7C"/>
    <w:rsid w:val="00655F35"/>
    <w:rsid w:val="00662858"/>
    <w:rsid w:val="00672302"/>
    <w:rsid w:val="00693A65"/>
    <w:rsid w:val="006A48A1"/>
    <w:rsid w:val="006C45FD"/>
    <w:rsid w:val="006D7ADC"/>
    <w:rsid w:val="007173AE"/>
    <w:rsid w:val="00734CA7"/>
    <w:rsid w:val="00740FF4"/>
    <w:rsid w:val="007B1481"/>
    <w:rsid w:val="007C6C5F"/>
    <w:rsid w:val="007E783C"/>
    <w:rsid w:val="00812757"/>
    <w:rsid w:val="008317DF"/>
    <w:rsid w:val="00836DCA"/>
    <w:rsid w:val="0086111A"/>
    <w:rsid w:val="0086459D"/>
    <w:rsid w:val="00884B84"/>
    <w:rsid w:val="008B4377"/>
    <w:rsid w:val="00902B74"/>
    <w:rsid w:val="00904754"/>
    <w:rsid w:val="00956025"/>
    <w:rsid w:val="00960EB9"/>
    <w:rsid w:val="00992EBA"/>
    <w:rsid w:val="009B232B"/>
    <w:rsid w:val="009B2471"/>
    <w:rsid w:val="009B6AA6"/>
    <w:rsid w:val="00A0788C"/>
    <w:rsid w:val="00A16300"/>
    <w:rsid w:val="00A35D8B"/>
    <w:rsid w:val="00A5083E"/>
    <w:rsid w:val="00A64492"/>
    <w:rsid w:val="00AC05C3"/>
    <w:rsid w:val="00AC57E7"/>
    <w:rsid w:val="00AC7B9F"/>
    <w:rsid w:val="00AD180D"/>
    <w:rsid w:val="00B33277"/>
    <w:rsid w:val="00B52FEA"/>
    <w:rsid w:val="00B62AF1"/>
    <w:rsid w:val="00B648B1"/>
    <w:rsid w:val="00B66BCE"/>
    <w:rsid w:val="00BA3F5E"/>
    <w:rsid w:val="00BD145D"/>
    <w:rsid w:val="00BD3F7D"/>
    <w:rsid w:val="00BF17E4"/>
    <w:rsid w:val="00C37408"/>
    <w:rsid w:val="00C46AA0"/>
    <w:rsid w:val="00C802BB"/>
    <w:rsid w:val="00CE2266"/>
    <w:rsid w:val="00D229AE"/>
    <w:rsid w:val="00D51E3F"/>
    <w:rsid w:val="00D63E5E"/>
    <w:rsid w:val="00D94ABD"/>
    <w:rsid w:val="00DA136F"/>
    <w:rsid w:val="00DB285C"/>
    <w:rsid w:val="00DC08A7"/>
    <w:rsid w:val="00DE221D"/>
    <w:rsid w:val="00E54337"/>
    <w:rsid w:val="00E573DB"/>
    <w:rsid w:val="00E6058A"/>
    <w:rsid w:val="00EE2055"/>
    <w:rsid w:val="00F12322"/>
    <w:rsid w:val="00F15C5B"/>
    <w:rsid w:val="00F3274F"/>
    <w:rsid w:val="00F926A6"/>
    <w:rsid w:val="00FB0BBC"/>
    <w:rsid w:val="00FB0D09"/>
    <w:rsid w:val="00FC25F5"/>
    <w:rsid w:val="00FC5F97"/>
    <w:rsid w:val="00FD20DE"/>
    <w:rsid w:val="00FF0BD2"/>
    <w:rsid w:val="00FF45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1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FD8C30-5E0D-4609-A651-291D199C3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974</Words>
  <Characters>5555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6516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Brad Calhoun</cp:lastModifiedBy>
  <cp:revision>3</cp:revision>
  <dcterms:created xsi:type="dcterms:W3CDTF">2012-06-04T19:43:00Z</dcterms:created>
  <dcterms:modified xsi:type="dcterms:W3CDTF">2012-06-04T19:44:00Z</dcterms:modified>
</cp:coreProperties>
</file>