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74E" w:rsidRPr="001E7ED8" w:rsidRDefault="005B601F" w:rsidP="0070374E">
      <w:pPr>
        <w:jc w:val="center"/>
        <w:rPr>
          <w:b/>
          <w:sz w:val="32"/>
        </w:rPr>
      </w:pPr>
      <w:r w:rsidRPr="001E7ED8">
        <w:rPr>
          <w:b/>
          <w:sz w:val="32"/>
        </w:rPr>
        <w:t xml:space="preserve">NPGRTF </w:t>
      </w:r>
      <w:r w:rsidR="0070374E" w:rsidRPr="001E7ED8">
        <w:rPr>
          <w:b/>
          <w:sz w:val="32"/>
        </w:rPr>
        <w:t xml:space="preserve">Summary and </w:t>
      </w:r>
      <w:r w:rsidR="000845C7">
        <w:rPr>
          <w:b/>
          <w:sz w:val="32"/>
        </w:rPr>
        <w:t>Future Actions</w:t>
      </w:r>
    </w:p>
    <w:p w:rsidR="0070374E" w:rsidRPr="001E7ED8" w:rsidRDefault="0044255C" w:rsidP="0070374E">
      <w:pPr>
        <w:jc w:val="center"/>
        <w:rPr>
          <w:b/>
          <w:sz w:val="32"/>
        </w:rPr>
      </w:pPr>
      <w:r w:rsidRPr="001E7ED8">
        <w:rPr>
          <w:b/>
          <w:sz w:val="32"/>
        </w:rPr>
        <w:t xml:space="preserve">Protocols/OGs </w:t>
      </w:r>
      <w:r w:rsidR="0070374E" w:rsidRPr="001E7ED8">
        <w:rPr>
          <w:b/>
          <w:sz w:val="32"/>
        </w:rPr>
        <w:t xml:space="preserve">Transmission Operator </w:t>
      </w:r>
      <w:r w:rsidR="000845C7">
        <w:rPr>
          <w:b/>
          <w:sz w:val="32"/>
        </w:rPr>
        <w:t>Inconsistency</w:t>
      </w:r>
    </w:p>
    <w:p w:rsidR="0070374E" w:rsidRPr="001E7ED8" w:rsidRDefault="0070374E" w:rsidP="0070374E">
      <w:pPr>
        <w:ind w:left="360"/>
      </w:pPr>
    </w:p>
    <w:p w:rsidR="0070374E" w:rsidRPr="001E7ED8" w:rsidRDefault="0070374E" w:rsidP="0070374E">
      <w:pPr>
        <w:ind w:left="360"/>
      </w:pPr>
    </w:p>
    <w:p w:rsidR="0070374E" w:rsidRPr="001E7ED8" w:rsidRDefault="0070374E" w:rsidP="0070374E">
      <w:pPr>
        <w:pStyle w:val="ListParagraph"/>
        <w:numPr>
          <w:ilvl w:val="0"/>
          <w:numId w:val="1"/>
        </w:numPr>
      </w:pPr>
      <w:r w:rsidRPr="001E7ED8">
        <w:t xml:space="preserve">The term TO, as used in the Op Guides, refers to an ERCOT Transmission Operator.  To help distinguish this term from the NERC TOP (Transmission Operator) function, the </w:t>
      </w:r>
      <w:r w:rsidR="00CB0A29" w:rsidRPr="001E7ED8">
        <w:t>team suggests</w:t>
      </w:r>
      <w:r w:rsidRPr="001E7ED8">
        <w:t xml:space="preserve"> changing the term to </w:t>
      </w:r>
      <w:r w:rsidRPr="001E7ED8">
        <w:rPr>
          <w:b/>
        </w:rPr>
        <w:t>TDSO (Transmission and/or Distribution System Operator)</w:t>
      </w:r>
      <w:r w:rsidRPr="001E7ED8">
        <w:t xml:space="preserve">.  </w:t>
      </w:r>
      <w:r w:rsidR="00CB0A29" w:rsidRPr="001E7ED8">
        <w:t>Note that t</w:t>
      </w:r>
      <w:r w:rsidRPr="001E7ED8">
        <w:t xml:space="preserve">he second sentence of the definition was also changed slightly as shown below (see the </w:t>
      </w:r>
      <w:r w:rsidRPr="001E7ED8">
        <w:rPr>
          <w:highlight w:val="yellow"/>
        </w:rPr>
        <w:t>highlighted</w:t>
      </w:r>
      <w:r w:rsidRPr="001E7ED8">
        <w:t xml:space="preserve"> portions).  Per the Transmission Operator Designation Form, since a TO is “designated”</w:t>
      </w:r>
      <w:r w:rsidR="001E7ED8">
        <w:t>, not registered</w:t>
      </w:r>
      <w:r w:rsidRPr="001E7ED8">
        <w:t>, the language was changed accordingly.</w:t>
      </w:r>
    </w:p>
    <w:p w:rsidR="0070374E" w:rsidRPr="001E7ED8" w:rsidRDefault="0070374E" w:rsidP="0070374E">
      <w:pPr>
        <w:pStyle w:val="ListParagraph"/>
        <w:numPr>
          <w:ilvl w:val="1"/>
          <w:numId w:val="1"/>
        </w:numPr>
      </w:pPr>
      <w:r w:rsidRPr="001E7ED8">
        <w:rPr>
          <w:u w:val="single"/>
        </w:rPr>
        <w:t>The current definition for TO</w:t>
      </w:r>
      <w:r w:rsidRPr="001E7ED8">
        <w:t xml:space="preserve">, as shown in the Op Guides, is:  “Entity responsible for the safe and reliable operation of its own portion or designated portion of the ERCOT Transmission System.  Every Transmission Service Provider (TSP) or Distribution Service Provider (DSP) in the ERCOT Region shall either </w:t>
      </w:r>
      <w:r w:rsidRPr="001E7ED8">
        <w:rPr>
          <w:highlight w:val="yellow"/>
        </w:rPr>
        <w:t>register as a TO, or designate a TO as its representative and with the authority to act on its behalf</w:t>
      </w:r>
      <w:r w:rsidRPr="001E7ED8">
        <w:t>.”</w:t>
      </w:r>
    </w:p>
    <w:p w:rsidR="0070374E" w:rsidRPr="001E7ED8" w:rsidRDefault="0070374E" w:rsidP="0070374E">
      <w:pPr>
        <w:pStyle w:val="ListParagraph"/>
        <w:numPr>
          <w:ilvl w:val="1"/>
          <w:numId w:val="1"/>
        </w:numPr>
      </w:pPr>
      <w:r w:rsidRPr="001E7ED8">
        <w:rPr>
          <w:u w:val="single"/>
        </w:rPr>
        <w:t>The new, proposed definition for TDSO</w:t>
      </w:r>
      <w:r w:rsidRPr="001E7ED8">
        <w:t xml:space="preserve"> is:  “Entity responsible for the safe and reliable operation of its own portion or designated portion of the ERCOT Transmission System.  Every Transmission Service Provider (TSP) or Distribution Service Provider (DSP) in the ERCOT Region shall either </w:t>
      </w:r>
      <w:r w:rsidRPr="001E7ED8">
        <w:rPr>
          <w:highlight w:val="yellow"/>
        </w:rPr>
        <w:t>designate itself as a TDSO or designate an agent as its TDSO with the authority to act on its behalf</w:t>
      </w:r>
      <w:r w:rsidRPr="001E7ED8">
        <w:t>.”</w:t>
      </w:r>
    </w:p>
    <w:p w:rsidR="0070374E" w:rsidRPr="001E7ED8" w:rsidRDefault="0070374E" w:rsidP="0070374E">
      <w:pPr>
        <w:pStyle w:val="ListParagraph"/>
        <w:numPr>
          <w:ilvl w:val="0"/>
          <w:numId w:val="1"/>
        </w:numPr>
      </w:pPr>
      <w:r w:rsidRPr="001E7ED8">
        <w:t>Note that the first sentence in each of these definitions is the “definition” portion.  The last sentence is a directive (“shall” statement), which probably shouldn’t be part of the definition.</w:t>
      </w:r>
    </w:p>
    <w:p w:rsidR="0070374E" w:rsidRPr="001E7ED8" w:rsidRDefault="0070374E" w:rsidP="0070374E">
      <w:pPr>
        <w:pStyle w:val="ListParagraph"/>
        <w:numPr>
          <w:ilvl w:val="0"/>
          <w:numId w:val="1"/>
        </w:numPr>
      </w:pPr>
      <w:r w:rsidRPr="001E7ED8">
        <w:t xml:space="preserve">The second sentence of the definition states that a DSP must register itself as a TO or designate a TO.  This implies that the TO may operate distribution systems (less than 60kV).  Therefore, the team decided that the TO term should reflect what they actually do…they can operate both transmission and distribution.  Hence the expanded name TDSO.  Perhaps the actual “definition” part (first sentence), should be </w:t>
      </w:r>
      <w:r w:rsidR="008201E5">
        <w:t>modified</w:t>
      </w:r>
      <w:r w:rsidR="008201E5" w:rsidRPr="001E7ED8">
        <w:t xml:space="preserve"> </w:t>
      </w:r>
      <w:r w:rsidRPr="001E7ED8">
        <w:t xml:space="preserve">to include “…or designated portions of the ERCOT </w:t>
      </w:r>
      <w:r w:rsidR="008201E5">
        <w:t xml:space="preserve">Transmission or </w:t>
      </w:r>
      <w:r w:rsidRPr="001E7ED8">
        <w:t>Distribution System” to keep it consistent with the last sentence.</w:t>
      </w:r>
    </w:p>
    <w:p w:rsidR="0070374E" w:rsidRPr="001E7ED8" w:rsidRDefault="0070374E" w:rsidP="0070374E">
      <w:pPr>
        <w:pStyle w:val="ListParagraph"/>
        <w:numPr>
          <w:ilvl w:val="0"/>
          <w:numId w:val="1"/>
        </w:numPr>
      </w:pPr>
      <w:r w:rsidRPr="001E7ED8">
        <w:t xml:space="preserve">The Standard Form Market Participant Agreement (from the Protocols) does not have a registration option for a TO.  The </w:t>
      </w:r>
      <w:r w:rsidR="005E0790">
        <w:t>designation</w:t>
      </w:r>
      <w:r w:rsidRPr="001E7ED8">
        <w:t xml:space="preserve"> of a TO is done via the Transmission Operator Designation Form which, as the name implies, is used by a Market Participant (a TSP or DSP) to designate itself as a TO or designate another TSP or DSP as </w:t>
      </w:r>
      <w:proofErr w:type="gramStart"/>
      <w:r w:rsidRPr="001E7ED8">
        <w:t>its</w:t>
      </w:r>
      <w:proofErr w:type="gramEnd"/>
      <w:r w:rsidRPr="001E7ED8">
        <w:t xml:space="preserve"> TO.  This form is available on the ERCOT Web site and the designation of TOs is tracked by ERCOT Legal/Client Relations.  Ideally this </w:t>
      </w:r>
      <w:r w:rsidR="005E0790">
        <w:t>designation</w:t>
      </w:r>
      <w:r w:rsidRPr="001E7ED8">
        <w:t xml:space="preserve"> should be in Siebel.  The form is at:</w:t>
      </w:r>
    </w:p>
    <w:p w:rsidR="0070374E" w:rsidRPr="001E7ED8" w:rsidRDefault="0070374E" w:rsidP="0070374E">
      <w:pPr>
        <w:ind w:left="360"/>
      </w:pPr>
    </w:p>
    <w:p w:rsidR="0070374E" w:rsidRPr="001E7ED8" w:rsidRDefault="00665C35" w:rsidP="0070374E">
      <w:pPr>
        <w:ind w:left="1080"/>
      </w:pPr>
      <w:hyperlink r:id="rId5" w:history="1">
        <w:r w:rsidR="0070374E" w:rsidRPr="001E7ED8">
          <w:rPr>
            <w:rStyle w:val="Hyperlink"/>
            <w:color w:val="auto"/>
            <w:u w:val="none"/>
          </w:rPr>
          <w:t>Home</w:t>
        </w:r>
      </w:hyperlink>
      <w:r w:rsidR="0070374E" w:rsidRPr="001E7ED8">
        <w:t>  &gt;</w:t>
      </w:r>
      <w:proofErr w:type="gramStart"/>
      <w:r w:rsidR="0070374E" w:rsidRPr="001E7ED8">
        <w:t>  </w:t>
      </w:r>
      <w:proofErr w:type="gramEnd"/>
      <w:hyperlink r:id="rId6" w:history="1">
        <w:r w:rsidR="0070374E" w:rsidRPr="001E7ED8">
          <w:rPr>
            <w:rStyle w:val="Hyperlink"/>
            <w:color w:val="auto"/>
            <w:u w:val="none"/>
          </w:rPr>
          <w:t>Services</w:t>
        </w:r>
      </w:hyperlink>
      <w:r w:rsidR="0070374E" w:rsidRPr="001E7ED8">
        <w:t>  &gt;  </w:t>
      </w:r>
      <w:hyperlink r:id="rId7" w:history="1">
        <w:r w:rsidR="0070374E" w:rsidRPr="001E7ED8">
          <w:rPr>
            <w:rStyle w:val="Hyperlink"/>
            <w:color w:val="auto"/>
            <w:u w:val="none"/>
          </w:rPr>
          <w:t>Registration and Qualification</w:t>
        </w:r>
      </w:hyperlink>
      <w:r w:rsidR="0070374E" w:rsidRPr="001E7ED8">
        <w:t>  &gt;  Transmission / Distribution Service Providers</w:t>
      </w:r>
    </w:p>
    <w:p w:rsidR="0070374E" w:rsidRPr="001E7ED8" w:rsidRDefault="0070374E" w:rsidP="0070374E"/>
    <w:p w:rsidR="0070374E" w:rsidRDefault="005E7A57" w:rsidP="0070374E">
      <w:pPr>
        <w:pStyle w:val="ListParagraph"/>
        <w:numPr>
          <w:ilvl w:val="0"/>
          <w:numId w:val="1"/>
        </w:numPr>
      </w:pPr>
      <w:r>
        <w:t>Possible</w:t>
      </w:r>
      <w:r w:rsidR="005E0790">
        <w:t xml:space="preserve"> future action</w:t>
      </w:r>
      <w:r>
        <w:t>s</w:t>
      </w:r>
      <w:r w:rsidR="005E0790">
        <w:t xml:space="preserve"> </w:t>
      </w:r>
      <w:r>
        <w:t>for ROS to consider</w:t>
      </w:r>
      <w:r w:rsidR="0070374E" w:rsidRPr="001E7ED8">
        <w:t>:</w:t>
      </w:r>
    </w:p>
    <w:p w:rsidR="005E0790" w:rsidRPr="001E7ED8" w:rsidRDefault="005E0790" w:rsidP="00E909C2">
      <w:pPr>
        <w:pStyle w:val="ListParagraph"/>
        <w:numPr>
          <w:ilvl w:val="1"/>
          <w:numId w:val="1"/>
        </w:numPr>
      </w:pPr>
      <w:r>
        <w:t>Clean up Protocol and OG language</w:t>
      </w:r>
      <w:r w:rsidR="00076FEF">
        <w:t xml:space="preserve"> (or do a subset of these):</w:t>
      </w:r>
    </w:p>
    <w:p w:rsidR="0070374E" w:rsidRPr="001E7ED8" w:rsidRDefault="0070374E" w:rsidP="00E909C2">
      <w:pPr>
        <w:pStyle w:val="ListParagraph"/>
        <w:numPr>
          <w:ilvl w:val="2"/>
          <w:numId w:val="1"/>
        </w:numPr>
      </w:pPr>
      <w:r w:rsidRPr="001E7ED8">
        <w:t>Make the changes to the OG definition (term and definition).</w:t>
      </w:r>
    </w:p>
    <w:p w:rsidR="0070374E" w:rsidRPr="001E7ED8" w:rsidRDefault="0070374E" w:rsidP="00E909C2">
      <w:pPr>
        <w:pStyle w:val="ListParagraph"/>
        <w:numPr>
          <w:ilvl w:val="2"/>
          <w:numId w:val="1"/>
        </w:numPr>
      </w:pPr>
      <w:r w:rsidRPr="001E7ED8">
        <w:lastRenderedPageBreak/>
        <w:t>Change all occurrences of TO in the OGs and in the Transmission Operator Designation Form to TDSO.</w:t>
      </w:r>
    </w:p>
    <w:p w:rsidR="0070374E" w:rsidRPr="001E7ED8" w:rsidRDefault="0070374E" w:rsidP="00E909C2">
      <w:pPr>
        <w:pStyle w:val="ListParagraph"/>
        <w:numPr>
          <w:ilvl w:val="2"/>
          <w:numId w:val="1"/>
        </w:numPr>
      </w:pPr>
      <w:r w:rsidRPr="001E7ED8">
        <w:t>Continue to use the Transmission Operator Designation Form to “designate” TDSOs and put this designation information in Siebel.</w:t>
      </w:r>
    </w:p>
    <w:p w:rsidR="0070374E" w:rsidRPr="001E7ED8" w:rsidRDefault="0070374E" w:rsidP="00E909C2">
      <w:pPr>
        <w:pStyle w:val="ListParagraph"/>
        <w:numPr>
          <w:ilvl w:val="2"/>
          <w:numId w:val="1"/>
        </w:numPr>
      </w:pPr>
      <w:r w:rsidRPr="001E7ED8">
        <w:t>Follow up with all TSPs and DSPs to ensure they have a designated TDSO.  Fundamentally this is a reliability concern, because there should not be any gaps in the ERCOT Interconnection.  ERCOT must be confident that all portions of the Interconnection are covered by a TDSO.</w:t>
      </w:r>
    </w:p>
    <w:p w:rsidR="0070374E" w:rsidRDefault="0070374E" w:rsidP="00E909C2">
      <w:pPr>
        <w:pStyle w:val="ListParagraph"/>
        <w:numPr>
          <w:ilvl w:val="2"/>
          <w:numId w:val="1"/>
        </w:numPr>
      </w:pPr>
      <w:r w:rsidRPr="001E7ED8">
        <w:t>Consider moving the TDSO definition to the Protocols and then review every instance of TSP, DSP and TDSP in the Protocols to decide whether it should be changed to TDSO.</w:t>
      </w:r>
    </w:p>
    <w:p w:rsidR="008201E5" w:rsidRDefault="008201E5" w:rsidP="008201E5">
      <w:pPr>
        <w:pStyle w:val="ListParagraph"/>
        <w:numPr>
          <w:ilvl w:val="1"/>
          <w:numId w:val="1"/>
        </w:numPr>
      </w:pPr>
      <w:r>
        <w:t>Do a subset of option “a” above (for instance 1-4)</w:t>
      </w:r>
    </w:p>
    <w:p w:rsidR="005E0790" w:rsidRPr="001E7ED8" w:rsidRDefault="005E0790" w:rsidP="005E0790">
      <w:pPr>
        <w:pStyle w:val="ListParagraph"/>
        <w:numPr>
          <w:ilvl w:val="1"/>
          <w:numId w:val="1"/>
        </w:numPr>
      </w:pPr>
      <w:r>
        <w:t>Do nothing</w:t>
      </w:r>
    </w:p>
    <w:p w:rsidR="00C24B18" w:rsidRPr="001E7ED8" w:rsidRDefault="00C24B18"/>
    <w:sectPr w:rsidR="00C24B18" w:rsidRPr="001E7ED8" w:rsidSect="00C24B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85571"/>
    <w:multiLevelType w:val="hybridMultilevel"/>
    <w:tmpl w:val="9A3C575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compat/>
  <w:rsids>
    <w:rsidRoot w:val="0070374E"/>
    <w:rsid w:val="000052BA"/>
    <w:rsid w:val="000101EA"/>
    <w:rsid w:val="00013E22"/>
    <w:rsid w:val="0002490A"/>
    <w:rsid w:val="0003489F"/>
    <w:rsid w:val="00034FDD"/>
    <w:rsid w:val="00041E29"/>
    <w:rsid w:val="0004466A"/>
    <w:rsid w:val="00052FFD"/>
    <w:rsid w:val="00053DC4"/>
    <w:rsid w:val="00061293"/>
    <w:rsid w:val="0006375D"/>
    <w:rsid w:val="00065D6E"/>
    <w:rsid w:val="00071A73"/>
    <w:rsid w:val="0007257E"/>
    <w:rsid w:val="00076FEF"/>
    <w:rsid w:val="0008165B"/>
    <w:rsid w:val="000845C7"/>
    <w:rsid w:val="00085830"/>
    <w:rsid w:val="00097B2B"/>
    <w:rsid w:val="000A2995"/>
    <w:rsid w:val="000A3CDA"/>
    <w:rsid w:val="000A44BE"/>
    <w:rsid w:val="000A5568"/>
    <w:rsid w:val="000B1BDE"/>
    <w:rsid w:val="000B3163"/>
    <w:rsid w:val="000B3233"/>
    <w:rsid w:val="000B58B2"/>
    <w:rsid w:val="000B6309"/>
    <w:rsid w:val="000E0CA1"/>
    <w:rsid w:val="000E0D39"/>
    <w:rsid w:val="000E4B51"/>
    <w:rsid w:val="000F188C"/>
    <w:rsid w:val="00102027"/>
    <w:rsid w:val="0010607F"/>
    <w:rsid w:val="001160B0"/>
    <w:rsid w:val="00117EA9"/>
    <w:rsid w:val="0013669E"/>
    <w:rsid w:val="00144BC6"/>
    <w:rsid w:val="00153B24"/>
    <w:rsid w:val="00153BB4"/>
    <w:rsid w:val="001579C8"/>
    <w:rsid w:val="00163511"/>
    <w:rsid w:val="00166AF0"/>
    <w:rsid w:val="00167EEF"/>
    <w:rsid w:val="001777E6"/>
    <w:rsid w:val="001802FB"/>
    <w:rsid w:val="00180501"/>
    <w:rsid w:val="001833EA"/>
    <w:rsid w:val="001840C5"/>
    <w:rsid w:val="001929E6"/>
    <w:rsid w:val="00192F03"/>
    <w:rsid w:val="001948CE"/>
    <w:rsid w:val="0019574E"/>
    <w:rsid w:val="001A333E"/>
    <w:rsid w:val="001A6113"/>
    <w:rsid w:val="001B03C3"/>
    <w:rsid w:val="001B5990"/>
    <w:rsid w:val="001B6535"/>
    <w:rsid w:val="001C0848"/>
    <w:rsid w:val="001C6A3B"/>
    <w:rsid w:val="001D1A49"/>
    <w:rsid w:val="001D549B"/>
    <w:rsid w:val="001D5654"/>
    <w:rsid w:val="001D7AFB"/>
    <w:rsid w:val="001E3357"/>
    <w:rsid w:val="001E7ED8"/>
    <w:rsid w:val="001F149A"/>
    <w:rsid w:val="001F4189"/>
    <w:rsid w:val="002036CA"/>
    <w:rsid w:val="0020509B"/>
    <w:rsid w:val="00210870"/>
    <w:rsid w:val="00211EA0"/>
    <w:rsid w:val="00214473"/>
    <w:rsid w:val="00214B1D"/>
    <w:rsid w:val="00215F4B"/>
    <w:rsid w:val="0024077A"/>
    <w:rsid w:val="00246D35"/>
    <w:rsid w:val="002545DC"/>
    <w:rsid w:val="00257961"/>
    <w:rsid w:val="00265E52"/>
    <w:rsid w:val="002672C6"/>
    <w:rsid w:val="00272642"/>
    <w:rsid w:val="00275341"/>
    <w:rsid w:val="0029670C"/>
    <w:rsid w:val="00296EF7"/>
    <w:rsid w:val="002A0A17"/>
    <w:rsid w:val="002A34CC"/>
    <w:rsid w:val="002B58F4"/>
    <w:rsid w:val="002C256B"/>
    <w:rsid w:val="002C2F9D"/>
    <w:rsid w:val="002C5D14"/>
    <w:rsid w:val="002C7F3E"/>
    <w:rsid w:val="002D22D4"/>
    <w:rsid w:val="002D26E9"/>
    <w:rsid w:val="002D53D9"/>
    <w:rsid w:val="002F0CA7"/>
    <w:rsid w:val="002F1789"/>
    <w:rsid w:val="002F6C98"/>
    <w:rsid w:val="00303898"/>
    <w:rsid w:val="003104EA"/>
    <w:rsid w:val="00313695"/>
    <w:rsid w:val="003230B2"/>
    <w:rsid w:val="00343A54"/>
    <w:rsid w:val="00347728"/>
    <w:rsid w:val="00354799"/>
    <w:rsid w:val="00356866"/>
    <w:rsid w:val="003627F4"/>
    <w:rsid w:val="00364A2D"/>
    <w:rsid w:val="00365371"/>
    <w:rsid w:val="00384775"/>
    <w:rsid w:val="0038718B"/>
    <w:rsid w:val="00395B98"/>
    <w:rsid w:val="003B07C9"/>
    <w:rsid w:val="003B1509"/>
    <w:rsid w:val="003B32F7"/>
    <w:rsid w:val="003B3910"/>
    <w:rsid w:val="003B74B4"/>
    <w:rsid w:val="003C27A5"/>
    <w:rsid w:val="003C293E"/>
    <w:rsid w:val="003C6710"/>
    <w:rsid w:val="003C7EAA"/>
    <w:rsid w:val="003D1CE0"/>
    <w:rsid w:val="003D239B"/>
    <w:rsid w:val="003D4F85"/>
    <w:rsid w:val="003E0418"/>
    <w:rsid w:val="003E4BEA"/>
    <w:rsid w:val="003E4ED2"/>
    <w:rsid w:val="003E7D7E"/>
    <w:rsid w:val="003F2C7A"/>
    <w:rsid w:val="00417724"/>
    <w:rsid w:val="00431A6D"/>
    <w:rsid w:val="00434DC7"/>
    <w:rsid w:val="004363BF"/>
    <w:rsid w:val="00440C10"/>
    <w:rsid w:val="0044255C"/>
    <w:rsid w:val="00445856"/>
    <w:rsid w:val="00446136"/>
    <w:rsid w:val="0045274A"/>
    <w:rsid w:val="0045487D"/>
    <w:rsid w:val="00466B49"/>
    <w:rsid w:val="00471AC7"/>
    <w:rsid w:val="00472DF7"/>
    <w:rsid w:val="0049392C"/>
    <w:rsid w:val="00495632"/>
    <w:rsid w:val="00496FA5"/>
    <w:rsid w:val="004A7260"/>
    <w:rsid w:val="004A7537"/>
    <w:rsid w:val="004B0B7D"/>
    <w:rsid w:val="004B1F0C"/>
    <w:rsid w:val="004B372D"/>
    <w:rsid w:val="004C169F"/>
    <w:rsid w:val="004C434E"/>
    <w:rsid w:val="004C7180"/>
    <w:rsid w:val="004E0CC1"/>
    <w:rsid w:val="004E2464"/>
    <w:rsid w:val="004F7292"/>
    <w:rsid w:val="00501BEF"/>
    <w:rsid w:val="00523845"/>
    <w:rsid w:val="00526EC5"/>
    <w:rsid w:val="0054059E"/>
    <w:rsid w:val="0054199B"/>
    <w:rsid w:val="00545E6F"/>
    <w:rsid w:val="0055067B"/>
    <w:rsid w:val="00556C7E"/>
    <w:rsid w:val="00557C1E"/>
    <w:rsid w:val="0056394C"/>
    <w:rsid w:val="00567C67"/>
    <w:rsid w:val="005706AB"/>
    <w:rsid w:val="00573098"/>
    <w:rsid w:val="00576C0B"/>
    <w:rsid w:val="00585F44"/>
    <w:rsid w:val="00597E0D"/>
    <w:rsid w:val="005A0CB7"/>
    <w:rsid w:val="005B4ABE"/>
    <w:rsid w:val="005B52CD"/>
    <w:rsid w:val="005B601F"/>
    <w:rsid w:val="005C5FB7"/>
    <w:rsid w:val="005D299F"/>
    <w:rsid w:val="005D6551"/>
    <w:rsid w:val="005E0790"/>
    <w:rsid w:val="005E35BB"/>
    <w:rsid w:val="005E437D"/>
    <w:rsid w:val="005E7A57"/>
    <w:rsid w:val="006026DB"/>
    <w:rsid w:val="00603C60"/>
    <w:rsid w:val="00611E73"/>
    <w:rsid w:val="00614011"/>
    <w:rsid w:val="006268C9"/>
    <w:rsid w:val="0063208D"/>
    <w:rsid w:val="0063503B"/>
    <w:rsid w:val="006427FE"/>
    <w:rsid w:val="00646A99"/>
    <w:rsid w:val="006561E5"/>
    <w:rsid w:val="0065710A"/>
    <w:rsid w:val="00665C35"/>
    <w:rsid w:val="00677722"/>
    <w:rsid w:val="00677BEC"/>
    <w:rsid w:val="00690B28"/>
    <w:rsid w:val="006932FE"/>
    <w:rsid w:val="00695E57"/>
    <w:rsid w:val="006A1960"/>
    <w:rsid w:val="006A2C2B"/>
    <w:rsid w:val="006A6640"/>
    <w:rsid w:val="006B0254"/>
    <w:rsid w:val="006C5031"/>
    <w:rsid w:val="006D44EA"/>
    <w:rsid w:val="006D4C50"/>
    <w:rsid w:val="006E249A"/>
    <w:rsid w:val="006E7628"/>
    <w:rsid w:val="006F168A"/>
    <w:rsid w:val="006F5EF8"/>
    <w:rsid w:val="006F66B6"/>
    <w:rsid w:val="0070374E"/>
    <w:rsid w:val="0071208D"/>
    <w:rsid w:val="0071570C"/>
    <w:rsid w:val="00723F0B"/>
    <w:rsid w:val="0073016A"/>
    <w:rsid w:val="007320EF"/>
    <w:rsid w:val="00742FA6"/>
    <w:rsid w:val="00743583"/>
    <w:rsid w:val="0074376D"/>
    <w:rsid w:val="00745639"/>
    <w:rsid w:val="00745F44"/>
    <w:rsid w:val="00746819"/>
    <w:rsid w:val="00754693"/>
    <w:rsid w:val="00777DC3"/>
    <w:rsid w:val="00786FB4"/>
    <w:rsid w:val="007918D1"/>
    <w:rsid w:val="00791A0C"/>
    <w:rsid w:val="00797444"/>
    <w:rsid w:val="007A7F87"/>
    <w:rsid w:val="007B1C60"/>
    <w:rsid w:val="007B2201"/>
    <w:rsid w:val="007B4EEA"/>
    <w:rsid w:val="007C4200"/>
    <w:rsid w:val="007C4388"/>
    <w:rsid w:val="007C7B97"/>
    <w:rsid w:val="007D290D"/>
    <w:rsid w:val="007D5F54"/>
    <w:rsid w:val="007D7765"/>
    <w:rsid w:val="007E05D1"/>
    <w:rsid w:val="007E0E84"/>
    <w:rsid w:val="007F2A2B"/>
    <w:rsid w:val="007F3DF1"/>
    <w:rsid w:val="00800CD1"/>
    <w:rsid w:val="00800CE5"/>
    <w:rsid w:val="00803609"/>
    <w:rsid w:val="00804C97"/>
    <w:rsid w:val="0080640A"/>
    <w:rsid w:val="00811AE0"/>
    <w:rsid w:val="00817F27"/>
    <w:rsid w:val="008201E5"/>
    <w:rsid w:val="00840109"/>
    <w:rsid w:val="00840239"/>
    <w:rsid w:val="008403B7"/>
    <w:rsid w:val="00841644"/>
    <w:rsid w:val="00842DB3"/>
    <w:rsid w:val="00845117"/>
    <w:rsid w:val="008468C1"/>
    <w:rsid w:val="00870E4F"/>
    <w:rsid w:val="0087376E"/>
    <w:rsid w:val="00884245"/>
    <w:rsid w:val="00885D1C"/>
    <w:rsid w:val="00886DE2"/>
    <w:rsid w:val="008A26E8"/>
    <w:rsid w:val="008A3638"/>
    <w:rsid w:val="008B0774"/>
    <w:rsid w:val="008B5681"/>
    <w:rsid w:val="008C6270"/>
    <w:rsid w:val="008C7240"/>
    <w:rsid w:val="008D7280"/>
    <w:rsid w:val="008D7EDE"/>
    <w:rsid w:val="008E22A6"/>
    <w:rsid w:val="008F0EF7"/>
    <w:rsid w:val="008F140C"/>
    <w:rsid w:val="008F3F35"/>
    <w:rsid w:val="008F420C"/>
    <w:rsid w:val="009044C5"/>
    <w:rsid w:val="00904F4F"/>
    <w:rsid w:val="00931CB3"/>
    <w:rsid w:val="00933E3E"/>
    <w:rsid w:val="00934E76"/>
    <w:rsid w:val="00937A4C"/>
    <w:rsid w:val="00942999"/>
    <w:rsid w:val="009447CE"/>
    <w:rsid w:val="00946EA2"/>
    <w:rsid w:val="00947007"/>
    <w:rsid w:val="00947B87"/>
    <w:rsid w:val="00961A03"/>
    <w:rsid w:val="0099629F"/>
    <w:rsid w:val="009A0CEF"/>
    <w:rsid w:val="009B583B"/>
    <w:rsid w:val="009B61CF"/>
    <w:rsid w:val="009B6937"/>
    <w:rsid w:val="009B740F"/>
    <w:rsid w:val="009C327A"/>
    <w:rsid w:val="009D3813"/>
    <w:rsid w:val="009D41E0"/>
    <w:rsid w:val="009D77D0"/>
    <w:rsid w:val="009E4322"/>
    <w:rsid w:val="009F4C59"/>
    <w:rsid w:val="009F5668"/>
    <w:rsid w:val="009F5A46"/>
    <w:rsid w:val="00A038BD"/>
    <w:rsid w:val="00A12604"/>
    <w:rsid w:val="00A148C2"/>
    <w:rsid w:val="00A20706"/>
    <w:rsid w:val="00A21AA5"/>
    <w:rsid w:val="00A30F3A"/>
    <w:rsid w:val="00A32374"/>
    <w:rsid w:val="00A37AD5"/>
    <w:rsid w:val="00A46D66"/>
    <w:rsid w:val="00A56E81"/>
    <w:rsid w:val="00A62EAA"/>
    <w:rsid w:val="00A639EA"/>
    <w:rsid w:val="00A64190"/>
    <w:rsid w:val="00A64941"/>
    <w:rsid w:val="00A71827"/>
    <w:rsid w:val="00A82F2E"/>
    <w:rsid w:val="00A84782"/>
    <w:rsid w:val="00A85D52"/>
    <w:rsid w:val="00A85F12"/>
    <w:rsid w:val="00A91CA3"/>
    <w:rsid w:val="00A94748"/>
    <w:rsid w:val="00A953FE"/>
    <w:rsid w:val="00AA2131"/>
    <w:rsid w:val="00AA26F7"/>
    <w:rsid w:val="00AB3107"/>
    <w:rsid w:val="00AB4F75"/>
    <w:rsid w:val="00AB5B5B"/>
    <w:rsid w:val="00AD1BF5"/>
    <w:rsid w:val="00AD327E"/>
    <w:rsid w:val="00AD61A6"/>
    <w:rsid w:val="00AE37AA"/>
    <w:rsid w:val="00AE62BF"/>
    <w:rsid w:val="00AE7B57"/>
    <w:rsid w:val="00AF00F2"/>
    <w:rsid w:val="00AF48F6"/>
    <w:rsid w:val="00AF540C"/>
    <w:rsid w:val="00B03284"/>
    <w:rsid w:val="00B26951"/>
    <w:rsid w:val="00B306E8"/>
    <w:rsid w:val="00B30F27"/>
    <w:rsid w:val="00B325CE"/>
    <w:rsid w:val="00B3682E"/>
    <w:rsid w:val="00B602AB"/>
    <w:rsid w:val="00B63FC1"/>
    <w:rsid w:val="00B646D1"/>
    <w:rsid w:val="00B73C11"/>
    <w:rsid w:val="00B73D02"/>
    <w:rsid w:val="00B80A07"/>
    <w:rsid w:val="00B814DB"/>
    <w:rsid w:val="00BA08B3"/>
    <w:rsid w:val="00BA3292"/>
    <w:rsid w:val="00BA3842"/>
    <w:rsid w:val="00BB0E80"/>
    <w:rsid w:val="00BB2DAF"/>
    <w:rsid w:val="00BB4C57"/>
    <w:rsid w:val="00BB4E9C"/>
    <w:rsid w:val="00BB75DA"/>
    <w:rsid w:val="00BC7945"/>
    <w:rsid w:val="00BD13CE"/>
    <w:rsid w:val="00BE7AC0"/>
    <w:rsid w:val="00BF4729"/>
    <w:rsid w:val="00BF639F"/>
    <w:rsid w:val="00C01F55"/>
    <w:rsid w:val="00C0723F"/>
    <w:rsid w:val="00C1117B"/>
    <w:rsid w:val="00C13AC9"/>
    <w:rsid w:val="00C16172"/>
    <w:rsid w:val="00C210DD"/>
    <w:rsid w:val="00C22436"/>
    <w:rsid w:val="00C24B18"/>
    <w:rsid w:val="00C3201C"/>
    <w:rsid w:val="00C344EB"/>
    <w:rsid w:val="00C409E7"/>
    <w:rsid w:val="00C42D18"/>
    <w:rsid w:val="00C4748F"/>
    <w:rsid w:val="00C556D8"/>
    <w:rsid w:val="00C56F2E"/>
    <w:rsid w:val="00C56FFA"/>
    <w:rsid w:val="00C574E3"/>
    <w:rsid w:val="00C60D66"/>
    <w:rsid w:val="00C6380C"/>
    <w:rsid w:val="00C7069B"/>
    <w:rsid w:val="00C70C9D"/>
    <w:rsid w:val="00C805C2"/>
    <w:rsid w:val="00C83DED"/>
    <w:rsid w:val="00C84F6D"/>
    <w:rsid w:val="00C86BBB"/>
    <w:rsid w:val="00C87B12"/>
    <w:rsid w:val="00C92BB2"/>
    <w:rsid w:val="00C92EEF"/>
    <w:rsid w:val="00CA3B72"/>
    <w:rsid w:val="00CA5FB7"/>
    <w:rsid w:val="00CA667D"/>
    <w:rsid w:val="00CB0A29"/>
    <w:rsid w:val="00CB6D25"/>
    <w:rsid w:val="00CC4EF3"/>
    <w:rsid w:val="00CD1ADB"/>
    <w:rsid w:val="00CD205E"/>
    <w:rsid w:val="00CD46ED"/>
    <w:rsid w:val="00CE5995"/>
    <w:rsid w:val="00D13477"/>
    <w:rsid w:val="00D14E48"/>
    <w:rsid w:val="00D15DD5"/>
    <w:rsid w:val="00D17F9C"/>
    <w:rsid w:val="00D225B4"/>
    <w:rsid w:val="00D2765B"/>
    <w:rsid w:val="00D43202"/>
    <w:rsid w:val="00D43902"/>
    <w:rsid w:val="00D44B58"/>
    <w:rsid w:val="00D60D39"/>
    <w:rsid w:val="00D704BA"/>
    <w:rsid w:val="00D71996"/>
    <w:rsid w:val="00D74B57"/>
    <w:rsid w:val="00D76977"/>
    <w:rsid w:val="00D77A62"/>
    <w:rsid w:val="00D82D89"/>
    <w:rsid w:val="00D953CD"/>
    <w:rsid w:val="00DA28A6"/>
    <w:rsid w:val="00DA4143"/>
    <w:rsid w:val="00DA4C63"/>
    <w:rsid w:val="00DA509C"/>
    <w:rsid w:val="00DA5A87"/>
    <w:rsid w:val="00DB2C44"/>
    <w:rsid w:val="00DB6FAC"/>
    <w:rsid w:val="00DC3D1D"/>
    <w:rsid w:val="00DD20BE"/>
    <w:rsid w:val="00DE0759"/>
    <w:rsid w:val="00DF64DD"/>
    <w:rsid w:val="00E057A6"/>
    <w:rsid w:val="00E103E3"/>
    <w:rsid w:val="00E11BF6"/>
    <w:rsid w:val="00E14291"/>
    <w:rsid w:val="00E17B86"/>
    <w:rsid w:val="00E27779"/>
    <w:rsid w:val="00E32F4A"/>
    <w:rsid w:val="00E57FAD"/>
    <w:rsid w:val="00E61C66"/>
    <w:rsid w:val="00E62EA1"/>
    <w:rsid w:val="00E801B9"/>
    <w:rsid w:val="00E8706F"/>
    <w:rsid w:val="00E909C2"/>
    <w:rsid w:val="00E93E7F"/>
    <w:rsid w:val="00EA6CEF"/>
    <w:rsid w:val="00EA6DEB"/>
    <w:rsid w:val="00EB0689"/>
    <w:rsid w:val="00EB0E9E"/>
    <w:rsid w:val="00EB623D"/>
    <w:rsid w:val="00EB75E5"/>
    <w:rsid w:val="00EE27ED"/>
    <w:rsid w:val="00EE6AF5"/>
    <w:rsid w:val="00EF05BE"/>
    <w:rsid w:val="00EF35A6"/>
    <w:rsid w:val="00EF370F"/>
    <w:rsid w:val="00F0347B"/>
    <w:rsid w:val="00F043CD"/>
    <w:rsid w:val="00F078B4"/>
    <w:rsid w:val="00F125AB"/>
    <w:rsid w:val="00F16E5B"/>
    <w:rsid w:val="00F2240A"/>
    <w:rsid w:val="00F234E4"/>
    <w:rsid w:val="00F26FC9"/>
    <w:rsid w:val="00F27D85"/>
    <w:rsid w:val="00F27F12"/>
    <w:rsid w:val="00F37199"/>
    <w:rsid w:val="00F41374"/>
    <w:rsid w:val="00F46934"/>
    <w:rsid w:val="00F476CF"/>
    <w:rsid w:val="00F52CD8"/>
    <w:rsid w:val="00F57E05"/>
    <w:rsid w:val="00F63610"/>
    <w:rsid w:val="00F63F03"/>
    <w:rsid w:val="00F67FEF"/>
    <w:rsid w:val="00F77BD4"/>
    <w:rsid w:val="00F82B84"/>
    <w:rsid w:val="00F8516E"/>
    <w:rsid w:val="00F872B3"/>
    <w:rsid w:val="00F96C19"/>
    <w:rsid w:val="00FA071D"/>
    <w:rsid w:val="00FA4D92"/>
    <w:rsid w:val="00FA6E38"/>
    <w:rsid w:val="00FB3B8F"/>
    <w:rsid w:val="00FC79CE"/>
    <w:rsid w:val="00FD0703"/>
    <w:rsid w:val="00FD37F6"/>
    <w:rsid w:val="00FE4275"/>
    <w:rsid w:val="00FF5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4E"/>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374E"/>
    <w:rPr>
      <w:color w:val="0000FF"/>
      <w:u w:val="single"/>
    </w:rPr>
  </w:style>
  <w:style w:type="paragraph" w:styleId="ListParagraph">
    <w:name w:val="List Paragraph"/>
    <w:basedOn w:val="Normal"/>
    <w:uiPriority w:val="34"/>
    <w:qFormat/>
    <w:rsid w:val="0070374E"/>
    <w:pPr>
      <w:ind w:left="720"/>
    </w:pPr>
  </w:style>
  <w:style w:type="paragraph" w:styleId="BalloonText">
    <w:name w:val="Balloon Text"/>
    <w:basedOn w:val="Normal"/>
    <w:link w:val="BalloonTextChar"/>
    <w:uiPriority w:val="99"/>
    <w:semiHidden/>
    <w:unhideWhenUsed/>
    <w:rsid w:val="001E7ED8"/>
    <w:rPr>
      <w:rFonts w:ascii="Tahoma" w:hAnsi="Tahoma" w:cs="Tahoma"/>
      <w:sz w:val="16"/>
      <w:szCs w:val="16"/>
    </w:rPr>
  </w:style>
  <w:style w:type="character" w:customStyle="1" w:styleId="BalloonTextChar">
    <w:name w:val="Balloon Text Char"/>
    <w:basedOn w:val="DefaultParagraphFont"/>
    <w:link w:val="BalloonText"/>
    <w:uiPriority w:val="99"/>
    <w:semiHidden/>
    <w:rsid w:val="001E7ED8"/>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5E0790"/>
    <w:rPr>
      <w:sz w:val="16"/>
      <w:szCs w:val="16"/>
    </w:rPr>
  </w:style>
  <w:style w:type="paragraph" w:styleId="CommentText">
    <w:name w:val="annotation text"/>
    <w:basedOn w:val="Normal"/>
    <w:link w:val="CommentTextChar"/>
    <w:uiPriority w:val="99"/>
    <w:semiHidden/>
    <w:unhideWhenUsed/>
    <w:rsid w:val="005E0790"/>
    <w:rPr>
      <w:sz w:val="20"/>
      <w:szCs w:val="20"/>
    </w:rPr>
  </w:style>
  <w:style w:type="character" w:customStyle="1" w:styleId="CommentTextChar">
    <w:name w:val="Comment Text Char"/>
    <w:basedOn w:val="DefaultParagraphFont"/>
    <w:link w:val="CommentText"/>
    <w:uiPriority w:val="99"/>
    <w:semiHidden/>
    <w:rsid w:val="005E0790"/>
    <w:rPr>
      <w:rFonts w:eastAsiaTheme="minorHAnsi"/>
    </w:rPr>
  </w:style>
  <w:style w:type="paragraph" w:styleId="CommentSubject">
    <w:name w:val="annotation subject"/>
    <w:basedOn w:val="CommentText"/>
    <w:next w:val="CommentText"/>
    <w:link w:val="CommentSubjectChar"/>
    <w:uiPriority w:val="99"/>
    <w:semiHidden/>
    <w:unhideWhenUsed/>
    <w:rsid w:val="005E0790"/>
    <w:rPr>
      <w:b/>
      <w:bCs/>
    </w:rPr>
  </w:style>
  <w:style w:type="character" w:customStyle="1" w:styleId="CommentSubjectChar">
    <w:name w:val="Comment Subject Char"/>
    <w:basedOn w:val="CommentTextChar"/>
    <w:link w:val="CommentSubject"/>
    <w:uiPriority w:val="99"/>
    <w:semiHidden/>
    <w:rsid w:val="005E0790"/>
    <w:rPr>
      <w:rFonts w:eastAsiaTheme="minorHAns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4E"/>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374E"/>
    <w:rPr>
      <w:color w:val="0000FF"/>
      <w:u w:val="single"/>
    </w:rPr>
  </w:style>
  <w:style w:type="paragraph" w:styleId="ListParagraph">
    <w:name w:val="List Paragraph"/>
    <w:basedOn w:val="Normal"/>
    <w:uiPriority w:val="34"/>
    <w:qFormat/>
    <w:rsid w:val="0070374E"/>
    <w:pPr>
      <w:ind w:left="720"/>
    </w:pPr>
  </w:style>
  <w:style w:type="paragraph" w:styleId="BalloonText">
    <w:name w:val="Balloon Text"/>
    <w:basedOn w:val="Normal"/>
    <w:link w:val="BalloonTextChar"/>
    <w:uiPriority w:val="99"/>
    <w:semiHidden/>
    <w:unhideWhenUsed/>
    <w:rsid w:val="001E7ED8"/>
    <w:rPr>
      <w:rFonts w:ascii="Tahoma" w:hAnsi="Tahoma" w:cs="Tahoma"/>
      <w:sz w:val="16"/>
      <w:szCs w:val="16"/>
    </w:rPr>
  </w:style>
  <w:style w:type="character" w:customStyle="1" w:styleId="BalloonTextChar">
    <w:name w:val="Balloon Text Char"/>
    <w:basedOn w:val="DefaultParagraphFont"/>
    <w:link w:val="BalloonText"/>
    <w:uiPriority w:val="99"/>
    <w:semiHidden/>
    <w:rsid w:val="001E7ED8"/>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5E0790"/>
    <w:rPr>
      <w:sz w:val="16"/>
      <w:szCs w:val="16"/>
    </w:rPr>
  </w:style>
  <w:style w:type="paragraph" w:styleId="CommentText">
    <w:name w:val="annotation text"/>
    <w:basedOn w:val="Normal"/>
    <w:link w:val="CommentTextChar"/>
    <w:uiPriority w:val="99"/>
    <w:semiHidden/>
    <w:unhideWhenUsed/>
    <w:rsid w:val="005E0790"/>
    <w:rPr>
      <w:sz w:val="20"/>
      <w:szCs w:val="20"/>
    </w:rPr>
  </w:style>
  <w:style w:type="character" w:customStyle="1" w:styleId="CommentTextChar">
    <w:name w:val="Comment Text Char"/>
    <w:basedOn w:val="DefaultParagraphFont"/>
    <w:link w:val="CommentText"/>
    <w:uiPriority w:val="99"/>
    <w:semiHidden/>
    <w:rsid w:val="005E0790"/>
    <w:rPr>
      <w:rFonts w:eastAsiaTheme="minorHAnsi"/>
    </w:rPr>
  </w:style>
  <w:style w:type="paragraph" w:styleId="CommentSubject">
    <w:name w:val="annotation subject"/>
    <w:basedOn w:val="CommentText"/>
    <w:next w:val="CommentText"/>
    <w:link w:val="CommentSubjectChar"/>
    <w:uiPriority w:val="99"/>
    <w:semiHidden/>
    <w:unhideWhenUsed/>
    <w:rsid w:val="005E0790"/>
    <w:rPr>
      <w:b/>
      <w:bCs/>
    </w:rPr>
  </w:style>
  <w:style w:type="character" w:customStyle="1" w:styleId="CommentSubjectChar">
    <w:name w:val="Comment Subject Char"/>
    <w:basedOn w:val="CommentTextChar"/>
    <w:link w:val="CommentSubject"/>
    <w:uiPriority w:val="99"/>
    <w:semiHidden/>
    <w:rsid w:val="005E0790"/>
    <w:rPr>
      <w:rFonts w:eastAsiaTheme="minorHAnsi"/>
      <w:b/>
      <w:bCs/>
    </w:rPr>
  </w:style>
</w:styles>
</file>

<file path=word/webSettings.xml><?xml version="1.0" encoding="utf-8"?>
<w:webSettings xmlns:r="http://schemas.openxmlformats.org/officeDocument/2006/relationships" xmlns:w="http://schemas.openxmlformats.org/wordprocessingml/2006/main">
  <w:divs>
    <w:div w:id="25390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services/rq/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cot.com/services/index.html" TargetMode="External"/><Relationship Id="rId5" Type="http://schemas.openxmlformats.org/officeDocument/2006/relationships/hyperlink" Target="http://www.ercot.com/"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mstout</dc:creator>
  <cp:lastModifiedBy>balbracht</cp:lastModifiedBy>
  <cp:revision>2</cp:revision>
  <dcterms:created xsi:type="dcterms:W3CDTF">2012-03-01T20:24:00Z</dcterms:created>
  <dcterms:modified xsi:type="dcterms:W3CDTF">2012-03-01T20:24:00Z</dcterms:modified>
</cp:coreProperties>
</file>