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266" w:rsidRPr="00AC05C3" w:rsidRDefault="00A0788C" w:rsidP="00A0788C">
      <w:pPr>
        <w:spacing w:after="0"/>
        <w:jc w:val="center"/>
        <w:rPr>
          <w:sz w:val="28"/>
        </w:rPr>
      </w:pPr>
      <w:r w:rsidRPr="00AC05C3">
        <w:rPr>
          <w:sz w:val="28"/>
        </w:rPr>
        <w:t>Operations Working Group Report</w:t>
      </w:r>
    </w:p>
    <w:p w:rsidR="00A0788C" w:rsidRDefault="00A0788C" w:rsidP="00A0788C">
      <w:pPr>
        <w:spacing w:after="0"/>
        <w:jc w:val="center"/>
      </w:pPr>
      <w:r>
        <w:t>February, 2012</w:t>
      </w:r>
    </w:p>
    <w:p w:rsidR="00A0788C" w:rsidRDefault="00A0788C" w:rsidP="00A0788C">
      <w:pPr>
        <w:spacing w:after="0"/>
        <w:jc w:val="center"/>
      </w:pPr>
    </w:p>
    <w:p w:rsidR="00A0788C" w:rsidRDefault="00A0788C" w:rsidP="00A0788C">
      <w:pPr>
        <w:spacing w:after="0"/>
      </w:pPr>
      <w:r w:rsidRPr="00A0788C">
        <w:t>The Operations Wor</w:t>
      </w:r>
      <w:r>
        <w:t>king Group (OWG) met on January 30</w:t>
      </w:r>
      <w:r w:rsidRPr="00A0788C">
        <w:t>, 201</w:t>
      </w:r>
      <w:r>
        <w:t>2 an</w:t>
      </w:r>
      <w:r w:rsidR="00BD3F7D">
        <w:t>d considered the following</w:t>
      </w:r>
      <w:r>
        <w:t>:</w:t>
      </w:r>
    </w:p>
    <w:p w:rsidR="00A0788C" w:rsidRDefault="00A0788C" w:rsidP="00A0788C">
      <w:pPr>
        <w:spacing w:after="0"/>
      </w:pPr>
    </w:p>
    <w:p w:rsidR="00A0788C" w:rsidRPr="00521C01" w:rsidRDefault="00DC08A7" w:rsidP="00A0788C">
      <w:pPr>
        <w:spacing w:after="0"/>
        <w:rPr>
          <w:b/>
          <w:sz w:val="24"/>
        </w:rPr>
      </w:pPr>
      <w:r w:rsidRPr="00521C01">
        <w:rPr>
          <w:b/>
          <w:sz w:val="24"/>
        </w:rPr>
        <w:t xml:space="preserve">December OWG Meeting Minutes Review – </w:t>
      </w:r>
    </w:p>
    <w:p w:rsidR="00DC08A7" w:rsidRDefault="00DC08A7" w:rsidP="00A0788C">
      <w:pPr>
        <w:spacing w:after="0"/>
      </w:pPr>
      <w:r>
        <w:t>The working group reviewed and approved the December meeting minutes.</w:t>
      </w:r>
    </w:p>
    <w:p w:rsidR="00DC08A7" w:rsidRDefault="00DC08A7" w:rsidP="00A0788C">
      <w:pPr>
        <w:spacing w:after="0"/>
      </w:pPr>
    </w:p>
    <w:p w:rsidR="00DC08A7" w:rsidRPr="00521C01" w:rsidRDefault="00BD3F7D" w:rsidP="00A0788C">
      <w:pPr>
        <w:spacing w:after="0"/>
        <w:rPr>
          <w:b/>
          <w:sz w:val="24"/>
        </w:rPr>
      </w:pPr>
      <w:r>
        <w:rPr>
          <w:b/>
          <w:sz w:val="24"/>
        </w:rPr>
        <w:t>Revision Request R</w:t>
      </w:r>
      <w:r w:rsidR="00DC08A7" w:rsidRPr="00521C01">
        <w:rPr>
          <w:b/>
          <w:sz w:val="24"/>
        </w:rPr>
        <w:t xml:space="preserve">eview – </w:t>
      </w:r>
    </w:p>
    <w:p w:rsidR="00D229AE" w:rsidRDefault="00D229AE" w:rsidP="00A0788C">
      <w:pPr>
        <w:spacing w:after="0"/>
      </w:pPr>
    </w:p>
    <w:tbl>
      <w:tblPr>
        <w:tblStyle w:val="TableGrid"/>
        <w:tblpPr w:leftFromText="180" w:rightFromText="180" w:vertAnchor="text" w:tblpXSpec="center" w:tblpY="1"/>
        <w:tblOverlap w:val="never"/>
        <w:tblW w:w="0" w:type="auto"/>
        <w:tblLook w:val="04A0"/>
      </w:tblPr>
      <w:tblGrid>
        <w:gridCol w:w="6390"/>
      </w:tblGrid>
      <w:tr w:rsidR="00D229AE" w:rsidRPr="00D229AE" w:rsidTr="00662858">
        <w:tc>
          <w:tcPr>
            <w:tcW w:w="6390" w:type="dxa"/>
            <w:shd w:val="clear" w:color="auto" w:fill="000000" w:themeFill="text1"/>
          </w:tcPr>
          <w:p w:rsidR="00D229AE" w:rsidRPr="00D229AE" w:rsidRDefault="00D229AE" w:rsidP="00EE2055">
            <w:pPr>
              <w:jc w:val="center"/>
              <w:rPr>
                <w:b/>
              </w:rPr>
            </w:pPr>
            <w:r w:rsidRPr="00D229AE">
              <w:rPr>
                <w:b/>
              </w:rPr>
              <w:t>084NOGRR</w:t>
            </w:r>
          </w:p>
        </w:tc>
      </w:tr>
      <w:tr w:rsidR="00D229AE" w:rsidRPr="00D229AE" w:rsidTr="00662858">
        <w:tc>
          <w:tcPr>
            <w:tcW w:w="6390" w:type="dxa"/>
          </w:tcPr>
          <w:p w:rsidR="00D229AE" w:rsidRPr="00D229AE" w:rsidRDefault="00D229AE" w:rsidP="00EE2055">
            <w:pPr>
              <w:jc w:val="center"/>
              <w:rPr>
                <w:b/>
              </w:rPr>
            </w:pPr>
            <w:r w:rsidRPr="00D229AE">
              <w:rPr>
                <w:b/>
              </w:rPr>
              <w:t>Daily Grid Operations Summary Report.</w:t>
            </w:r>
          </w:p>
        </w:tc>
      </w:tr>
      <w:tr w:rsidR="00D229AE" w:rsidTr="00662858">
        <w:tc>
          <w:tcPr>
            <w:tcW w:w="6390" w:type="dxa"/>
          </w:tcPr>
          <w:p w:rsidR="00D229AE" w:rsidRDefault="00D229AE" w:rsidP="00EE2055">
            <w:pPr>
              <w:jc w:val="center"/>
            </w:pPr>
            <w:r>
              <w:t>Impact Analysis Review</w:t>
            </w:r>
          </w:p>
        </w:tc>
      </w:tr>
      <w:tr w:rsidR="00D229AE" w:rsidTr="00662858">
        <w:tc>
          <w:tcPr>
            <w:tcW w:w="6390" w:type="dxa"/>
          </w:tcPr>
          <w:p w:rsidR="00D229AE" w:rsidRDefault="00D229AE" w:rsidP="00EE2055">
            <w:pPr>
              <w:jc w:val="center"/>
            </w:pPr>
            <w:r w:rsidRPr="004805AC">
              <w:rPr>
                <w:b/>
              </w:rPr>
              <w:t>OWG Action</w:t>
            </w:r>
            <w:r>
              <w:t xml:space="preserve">: </w:t>
            </w:r>
            <w:r w:rsidRPr="004805AC">
              <w:rPr>
                <w:color w:val="FF0000"/>
              </w:rPr>
              <w:t>Tabled for one month</w:t>
            </w:r>
          </w:p>
        </w:tc>
      </w:tr>
      <w:tr w:rsidR="00D229AE" w:rsidTr="00662858">
        <w:tc>
          <w:tcPr>
            <w:tcW w:w="6390" w:type="dxa"/>
          </w:tcPr>
          <w:p w:rsidR="00734CA7" w:rsidRDefault="00734CA7" w:rsidP="00EE2055">
            <w:pPr>
              <w:jc w:val="center"/>
            </w:pPr>
            <w:r>
              <w:t>Discussion:</w:t>
            </w:r>
          </w:p>
          <w:p w:rsidR="00D229AE" w:rsidRDefault="00D229AE" w:rsidP="00EE2055">
            <w:pPr>
              <w:jc w:val="center"/>
            </w:pPr>
            <w:r>
              <w:t>The Impact Analysis cost estimation</w:t>
            </w:r>
            <w:r w:rsidR="00B33277">
              <w:t xml:space="preserve"> ($300-500K)</w:t>
            </w:r>
            <w:r>
              <w:t>, need for additional FTEs, and implementation timeline</w:t>
            </w:r>
            <w:r w:rsidR="00992EBA">
              <w:t xml:space="preserve"> was a cause of concern to the working group.  The OWG asked </w:t>
            </w:r>
            <w:r w:rsidR="008B4377">
              <w:t xml:space="preserve">Mr. </w:t>
            </w:r>
            <w:r w:rsidR="00992EBA">
              <w:t>Bill Blevins</w:t>
            </w:r>
            <w:r w:rsidR="008B4377">
              <w:t>, ERCOT</w:t>
            </w:r>
            <w:r w:rsidR="00992EBA">
              <w:t xml:space="preserve"> to provide detailed information on eac</w:t>
            </w:r>
            <w:r w:rsidR="00447403">
              <w:t>h of the approximate</w:t>
            </w:r>
            <w:r w:rsidR="00992EBA">
              <w:t xml:space="preserve"> 20 items </w:t>
            </w:r>
            <w:r w:rsidR="00447403">
              <w:t>included in the summary</w:t>
            </w:r>
            <w:r w:rsidR="00992EBA">
              <w:t>.</w:t>
            </w:r>
            <w:r w:rsidR="004805AC">
              <w:t xml:space="preserve">  This </w:t>
            </w:r>
            <w:r w:rsidR="00B33277">
              <w:t xml:space="preserve">information </w:t>
            </w:r>
            <w:r w:rsidR="004805AC">
              <w:t xml:space="preserve">will </w:t>
            </w:r>
            <w:r w:rsidR="00B33277">
              <w:t>provide</w:t>
            </w:r>
            <w:r w:rsidR="004805AC">
              <w:t xml:space="preserve"> both ERCOT and Market Participants </w:t>
            </w:r>
            <w:r w:rsidR="00B33277">
              <w:t>a clearer picture of</w:t>
            </w:r>
            <w:r w:rsidR="004805AC">
              <w:t xml:space="preserve"> the </w:t>
            </w:r>
            <w:r w:rsidR="00B33277">
              <w:t>implementation time and cost</w:t>
            </w:r>
            <w:r w:rsidR="004805AC">
              <w:t xml:space="preserve"> </w:t>
            </w:r>
            <w:r w:rsidR="008B4377">
              <w:t>for</w:t>
            </w:r>
            <w:r w:rsidR="004805AC">
              <w:t xml:space="preserve"> </w:t>
            </w:r>
            <w:r w:rsidR="00B33277">
              <w:t xml:space="preserve">each of </w:t>
            </w:r>
            <w:r w:rsidR="004805AC">
              <w:t xml:space="preserve">the various </w:t>
            </w:r>
            <w:r w:rsidR="008B4377">
              <w:t xml:space="preserve">summary </w:t>
            </w:r>
            <w:r w:rsidR="004805AC">
              <w:t>items</w:t>
            </w:r>
            <w:r w:rsidR="00447403">
              <w:t>.</w:t>
            </w:r>
          </w:p>
          <w:p w:rsidR="004805AC" w:rsidRDefault="004805AC" w:rsidP="00EE2055">
            <w:pPr>
              <w:jc w:val="center"/>
            </w:pPr>
          </w:p>
          <w:p w:rsidR="004805AC" w:rsidRDefault="004805AC" w:rsidP="00EE2055">
            <w:pPr>
              <w:jc w:val="center"/>
            </w:pPr>
            <w:r>
              <w:t xml:space="preserve">The OWG will also request that the QMWG and other concerned groups be prepared to make their case for the pros and cons </w:t>
            </w:r>
            <w:r w:rsidR="00B33277">
              <w:t>(market</w:t>
            </w:r>
            <w:r w:rsidR="005B14A9">
              <w:t xml:space="preserve"> benefit vs. implementation cost) </w:t>
            </w:r>
            <w:r>
              <w:t>of each item.</w:t>
            </w:r>
          </w:p>
          <w:p w:rsidR="00364ED7" w:rsidRDefault="00364ED7" w:rsidP="00EE2055">
            <w:pPr>
              <w:jc w:val="center"/>
            </w:pPr>
          </w:p>
        </w:tc>
      </w:tr>
    </w:tbl>
    <w:p w:rsidR="00DC08A7" w:rsidRDefault="00EE2055" w:rsidP="00A0788C">
      <w:pPr>
        <w:spacing w:after="0"/>
      </w:pPr>
      <w:r>
        <w:br w:type="textWrapping" w:clear="all"/>
      </w:r>
    </w:p>
    <w:p w:rsidR="00662858" w:rsidRDefault="00662858" w:rsidP="00A0788C">
      <w:pPr>
        <w:spacing w:after="0"/>
      </w:pPr>
    </w:p>
    <w:tbl>
      <w:tblPr>
        <w:tblStyle w:val="TableGrid"/>
        <w:tblW w:w="6390" w:type="dxa"/>
        <w:tblInd w:w="1638" w:type="dxa"/>
        <w:tblLook w:val="04A0"/>
      </w:tblPr>
      <w:tblGrid>
        <w:gridCol w:w="6390"/>
      </w:tblGrid>
      <w:tr w:rsidR="00662858" w:rsidTr="00662858">
        <w:tc>
          <w:tcPr>
            <w:tcW w:w="6390" w:type="dxa"/>
            <w:shd w:val="clear" w:color="auto" w:fill="000000" w:themeFill="text1"/>
          </w:tcPr>
          <w:p w:rsidR="00662858" w:rsidRPr="00D229AE" w:rsidRDefault="00662858" w:rsidP="00662858">
            <w:pPr>
              <w:jc w:val="center"/>
              <w:rPr>
                <w:b/>
              </w:rPr>
            </w:pPr>
            <w:r>
              <w:rPr>
                <w:b/>
              </w:rPr>
              <w:t>085</w:t>
            </w:r>
            <w:r w:rsidRPr="00D229AE">
              <w:rPr>
                <w:b/>
              </w:rPr>
              <w:t>NOGRR</w:t>
            </w:r>
          </w:p>
        </w:tc>
      </w:tr>
      <w:tr w:rsidR="00662858" w:rsidTr="00662858">
        <w:tc>
          <w:tcPr>
            <w:tcW w:w="6390" w:type="dxa"/>
          </w:tcPr>
          <w:p w:rsidR="00662858" w:rsidRPr="00D229AE" w:rsidRDefault="00662858" w:rsidP="00662858">
            <w:pPr>
              <w:jc w:val="center"/>
              <w:rPr>
                <w:b/>
              </w:rPr>
            </w:pPr>
            <w:r w:rsidRPr="00EE2055">
              <w:rPr>
                <w:b/>
              </w:rPr>
              <w:t>Replace TML References with MIS</w:t>
            </w:r>
          </w:p>
        </w:tc>
      </w:tr>
      <w:tr w:rsidR="00662858" w:rsidTr="00662858">
        <w:tc>
          <w:tcPr>
            <w:tcW w:w="6390" w:type="dxa"/>
          </w:tcPr>
          <w:p w:rsidR="00662858" w:rsidRDefault="00662858" w:rsidP="00662858">
            <w:pPr>
              <w:jc w:val="center"/>
            </w:pPr>
            <w:r>
              <w:t>Impact Analysis Review</w:t>
            </w:r>
          </w:p>
        </w:tc>
      </w:tr>
      <w:tr w:rsidR="00662858" w:rsidTr="00662858">
        <w:tc>
          <w:tcPr>
            <w:tcW w:w="6390" w:type="dxa"/>
          </w:tcPr>
          <w:p w:rsidR="00662858" w:rsidRDefault="00662858" w:rsidP="00662858">
            <w:pPr>
              <w:jc w:val="center"/>
            </w:pPr>
            <w:r w:rsidRPr="004805AC">
              <w:rPr>
                <w:b/>
              </w:rPr>
              <w:t>OWG Action</w:t>
            </w:r>
            <w:r>
              <w:t xml:space="preserve">: </w:t>
            </w:r>
            <w:r w:rsidRPr="00EE2055">
              <w:rPr>
                <w:color w:val="00B050"/>
              </w:rPr>
              <w:t>OWG recommends ROS approval</w:t>
            </w:r>
          </w:p>
        </w:tc>
      </w:tr>
      <w:tr w:rsidR="00662858" w:rsidTr="00662858">
        <w:tc>
          <w:tcPr>
            <w:tcW w:w="6390" w:type="dxa"/>
          </w:tcPr>
          <w:p w:rsidR="00BD3F7D" w:rsidRDefault="00662858" w:rsidP="00662858">
            <w:pPr>
              <w:jc w:val="center"/>
            </w:pPr>
            <w:r>
              <w:t>Discussion:</w:t>
            </w:r>
          </w:p>
          <w:p w:rsidR="00662858" w:rsidRDefault="00BD3F7D" w:rsidP="00662858">
            <w:pPr>
              <w:jc w:val="center"/>
            </w:pPr>
            <w:r>
              <w:t>This revision request was recommended for approval following a review of the Impact Analysis.</w:t>
            </w:r>
          </w:p>
          <w:p w:rsidR="00364ED7" w:rsidRDefault="00364ED7" w:rsidP="00662858">
            <w:pPr>
              <w:jc w:val="center"/>
            </w:pPr>
          </w:p>
        </w:tc>
      </w:tr>
    </w:tbl>
    <w:p w:rsidR="00EE2055" w:rsidRDefault="00EE2055" w:rsidP="00A0788C">
      <w:pPr>
        <w:spacing w:after="0"/>
      </w:pPr>
    </w:p>
    <w:p w:rsidR="00662858" w:rsidRDefault="00662858" w:rsidP="00A0788C">
      <w:pPr>
        <w:spacing w:after="0"/>
      </w:pPr>
    </w:p>
    <w:tbl>
      <w:tblPr>
        <w:tblStyle w:val="TableGrid"/>
        <w:tblW w:w="6390" w:type="dxa"/>
        <w:tblInd w:w="1638" w:type="dxa"/>
        <w:tblLook w:val="04A0"/>
      </w:tblPr>
      <w:tblGrid>
        <w:gridCol w:w="6390"/>
      </w:tblGrid>
      <w:tr w:rsidR="00662858" w:rsidTr="00662858">
        <w:tc>
          <w:tcPr>
            <w:tcW w:w="6390" w:type="dxa"/>
            <w:shd w:val="clear" w:color="auto" w:fill="000000" w:themeFill="text1"/>
          </w:tcPr>
          <w:p w:rsidR="00662858" w:rsidRPr="00D229AE" w:rsidRDefault="00662858" w:rsidP="00662858">
            <w:pPr>
              <w:jc w:val="center"/>
              <w:rPr>
                <w:b/>
              </w:rPr>
            </w:pPr>
            <w:r>
              <w:rPr>
                <w:b/>
              </w:rPr>
              <w:t>086</w:t>
            </w:r>
            <w:r w:rsidRPr="00D229AE">
              <w:rPr>
                <w:b/>
              </w:rPr>
              <w:t>NOGRR</w:t>
            </w:r>
          </w:p>
        </w:tc>
      </w:tr>
      <w:tr w:rsidR="00662858" w:rsidTr="00662858">
        <w:tc>
          <w:tcPr>
            <w:tcW w:w="6390" w:type="dxa"/>
          </w:tcPr>
          <w:p w:rsidR="00662858" w:rsidRPr="00D229AE" w:rsidRDefault="00662858" w:rsidP="00662858">
            <w:pPr>
              <w:jc w:val="center"/>
              <w:rPr>
                <w:b/>
              </w:rPr>
            </w:pPr>
            <w:r w:rsidRPr="00DB285C">
              <w:rPr>
                <w:b/>
              </w:rPr>
              <w:t>Clarification of Seasonal Unit Capability Testing Requirements</w:t>
            </w:r>
          </w:p>
        </w:tc>
      </w:tr>
      <w:tr w:rsidR="00662858" w:rsidTr="00662858">
        <w:tc>
          <w:tcPr>
            <w:tcW w:w="6390" w:type="dxa"/>
          </w:tcPr>
          <w:p w:rsidR="00662858" w:rsidRDefault="00662858" w:rsidP="00662858">
            <w:pPr>
              <w:jc w:val="center"/>
            </w:pPr>
            <w:r>
              <w:t>Language Review</w:t>
            </w:r>
          </w:p>
        </w:tc>
      </w:tr>
      <w:tr w:rsidR="00662858" w:rsidTr="00662858">
        <w:tc>
          <w:tcPr>
            <w:tcW w:w="6390" w:type="dxa"/>
          </w:tcPr>
          <w:p w:rsidR="00662858" w:rsidRDefault="00662858" w:rsidP="00662858">
            <w:pPr>
              <w:jc w:val="center"/>
            </w:pPr>
            <w:r w:rsidRPr="004805AC">
              <w:rPr>
                <w:b/>
              </w:rPr>
              <w:t>OWG Action</w:t>
            </w:r>
            <w:r>
              <w:t xml:space="preserve">: </w:t>
            </w:r>
            <w:r w:rsidRPr="00DB285C">
              <w:rPr>
                <w:color w:val="FF0000"/>
              </w:rPr>
              <w:t>Tabled for one month</w:t>
            </w:r>
          </w:p>
        </w:tc>
      </w:tr>
      <w:tr w:rsidR="00662858" w:rsidTr="00662858">
        <w:tc>
          <w:tcPr>
            <w:tcW w:w="6390" w:type="dxa"/>
          </w:tcPr>
          <w:p w:rsidR="00734CA7" w:rsidRDefault="00662858" w:rsidP="00662858">
            <w:pPr>
              <w:jc w:val="center"/>
            </w:pPr>
            <w:r>
              <w:t>Discussion:</w:t>
            </w:r>
          </w:p>
          <w:p w:rsidR="00662858" w:rsidRDefault="00F926A6" w:rsidP="00447403">
            <w:pPr>
              <w:jc w:val="center"/>
            </w:pPr>
            <w:r>
              <w:lastRenderedPageBreak/>
              <w:t>T</w:t>
            </w:r>
            <w:r w:rsidR="00662858">
              <w:t>h</w:t>
            </w:r>
            <w:r>
              <w:t xml:space="preserve">e QMWG and PLWG </w:t>
            </w:r>
            <w:r w:rsidR="00662858">
              <w:t xml:space="preserve">review indicates that </w:t>
            </w:r>
            <w:r w:rsidR="00447403">
              <w:t xml:space="preserve">changing the season start and ending </w:t>
            </w:r>
            <w:r w:rsidR="008B4377">
              <w:t xml:space="preserve">dates </w:t>
            </w:r>
            <w:r w:rsidR="00447403">
              <w:t xml:space="preserve">may result in </w:t>
            </w:r>
            <w:r w:rsidR="00662858">
              <w:t xml:space="preserve">unrealized </w:t>
            </w:r>
            <w:r w:rsidR="00BA3F5E">
              <w:t xml:space="preserve">negative </w:t>
            </w:r>
            <w:r w:rsidR="00662858">
              <w:t>consequences</w:t>
            </w:r>
            <w:r w:rsidR="00BA3F5E">
              <w:t xml:space="preserve"> </w:t>
            </w:r>
            <w:r w:rsidR="00812757">
              <w:t xml:space="preserve">especially </w:t>
            </w:r>
            <w:r w:rsidR="00BA3F5E">
              <w:t>when applied</w:t>
            </w:r>
            <w:r w:rsidR="00447403">
              <w:t xml:space="preserve"> to </w:t>
            </w:r>
            <w:r w:rsidR="00BA3F5E">
              <w:t xml:space="preserve">other processes such as </w:t>
            </w:r>
            <w:r w:rsidR="00447403">
              <w:t>4</w:t>
            </w:r>
            <w:r w:rsidR="00BA3F5E">
              <w:t>-</w:t>
            </w:r>
            <w:r w:rsidR="00447403">
              <w:t xml:space="preserve">CP </w:t>
            </w:r>
            <w:r w:rsidR="00BA3F5E">
              <w:t xml:space="preserve">Coincidental </w:t>
            </w:r>
            <w:r w:rsidR="00447403">
              <w:t>Peak Load Calculations</w:t>
            </w:r>
            <w:r w:rsidR="00662858">
              <w:t xml:space="preserve">.  The </w:t>
            </w:r>
            <w:r>
              <w:t>OWG</w:t>
            </w:r>
            <w:r w:rsidR="00662858">
              <w:t xml:space="preserve"> agreed to table this revision request for one month to allow the concerned working groups and task forces more time to consider the full impact.</w:t>
            </w:r>
          </w:p>
          <w:p w:rsidR="00364ED7" w:rsidRDefault="00364ED7" w:rsidP="00447403">
            <w:pPr>
              <w:jc w:val="center"/>
            </w:pPr>
          </w:p>
        </w:tc>
      </w:tr>
      <w:tr w:rsidR="00FF4593" w:rsidTr="00662858">
        <w:tc>
          <w:tcPr>
            <w:tcW w:w="6390" w:type="dxa"/>
          </w:tcPr>
          <w:p w:rsidR="00FF4593" w:rsidRDefault="00FF4593" w:rsidP="00662858">
            <w:pPr>
              <w:jc w:val="center"/>
            </w:pPr>
            <w:r>
              <w:lastRenderedPageBreak/>
              <w:t>Related Item</w:t>
            </w:r>
            <w:r w:rsidR="00BA3F5E">
              <w:t xml:space="preserve"> (s)</w:t>
            </w:r>
          </w:p>
        </w:tc>
      </w:tr>
      <w:tr w:rsidR="00FF4593" w:rsidTr="00812757">
        <w:tc>
          <w:tcPr>
            <w:tcW w:w="6390" w:type="dxa"/>
            <w:shd w:val="clear" w:color="auto" w:fill="000000" w:themeFill="text1"/>
          </w:tcPr>
          <w:p w:rsidR="00FF4593" w:rsidRPr="00BA3F5E" w:rsidRDefault="00FF4593" w:rsidP="00662858">
            <w:pPr>
              <w:jc w:val="center"/>
              <w:rPr>
                <w:b/>
              </w:rPr>
            </w:pPr>
            <w:r w:rsidRPr="00BA3F5E">
              <w:rPr>
                <w:b/>
              </w:rPr>
              <w:t>NPRR436</w:t>
            </w:r>
          </w:p>
        </w:tc>
      </w:tr>
      <w:tr w:rsidR="00FF4593" w:rsidTr="00662858">
        <w:tc>
          <w:tcPr>
            <w:tcW w:w="6390" w:type="dxa"/>
          </w:tcPr>
          <w:p w:rsidR="00FF4593" w:rsidRPr="00BA3F5E" w:rsidRDefault="00FF4593" w:rsidP="00662858">
            <w:pPr>
              <w:jc w:val="center"/>
              <w:rPr>
                <w:b/>
              </w:rPr>
            </w:pPr>
            <w:r w:rsidRPr="00BA3F5E">
              <w:rPr>
                <w:b/>
              </w:rPr>
              <w:t>Clarify the Use of the Defined Term Season and Its Derivatives</w:t>
            </w:r>
          </w:p>
        </w:tc>
      </w:tr>
      <w:tr w:rsidR="00FF4593" w:rsidTr="00662858">
        <w:tc>
          <w:tcPr>
            <w:tcW w:w="6390" w:type="dxa"/>
          </w:tcPr>
          <w:p w:rsidR="00FF4593" w:rsidRPr="00FF4593" w:rsidRDefault="00F926A6" w:rsidP="00662858">
            <w:pPr>
              <w:jc w:val="center"/>
            </w:pPr>
            <w:r w:rsidRPr="004805AC">
              <w:rPr>
                <w:b/>
              </w:rPr>
              <w:t>OWG Action</w:t>
            </w:r>
            <w:r>
              <w:t xml:space="preserve">: </w:t>
            </w:r>
            <w:r w:rsidRPr="00F926A6">
              <w:rPr>
                <w:color w:val="FF0000"/>
              </w:rPr>
              <w:t>OWG will request PRS Table for one month</w:t>
            </w:r>
          </w:p>
        </w:tc>
      </w:tr>
    </w:tbl>
    <w:p w:rsidR="00662858" w:rsidRDefault="00662858" w:rsidP="00A0788C">
      <w:pPr>
        <w:spacing w:after="0"/>
      </w:pPr>
    </w:p>
    <w:p w:rsidR="00662858" w:rsidRDefault="00662858" w:rsidP="00A0788C">
      <w:pPr>
        <w:spacing w:after="0"/>
      </w:pPr>
    </w:p>
    <w:tbl>
      <w:tblPr>
        <w:tblStyle w:val="TableGrid"/>
        <w:tblW w:w="6390" w:type="dxa"/>
        <w:tblInd w:w="1638" w:type="dxa"/>
        <w:tblLook w:val="04A0"/>
      </w:tblPr>
      <w:tblGrid>
        <w:gridCol w:w="6390"/>
      </w:tblGrid>
      <w:tr w:rsidR="00662858" w:rsidTr="00662858">
        <w:tc>
          <w:tcPr>
            <w:tcW w:w="6390" w:type="dxa"/>
            <w:shd w:val="clear" w:color="auto" w:fill="000000" w:themeFill="text1"/>
          </w:tcPr>
          <w:p w:rsidR="00662858" w:rsidRPr="00D229AE" w:rsidRDefault="00662858" w:rsidP="00662858">
            <w:pPr>
              <w:jc w:val="center"/>
              <w:rPr>
                <w:b/>
              </w:rPr>
            </w:pPr>
            <w:r>
              <w:rPr>
                <w:b/>
              </w:rPr>
              <w:t>088</w:t>
            </w:r>
            <w:r w:rsidRPr="00D229AE">
              <w:rPr>
                <w:b/>
              </w:rPr>
              <w:t>NOGRR</w:t>
            </w:r>
          </w:p>
        </w:tc>
      </w:tr>
      <w:tr w:rsidR="00662858" w:rsidTr="00662858">
        <w:tc>
          <w:tcPr>
            <w:tcW w:w="6390" w:type="dxa"/>
          </w:tcPr>
          <w:p w:rsidR="00662858" w:rsidRPr="00D229AE" w:rsidRDefault="00662858" w:rsidP="00662858">
            <w:pPr>
              <w:jc w:val="center"/>
              <w:rPr>
                <w:b/>
              </w:rPr>
            </w:pPr>
            <w:r w:rsidRPr="0047273C">
              <w:rPr>
                <w:b/>
              </w:rPr>
              <w:t>Synchronization with NPRR424, Reactive Capability Testing Requirements for IRRs</w:t>
            </w:r>
          </w:p>
        </w:tc>
      </w:tr>
      <w:tr w:rsidR="00662858" w:rsidTr="00662858">
        <w:tc>
          <w:tcPr>
            <w:tcW w:w="6390" w:type="dxa"/>
          </w:tcPr>
          <w:p w:rsidR="00662858" w:rsidRDefault="00662858" w:rsidP="00662858">
            <w:pPr>
              <w:jc w:val="center"/>
            </w:pPr>
            <w:r>
              <w:t>Language Review</w:t>
            </w:r>
          </w:p>
        </w:tc>
      </w:tr>
      <w:tr w:rsidR="00662858" w:rsidTr="00662858">
        <w:tc>
          <w:tcPr>
            <w:tcW w:w="6390" w:type="dxa"/>
          </w:tcPr>
          <w:p w:rsidR="00662858" w:rsidRDefault="00662858" w:rsidP="00662858">
            <w:pPr>
              <w:jc w:val="center"/>
            </w:pPr>
            <w:r w:rsidRPr="004805AC">
              <w:rPr>
                <w:b/>
              </w:rPr>
              <w:t>OWG Action</w:t>
            </w:r>
            <w:r>
              <w:t xml:space="preserve">: </w:t>
            </w:r>
            <w:r w:rsidRPr="00EE2055">
              <w:rPr>
                <w:color w:val="00B050"/>
              </w:rPr>
              <w:t xml:space="preserve">OWG recommends </w:t>
            </w:r>
            <w:r>
              <w:rPr>
                <w:color w:val="00B050"/>
              </w:rPr>
              <w:t>ERCOT perform an Impact Analysis</w:t>
            </w:r>
          </w:p>
        </w:tc>
      </w:tr>
      <w:tr w:rsidR="00662858" w:rsidTr="00662858">
        <w:tc>
          <w:tcPr>
            <w:tcW w:w="6390" w:type="dxa"/>
          </w:tcPr>
          <w:p w:rsidR="00734CA7" w:rsidRDefault="00734CA7" w:rsidP="00662858">
            <w:pPr>
              <w:jc w:val="center"/>
            </w:pPr>
            <w:r>
              <w:t>Discussion:</w:t>
            </w:r>
          </w:p>
          <w:p w:rsidR="00662858" w:rsidRDefault="00884B84" w:rsidP="00364ED7">
            <w:pPr>
              <w:jc w:val="center"/>
            </w:pPr>
            <w:r>
              <w:t xml:space="preserve">Mr. </w:t>
            </w:r>
            <w:r w:rsidR="00364ED7">
              <w:t>Walter Reid</w:t>
            </w:r>
            <w:r>
              <w:t xml:space="preserve">, </w:t>
            </w:r>
            <w:r w:rsidRPr="00F716B0">
              <w:t>Wind Coalition</w:t>
            </w:r>
            <w:r w:rsidR="00364ED7">
              <w:t xml:space="preserve"> expressed concern that these changes did not relate to certain types of WGR’s with switchable reactive devices</w:t>
            </w:r>
            <w:r w:rsidR="00662858">
              <w:t xml:space="preserve"> </w:t>
            </w:r>
            <w:r w:rsidR="00364ED7">
              <w:t xml:space="preserve">and asked </w:t>
            </w:r>
            <w:r w:rsidR="00662858">
              <w:t>ERCOT to provide WGRs with specific reactive testing procedures</w:t>
            </w:r>
            <w:r>
              <w:t xml:space="preserve"> for these units</w:t>
            </w:r>
            <w:r w:rsidR="00662858">
              <w:t>.</w:t>
            </w:r>
          </w:p>
          <w:p w:rsidR="00364ED7" w:rsidRDefault="00364ED7" w:rsidP="00364ED7">
            <w:pPr>
              <w:jc w:val="center"/>
            </w:pPr>
          </w:p>
        </w:tc>
      </w:tr>
    </w:tbl>
    <w:p w:rsidR="00662858" w:rsidRDefault="00662858" w:rsidP="00A0788C">
      <w:pPr>
        <w:spacing w:after="0"/>
      </w:pPr>
    </w:p>
    <w:p w:rsidR="00662858" w:rsidRDefault="00662858" w:rsidP="00A0788C">
      <w:pPr>
        <w:spacing w:after="0"/>
      </w:pPr>
    </w:p>
    <w:tbl>
      <w:tblPr>
        <w:tblStyle w:val="TableGrid"/>
        <w:tblW w:w="6390" w:type="dxa"/>
        <w:tblInd w:w="1638" w:type="dxa"/>
        <w:tblLook w:val="04A0"/>
      </w:tblPr>
      <w:tblGrid>
        <w:gridCol w:w="6390"/>
      </w:tblGrid>
      <w:tr w:rsidR="00662858" w:rsidTr="00662858">
        <w:tc>
          <w:tcPr>
            <w:tcW w:w="6390" w:type="dxa"/>
            <w:shd w:val="clear" w:color="auto" w:fill="000000" w:themeFill="text1"/>
          </w:tcPr>
          <w:p w:rsidR="00662858" w:rsidRPr="00D229AE" w:rsidRDefault="00662858" w:rsidP="00662858">
            <w:pPr>
              <w:jc w:val="center"/>
              <w:rPr>
                <w:b/>
              </w:rPr>
            </w:pPr>
            <w:r>
              <w:rPr>
                <w:b/>
              </w:rPr>
              <w:t>089</w:t>
            </w:r>
            <w:r w:rsidRPr="00D229AE">
              <w:rPr>
                <w:b/>
              </w:rPr>
              <w:t>NOGRR</w:t>
            </w:r>
          </w:p>
        </w:tc>
      </w:tr>
      <w:tr w:rsidR="00662858" w:rsidTr="00662858">
        <w:tc>
          <w:tcPr>
            <w:tcW w:w="6390" w:type="dxa"/>
          </w:tcPr>
          <w:p w:rsidR="00662858" w:rsidRPr="00D229AE" w:rsidRDefault="00662858" w:rsidP="00662858">
            <w:pPr>
              <w:jc w:val="center"/>
              <w:rPr>
                <w:b/>
              </w:rPr>
            </w:pPr>
            <w:r w:rsidRPr="0047273C">
              <w:rPr>
                <w:b/>
              </w:rPr>
              <w:t>Clarification of Responsibilities for Black Start Resources and QSEs</w:t>
            </w:r>
          </w:p>
        </w:tc>
      </w:tr>
      <w:tr w:rsidR="00662858" w:rsidTr="00662858">
        <w:tc>
          <w:tcPr>
            <w:tcW w:w="6390" w:type="dxa"/>
          </w:tcPr>
          <w:p w:rsidR="00662858" w:rsidRDefault="00662858" w:rsidP="00662858">
            <w:pPr>
              <w:jc w:val="center"/>
            </w:pPr>
            <w:r>
              <w:t>Language Review</w:t>
            </w:r>
          </w:p>
        </w:tc>
      </w:tr>
      <w:tr w:rsidR="00662858" w:rsidTr="00662858">
        <w:tc>
          <w:tcPr>
            <w:tcW w:w="6390" w:type="dxa"/>
          </w:tcPr>
          <w:p w:rsidR="00662858" w:rsidRDefault="00662858" w:rsidP="00662858">
            <w:pPr>
              <w:jc w:val="center"/>
            </w:pPr>
            <w:r w:rsidRPr="004805AC">
              <w:rPr>
                <w:b/>
              </w:rPr>
              <w:t>OWG Action</w:t>
            </w:r>
            <w:r>
              <w:t xml:space="preserve">: </w:t>
            </w:r>
            <w:r w:rsidRPr="004805AC">
              <w:rPr>
                <w:color w:val="FF0000"/>
              </w:rPr>
              <w:t xml:space="preserve"> Tabled for one month</w:t>
            </w:r>
          </w:p>
        </w:tc>
      </w:tr>
      <w:tr w:rsidR="00662858" w:rsidTr="00662858">
        <w:tc>
          <w:tcPr>
            <w:tcW w:w="6390" w:type="dxa"/>
          </w:tcPr>
          <w:p w:rsidR="00734CA7" w:rsidRDefault="00734CA7" w:rsidP="00662858">
            <w:pPr>
              <w:jc w:val="center"/>
            </w:pPr>
            <w:r>
              <w:t>Discussion:</w:t>
            </w:r>
          </w:p>
          <w:p w:rsidR="00662858" w:rsidRDefault="00662858" w:rsidP="00662858">
            <w:pPr>
              <w:jc w:val="center"/>
            </w:pPr>
            <w:r>
              <w:t>The BSWG requested OWG table this revision request for one month while they continue to review and revise.</w:t>
            </w:r>
          </w:p>
          <w:p w:rsidR="00364ED7" w:rsidRDefault="00364ED7" w:rsidP="00662858">
            <w:pPr>
              <w:jc w:val="center"/>
            </w:pPr>
          </w:p>
        </w:tc>
      </w:tr>
    </w:tbl>
    <w:p w:rsidR="00662858" w:rsidRDefault="00662858" w:rsidP="00A0788C">
      <w:pPr>
        <w:spacing w:after="0"/>
      </w:pPr>
    </w:p>
    <w:p w:rsidR="00884B84" w:rsidRDefault="00884B84" w:rsidP="00A0788C">
      <w:pPr>
        <w:spacing w:after="0"/>
      </w:pPr>
    </w:p>
    <w:tbl>
      <w:tblPr>
        <w:tblStyle w:val="TableGrid"/>
        <w:tblW w:w="6390" w:type="dxa"/>
        <w:tblInd w:w="1638" w:type="dxa"/>
        <w:tblLook w:val="04A0"/>
      </w:tblPr>
      <w:tblGrid>
        <w:gridCol w:w="6390"/>
      </w:tblGrid>
      <w:tr w:rsidR="00734CA7" w:rsidTr="00734CA7">
        <w:tc>
          <w:tcPr>
            <w:tcW w:w="6390" w:type="dxa"/>
            <w:shd w:val="clear" w:color="auto" w:fill="000000" w:themeFill="text1"/>
          </w:tcPr>
          <w:p w:rsidR="00734CA7" w:rsidRPr="00D229AE" w:rsidRDefault="00734CA7" w:rsidP="00734CA7">
            <w:pPr>
              <w:jc w:val="center"/>
              <w:rPr>
                <w:b/>
              </w:rPr>
            </w:pPr>
            <w:r>
              <w:rPr>
                <w:b/>
              </w:rPr>
              <w:t>090</w:t>
            </w:r>
            <w:r w:rsidRPr="00D229AE">
              <w:rPr>
                <w:b/>
              </w:rPr>
              <w:t>NOGRR</w:t>
            </w:r>
          </w:p>
        </w:tc>
      </w:tr>
      <w:tr w:rsidR="00734CA7" w:rsidTr="00734CA7">
        <w:tc>
          <w:tcPr>
            <w:tcW w:w="6390" w:type="dxa"/>
          </w:tcPr>
          <w:p w:rsidR="00734CA7" w:rsidRPr="00D229AE" w:rsidRDefault="00734CA7" w:rsidP="00734CA7">
            <w:pPr>
              <w:jc w:val="center"/>
              <w:rPr>
                <w:b/>
              </w:rPr>
            </w:pPr>
            <w:r w:rsidRPr="00BD145D">
              <w:rPr>
                <w:b/>
              </w:rPr>
              <w:t>Change in Entity Responsible for Reporting Participation in Severe Weather Drills</w:t>
            </w:r>
          </w:p>
        </w:tc>
      </w:tr>
      <w:tr w:rsidR="00734CA7" w:rsidTr="00734CA7">
        <w:tc>
          <w:tcPr>
            <w:tcW w:w="6390" w:type="dxa"/>
          </w:tcPr>
          <w:p w:rsidR="00734CA7" w:rsidRDefault="00734CA7" w:rsidP="00734CA7">
            <w:pPr>
              <w:jc w:val="center"/>
            </w:pPr>
            <w:r>
              <w:t>Language Review</w:t>
            </w:r>
          </w:p>
        </w:tc>
      </w:tr>
      <w:tr w:rsidR="00734CA7" w:rsidTr="00734CA7">
        <w:tc>
          <w:tcPr>
            <w:tcW w:w="6390" w:type="dxa"/>
          </w:tcPr>
          <w:p w:rsidR="00734CA7" w:rsidRDefault="00734CA7" w:rsidP="00734CA7">
            <w:r w:rsidRPr="004805AC">
              <w:rPr>
                <w:b/>
              </w:rPr>
              <w:t>OWG Action</w:t>
            </w:r>
            <w:r>
              <w:t xml:space="preserve">: </w:t>
            </w:r>
            <w:r w:rsidRPr="004805AC">
              <w:rPr>
                <w:color w:val="FF0000"/>
              </w:rPr>
              <w:t xml:space="preserve"> </w:t>
            </w:r>
            <w:r w:rsidRPr="00EE2055">
              <w:rPr>
                <w:color w:val="00B050"/>
              </w:rPr>
              <w:t xml:space="preserve">OWG recommends </w:t>
            </w:r>
            <w:r>
              <w:rPr>
                <w:color w:val="00B050"/>
              </w:rPr>
              <w:t>ERCOT perform an Impact Analysis</w:t>
            </w:r>
          </w:p>
        </w:tc>
      </w:tr>
      <w:tr w:rsidR="00734CA7" w:rsidTr="00734CA7">
        <w:tc>
          <w:tcPr>
            <w:tcW w:w="6390" w:type="dxa"/>
          </w:tcPr>
          <w:p w:rsidR="00734CA7" w:rsidRDefault="00734CA7" w:rsidP="00734CA7">
            <w:pPr>
              <w:jc w:val="center"/>
            </w:pPr>
            <w:r>
              <w:t>Discussion:</w:t>
            </w:r>
          </w:p>
          <w:p w:rsidR="00734CA7" w:rsidRDefault="00734CA7" w:rsidP="00541DA5">
            <w:pPr>
              <w:jc w:val="center"/>
            </w:pPr>
            <w:r>
              <w:t>The OWG revised the language of this revision request to reflect that the ERCOT will</w:t>
            </w:r>
            <w:r w:rsidR="00541DA5">
              <w:t xml:space="preserve"> report to</w:t>
            </w:r>
            <w:r>
              <w:t xml:space="preserve"> the</w:t>
            </w:r>
            <w:r w:rsidR="00541DA5">
              <w:t xml:space="preserve"> Texas Reliability Entity and</w:t>
            </w:r>
            <w:r>
              <w:t xml:space="preserve"> </w:t>
            </w:r>
            <w:r w:rsidR="00541DA5">
              <w:t xml:space="preserve">the </w:t>
            </w:r>
            <w:r>
              <w:t>OWG</w:t>
            </w:r>
            <w:r w:rsidR="00541DA5">
              <w:t>.</w:t>
            </w:r>
            <w:r>
              <w:t xml:space="preserve"> </w:t>
            </w:r>
            <w:r w:rsidR="00541DA5">
              <w:t xml:space="preserve"> T</w:t>
            </w:r>
            <w:r>
              <w:t xml:space="preserve">he OWG will </w:t>
            </w:r>
            <w:r w:rsidR="00541DA5">
              <w:t xml:space="preserve">relay the </w:t>
            </w:r>
            <w:r>
              <w:t>report to ROS.</w:t>
            </w:r>
          </w:p>
          <w:p w:rsidR="00364ED7" w:rsidRDefault="00364ED7" w:rsidP="00541DA5">
            <w:pPr>
              <w:jc w:val="center"/>
            </w:pPr>
          </w:p>
        </w:tc>
      </w:tr>
    </w:tbl>
    <w:p w:rsidR="00734CA7" w:rsidRDefault="00734CA7" w:rsidP="00A0788C">
      <w:pPr>
        <w:spacing w:after="0"/>
      </w:pPr>
    </w:p>
    <w:p w:rsidR="00672302" w:rsidRPr="00521C01" w:rsidRDefault="00672302" w:rsidP="000F2B8B">
      <w:pPr>
        <w:spacing w:after="0"/>
        <w:rPr>
          <w:b/>
          <w:sz w:val="24"/>
        </w:rPr>
      </w:pPr>
      <w:r w:rsidRPr="00521C01">
        <w:rPr>
          <w:b/>
          <w:sz w:val="24"/>
        </w:rPr>
        <w:t xml:space="preserve">Operations Task Force Report – </w:t>
      </w:r>
    </w:p>
    <w:p w:rsidR="000F2B8B" w:rsidRDefault="00AC57E7" w:rsidP="000F2B8B">
      <w:pPr>
        <w:spacing w:after="0"/>
      </w:pPr>
      <w:r>
        <w:t xml:space="preserve">Mr. </w:t>
      </w:r>
      <w:r w:rsidR="00672302">
        <w:t xml:space="preserve">Kelly </w:t>
      </w:r>
      <w:proofErr w:type="spellStart"/>
      <w:r w:rsidR="00672302">
        <w:t>Blackmer</w:t>
      </w:r>
      <w:proofErr w:type="spellEnd"/>
      <w:r>
        <w:t>, ERCOT</w:t>
      </w:r>
      <w:r w:rsidR="00672302">
        <w:t xml:space="preserve"> reported that ERCOT Emergency Operations, the Operations Task Force and the OWG are developing scripts for the upcoming ERCOT Severe Weather Drill in May this year.  </w:t>
      </w:r>
      <w:r w:rsidR="00BD3F7D">
        <w:t xml:space="preserve">The actual date(s) of the drill </w:t>
      </w:r>
      <w:r w:rsidR="00FD20DE">
        <w:t>has yet to be determined.</w:t>
      </w:r>
    </w:p>
    <w:p w:rsidR="000F2B8B" w:rsidRDefault="000F2B8B" w:rsidP="000F2B8B">
      <w:pPr>
        <w:spacing w:after="0"/>
      </w:pPr>
    </w:p>
    <w:p w:rsidR="00672302" w:rsidRPr="00521C01" w:rsidRDefault="000F2B8B" w:rsidP="000F2B8B">
      <w:pPr>
        <w:spacing w:after="0"/>
        <w:rPr>
          <w:b/>
          <w:sz w:val="24"/>
        </w:rPr>
      </w:pPr>
      <w:r w:rsidRPr="00521C01">
        <w:rPr>
          <w:b/>
          <w:sz w:val="24"/>
        </w:rPr>
        <w:t xml:space="preserve">Compliance Report – </w:t>
      </w:r>
    </w:p>
    <w:p w:rsidR="00FD20DE" w:rsidRDefault="00AC57E7" w:rsidP="000F2B8B">
      <w:pPr>
        <w:spacing w:after="0"/>
      </w:pPr>
      <w:r>
        <w:t xml:space="preserve">Mr. </w:t>
      </w:r>
      <w:r w:rsidR="00BD3F7D">
        <w:t>David Penny asked if OWG’s opinion as to whether</w:t>
      </w:r>
      <w:r w:rsidR="00FD20DE">
        <w:t xml:space="preserve"> f</w:t>
      </w:r>
      <w:r w:rsidR="000F2B8B">
        <w:t xml:space="preserve">ormal </w:t>
      </w:r>
      <w:r w:rsidR="00FD20DE">
        <w:t>c</w:t>
      </w:r>
      <w:r w:rsidR="000F2B8B">
        <w:t>ommunication</w:t>
      </w:r>
      <w:r w:rsidR="00FD20DE">
        <w:t>s</w:t>
      </w:r>
      <w:r w:rsidR="000F2B8B">
        <w:t xml:space="preserve"> include</w:t>
      </w:r>
      <w:r w:rsidR="00FD20DE">
        <w:t xml:space="preserve">d electronic instructions.  The group responded that current electronic communications did not have the repeat-back feature with acknowledgement required by </w:t>
      </w:r>
      <w:r w:rsidR="00BD3F7D">
        <w:t xml:space="preserve">the industry recognized practice of </w:t>
      </w:r>
      <w:r w:rsidR="00FD20DE">
        <w:t>formal 3-way communications.</w:t>
      </w:r>
    </w:p>
    <w:p w:rsidR="00FD20DE" w:rsidRDefault="00FD20DE" w:rsidP="000F2B8B">
      <w:pPr>
        <w:spacing w:after="0"/>
      </w:pPr>
    </w:p>
    <w:p w:rsidR="000F2B8B" w:rsidRDefault="00BD3F7D" w:rsidP="000F2B8B">
      <w:pPr>
        <w:spacing w:after="0"/>
      </w:pPr>
      <w:r>
        <w:t>Mr. Penny</w:t>
      </w:r>
      <w:r w:rsidR="00FD20DE">
        <w:t xml:space="preserve"> further reminded the group that </w:t>
      </w:r>
      <w:r w:rsidR="000F2B8B">
        <w:t xml:space="preserve">TADS </w:t>
      </w:r>
      <w:r>
        <w:t xml:space="preserve">report </w:t>
      </w:r>
      <w:r w:rsidR="000F2B8B">
        <w:t xml:space="preserve">data </w:t>
      </w:r>
      <w:r w:rsidR="00FD20DE">
        <w:t xml:space="preserve">was </w:t>
      </w:r>
      <w:r w:rsidR="000F2B8B">
        <w:t xml:space="preserve">due </w:t>
      </w:r>
      <w:r w:rsidR="00FD20DE">
        <w:t xml:space="preserve">by the </w:t>
      </w:r>
      <w:r w:rsidR="000F2B8B">
        <w:t>end of February.</w:t>
      </w:r>
    </w:p>
    <w:p w:rsidR="000F2B8B" w:rsidRDefault="000F2B8B" w:rsidP="000F2B8B">
      <w:pPr>
        <w:spacing w:after="0"/>
      </w:pPr>
    </w:p>
    <w:p w:rsidR="00672302" w:rsidRPr="00521C01" w:rsidRDefault="000F2B8B" w:rsidP="000F2B8B">
      <w:pPr>
        <w:spacing w:after="0"/>
        <w:rPr>
          <w:b/>
          <w:sz w:val="24"/>
        </w:rPr>
      </w:pPr>
      <w:r w:rsidRPr="00521C01">
        <w:rPr>
          <w:b/>
          <w:sz w:val="24"/>
        </w:rPr>
        <w:t xml:space="preserve">System Operations Report – </w:t>
      </w:r>
    </w:p>
    <w:p w:rsidR="000F2B8B" w:rsidRDefault="00AC57E7" w:rsidP="000F2B8B">
      <w:pPr>
        <w:spacing w:after="0"/>
      </w:pPr>
      <w:r>
        <w:t xml:space="preserve">Ms. </w:t>
      </w:r>
      <w:r w:rsidR="00FD20DE">
        <w:t xml:space="preserve">Colleen </w:t>
      </w:r>
      <w:proofErr w:type="spellStart"/>
      <w:r w:rsidR="00FD20DE">
        <w:t>Frosch</w:t>
      </w:r>
      <w:proofErr w:type="spellEnd"/>
      <w:r>
        <w:t>, ERCOT</w:t>
      </w:r>
      <w:r w:rsidR="00FD20DE">
        <w:t xml:space="preserve"> </w:t>
      </w:r>
      <w:r w:rsidR="000F2B8B">
        <w:t>wanted to know if it</w:t>
      </w:r>
      <w:r w:rsidR="00FD20DE">
        <w:t xml:space="preserve"> was agreeable</w:t>
      </w:r>
      <w:r w:rsidR="000F2B8B">
        <w:t xml:space="preserve"> </w:t>
      </w:r>
      <w:r w:rsidR="00FD20DE">
        <w:t xml:space="preserve">for ERCOT System Operators </w:t>
      </w:r>
      <w:r w:rsidR="000F2B8B">
        <w:t xml:space="preserve">to give out </w:t>
      </w:r>
      <w:r w:rsidR="00FD20DE">
        <w:t xml:space="preserve">SSRG member </w:t>
      </w:r>
      <w:r w:rsidR="000F2B8B">
        <w:t>contact information.</w:t>
      </w:r>
      <w:r w:rsidR="00FD20DE">
        <w:t xml:space="preserve">  The group </w:t>
      </w:r>
      <w:r w:rsidR="00BD3F7D">
        <w:t>responded that they considered it inappropriate for</w:t>
      </w:r>
      <w:r w:rsidR="00FD20DE">
        <w:t xml:space="preserve"> ERCOT Operators to divulge personal contact information.</w:t>
      </w:r>
    </w:p>
    <w:p w:rsidR="000F2B8B" w:rsidRDefault="000F2B8B" w:rsidP="000F2B8B">
      <w:pPr>
        <w:spacing w:after="0"/>
      </w:pPr>
    </w:p>
    <w:p w:rsidR="00672302" w:rsidRPr="00521C01" w:rsidRDefault="00672302" w:rsidP="000F2B8B">
      <w:pPr>
        <w:spacing w:after="0"/>
        <w:rPr>
          <w:b/>
          <w:sz w:val="24"/>
        </w:rPr>
      </w:pPr>
      <w:r w:rsidRPr="00521C01">
        <w:rPr>
          <w:b/>
          <w:sz w:val="24"/>
        </w:rPr>
        <w:t xml:space="preserve">Other – </w:t>
      </w:r>
    </w:p>
    <w:p w:rsidR="000F2B8B" w:rsidRDefault="00FD20DE" w:rsidP="000F2B8B">
      <w:pPr>
        <w:spacing w:after="0"/>
      </w:pPr>
      <w:r>
        <w:t>Because the BSWG no longer reports to the OWG, t</w:t>
      </w:r>
      <w:r w:rsidR="00672302">
        <w:t>he charter of the OWG needs to be revised to re</w:t>
      </w:r>
      <w:r w:rsidR="00B648B1">
        <w:t>move the statement about developing the ERCOT Black Start Plan.</w:t>
      </w:r>
    </w:p>
    <w:p w:rsidR="00B648B1" w:rsidRDefault="00B648B1" w:rsidP="000F2B8B">
      <w:pPr>
        <w:spacing w:after="0"/>
      </w:pPr>
    </w:p>
    <w:p w:rsidR="00672302" w:rsidRPr="00672302" w:rsidRDefault="00902B74" w:rsidP="00672302">
      <w:pPr>
        <w:spacing w:after="0"/>
        <w:rPr>
          <w:i/>
          <w:sz w:val="20"/>
        </w:rPr>
      </w:pPr>
      <w:r>
        <w:rPr>
          <w:i/>
          <w:sz w:val="20"/>
        </w:rPr>
        <w:t>“</w:t>
      </w:r>
      <w:r w:rsidR="00672302" w:rsidRPr="00672302">
        <w:rPr>
          <w:i/>
          <w:sz w:val="20"/>
        </w:rPr>
        <w:t xml:space="preserve">The Operations Working Group (OWG), reporting to the Reliability and Operations Subcommittee (ROS), is responsible for reviewing the effectiveness of coordination between transmission and distribution service providers, qualified scheduling entities and power generating entities within the ERCOT control area. </w:t>
      </w:r>
    </w:p>
    <w:p w:rsidR="00672302" w:rsidRPr="00672302" w:rsidRDefault="00672302" w:rsidP="00672302">
      <w:pPr>
        <w:spacing w:after="0"/>
        <w:rPr>
          <w:i/>
          <w:sz w:val="20"/>
        </w:rPr>
      </w:pPr>
    </w:p>
    <w:p w:rsidR="00672302" w:rsidRDefault="00672302" w:rsidP="00672302">
      <w:pPr>
        <w:spacing w:after="0"/>
        <w:rPr>
          <w:i/>
          <w:sz w:val="20"/>
        </w:rPr>
      </w:pPr>
      <w:r w:rsidRPr="00672302">
        <w:rPr>
          <w:i/>
          <w:sz w:val="20"/>
        </w:rPr>
        <w:t xml:space="preserve">The OWG </w:t>
      </w:r>
      <w:r w:rsidRPr="00B648B1">
        <w:rPr>
          <w:i/>
          <w:strike/>
          <w:color w:val="FF0000"/>
          <w:sz w:val="20"/>
        </w:rPr>
        <w:t>also develops and reviews the ERCOT Black Start Plan, and</w:t>
      </w:r>
      <w:r w:rsidRPr="00672302">
        <w:rPr>
          <w:i/>
          <w:sz w:val="20"/>
        </w:rPr>
        <w:t xml:space="preserve"> assists as needed with the review and analysis of any unusual or emergency-type events. The group provides revisions to the ERCOT Operating Guides as needed and ensures that they comply with North American Electric Reliability Council policy revisions. In addition, the OWG provides input to ERCOT on operator training needs including but not limited to the ERCOT Annual Operator Training Seminar, the Black Start Training Seminar and the Annual ERCOT Storm/Emergency Drill.</w:t>
      </w:r>
      <w:r w:rsidR="00902B74">
        <w:rPr>
          <w:i/>
          <w:sz w:val="20"/>
        </w:rPr>
        <w:t>”</w:t>
      </w:r>
    </w:p>
    <w:p w:rsidR="00FD20DE" w:rsidRDefault="00FD20DE" w:rsidP="00672302">
      <w:pPr>
        <w:spacing w:after="0"/>
        <w:rPr>
          <w:i/>
          <w:sz w:val="20"/>
        </w:rPr>
      </w:pPr>
    </w:p>
    <w:p w:rsidR="00FD20DE" w:rsidRPr="00FD20DE" w:rsidRDefault="00FD20DE" w:rsidP="00672302">
      <w:pPr>
        <w:spacing w:after="0"/>
      </w:pPr>
      <w:r w:rsidRPr="00FD20DE">
        <w:t xml:space="preserve">The OWG will </w:t>
      </w:r>
      <w:r w:rsidR="00521C01">
        <w:t xml:space="preserve">review and </w:t>
      </w:r>
      <w:r w:rsidR="00BD3F7D">
        <w:t>draft a revision to</w:t>
      </w:r>
      <w:r>
        <w:t xml:space="preserve"> the charter statement</w:t>
      </w:r>
      <w:r w:rsidR="00BD3F7D">
        <w:t xml:space="preserve"> at</w:t>
      </w:r>
      <w:r w:rsidR="00521C01">
        <w:t xml:space="preserve"> </w:t>
      </w:r>
      <w:r w:rsidR="00BD3F7D">
        <w:t>their February 15</w:t>
      </w:r>
      <w:r w:rsidR="00BD3F7D" w:rsidRPr="00BD3F7D">
        <w:rPr>
          <w:vertAlign w:val="superscript"/>
        </w:rPr>
        <w:t>th</w:t>
      </w:r>
      <w:r w:rsidR="00BD3F7D">
        <w:t xml:space="preserve"> meeting.  The OWG will </w:t>
      </w:r>
      <w:r w:rsidR="007173AE">
        <w:t xml:space="preserve">then </w:t>
      </w:r>
      <w:r w:rsidR="00BD3F7D">
        <w:t xml:space="preserve">submit the draft revision for </w:t>
      </w:r>
      <w:r w:rsidR="00521C01">
        <w:t>ROS approval.</w:t>
      </w:r>
    </w:p>
    <w:p w:rsidR="00672302" w:rsidRDefault="00672302" w:rsidP="000F2B8B">
      <w:pPr>
        <w:spacing w:after="0"/>
      </w:pPr>
    </w:p>
    <w:p w:rsidR="00364ED7" w:rsidRPr="00521C01" w:rsidRDefault="00364ED7" w:rsidP="000F2B8B">
      <w:pPr>
        <w:spacing w:after="0"/>
        <w:rPr>
          <w:b/>
          <w:sz w:val="24"/>
        </w:rPr>
      </w:pPr>
      <w:r w:rsidRPr="00521C01">
        <w:rPr>
          <w:b/>
          <w:sz w:val="24"/>
        </w:rPr>
        <w:t xml:space="preserve">Future Meeting Dates – </w:t>
      </w:r>
    </w:p>
    <w:p w:rsidR="007E783C" w:rsidRDefault="000F2B8B" w:rsidP="000F2B8B">
      <w:pPr>
        <w:spacing w:after="0"/>
      </w:pPr>
      <w:r>
        <w:t>February 15th, 2012</w:t>
      </w:r>
      <w:r>
        <w:tab/>
      </w:r>
    </w:p>
    <w:p w:rsidR="0047273C" w:rsidRDefault="0047273C" w:rsidP="00A0788C">
      <w:pPr>
        <w:spacing w:after="0"/>
      </w:pPr>
    </w:p>
    <w:sectPr w:rsidR="0047273C" w:rsidSect="00CE2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A0788C"/>
    <w:rsid w:val="000F2B8B"/>
    <w:rsid w:val="001300F3"/>
    <w:rsid w:val="002A23C9"/>
    <w:rsid w:val="00364ED7"/>
    <w:rsid w:val="003B2C22"/>
    <w:rsid w:val="00447403"/>
    <w:rsid w:val="0047273C"/>
    <w:rsid w:val="004805AC"/>
    <w:rsid w:val="004D5166"/>
    <w:rsid w:val="00521C01"/>
    <w:rsid w:val="00541DA5"/>
    <w:rsid w:val="005B14A9"/>
    <w:rsid w:val="00662858"/>
    <w:rsid w:val="00672302"/>
    <w:rsid w:val="006D7ADC"/>
    <w:rsid w:val="007173AE"/>
    <w:rsid w:val="00734CA7"/>
    <w:rsid w:val="007E783C"/>
    <w:rsid w:val="00812757"/>
    <w:rsid w:val="00836DCA"/>
    <w:rsid w:val="00884B84"/>
    <w:rsid w:val="008B4377"/>
    <w:rsid w:val="00902B74"/>
    <w:rsid w:val="00960EB9"/>
    <w:rsid w:val="00992EBA"/>
    <w:rsid w:val="00A0788C"/>
    <w:rsid w:val="00A64492"/>
    <w:rsid w:val="00AC05C3"/>
    <w:rsid w:val="00AC57E7"/>
    <w:rsid w:val="00B33277"/>
    <w:rsid w:val="00B648B1"/>
    <w:rsid w:val="00BA3F5E"/>
    <w:rsid w:val="00BD145D"/>
    <w:rsid w:val="00BD3F7D"/>
    <w:rsid w:val="00BF17E4"/>
    <w:rsid w:val="00CE2266"/>
    <w:rsid w:val="00D229AE"/>
    <w:rsid w:val="00D51E3F"/>
    <w:rsid w:val="00DB285C"/>
    <w:rsid w:val="00DC08A7"/>
    <w:rsid w:val="00E54337"/>
    <w:rsid w:val="00E573DB"/>
    <w:rsid w:val="00EE2055"/>
    <w:rsid w:val="00F12322"/>
    <w:rsid w:val="00F926A6"/>
    <w:rsid w:val="00FD20DE"/>
    <w:rsid w:val="00FF0BD2"/>
    <w:rsid w:val="00FF45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4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s>
</file>

<file path=word/webSettings.xml><?xml version="1.0" encoding="utf-8"?>
<w:webSettings xmlns:r="http://schemas.openxmlformats.org/officeDocument/2006/relationships" xmlns:w="http://schemas.openxmlformats.org/wordprocessingml/2006/main">
  <w:divs>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474F63-7E75-486F-A145-37283A88A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768</Words>
  <Characters>4382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subject/>
  <dc:creator>Brad Calhoun</dc:creator>
  <cp:keywords/>
  <dc:description/>
  <cp:lastModifiedBy>ECAdmin</cp:lastModifiedBy>
  <cp:revision>2</cp:revision>
  <dcterms:created xsi:type="dcterms:W3CDTF">2012-02-07T16:11:00Z</dcterms:created>
  <dcterms:modified xsi:type="dcterms:W3CDTF">2012-02-07T16:11:00Z</dcterms:modified>
</cp:coreProperties>
</file>