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CF9" w:rsidRPr="006A5CF9" w:rsidRDefault="006A5CF9" w:rsidP="006A5CF9">
      <w:pPr>
        <w:spacing w:after="0" w:line="240" w:lineRule="auto"/>
        <w:rPr>
          <w:rFonts w:ascii="Arial" w:hAnsi="Arial" w:cs="Arial"/>
        </w:rPr>
      </w:pPr>
    </w:p>
    <w:p w:rsidR="006A5CF9" w:rsidRPr="006A5CF9" w:rsidRDefault="006A5CF9" w:rsidP="006A5CF9">
      <w:pPr>
        <w:spacing w:after="0" w:line="240" w:lineRule="auto"/>
        <w:rPr>
          <w:rFonts w:ascii="Arial" w:hAnsi="Arial" w:cs="Arial"/>
        </w:rPr>
      </w:pPr>
    </w:p>
    <w:p w:rsidR="006A5CF9" w:rsidRPr="006A5CF9" w:rsidRDefault="006A5CF9" w:rsidP="006A5CF9">
      <w:pPr>
        <w:spacing w:after="0" w:line="240" w:lineRule="auto"/>
        <w:jc w:val="right"/>
        <w:rPr>
          <w:rFonts w:ascii="Arial" w:hAnsi="Arial" w:cs="Arial"/>
          <w:sz w:val="20"/>
          <w:szCs w:val="20"/>
        </w:rPr>
      </w:pPr>
      <w:r w:rsidRPr="006A5CF9">
        <w:rPr>
          <w:rFonts w:ascii="Arial" w:hAnsi="Arial" w:cs="Arial"/>
          <w:noProof/>
        </w:rPr>
        <w:drawing>
          <wp:anchor distT="0" distB="0" distL="114300" distR="114300" simplePos="0" relativeHeight="251661312" behindDoc="0" locked="0" layoutInCell="1" allowOverlap="1">
            <wp:simplePos x="0" y="0"/>
            <wp:positionH relativeFrom="column">
              <wp:posOffset>-60960</wp:posOffset>
            </wp:positionH>
            <wp:positionV relativeFrom="paragraph">
              <wp:posOffset>109855</wp:posOffset>
            </wp:positionV>
            <wp:extent cx="2914015" cy="46037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914015" cy="460375"/>
                    </a:xfrm>
                    <a:prstGeom prst="rect">
                      <a:avLst/>
                    </a:prstGeom>
                    <a:noFill/>
                    <a:ln w="9525">
                      <a:noFill/>
                      <a:miter lim="800000"/>
                      <a:headEnd/>
                      <a:tailEnd/>
                    </a:ln>
                  </pic:spPr>
                </pic:pic>
              </a:graphicData>
            </a:graphic>
          </wp:anchor>
        </w:drawing>
      </w:r>
      <w:r w:rsidRPr="006A5CF9">
        <w:rPr>
          <w:rFonts w:ascii="Arial" w:hAnsi="Arial" w:cs="Arial"/>
        </w:rPr>
        <w:tab/>
      </w:r>
      <w:r w:rsidRPr="006A5CF9">
        <w:rPr>
          <w:rFonts w:ascii="Arial" w:hAnsi="Arial" w:cs="Arial"/>
        </w:rPr>
        <w:tab/>
      </w:r>
      <w:r w:rsidRPr="006A5CF9">
        <w:rPr>
          <w:rFonts w:ascii="Arial" w:hAnsi="Arial" w:cs="Arial"/>
        </w:rPr>
        <w:tab/>
      </w:r>
      <w:r w:rsidRPr="006A5CF9">
        <w:rPr>
          <w:rFonts w:ascii="Arial" w:hAnsi="Arial" w:cs="Arial"/>
        </w:rPr>
        <w:tab/>
      </w:r>
      <w:r w:rsidRPr="006A5CF9">
        <w:rPr>
          <w:rFonts w:ascii="Arial" w:hAnsi="Arial" w:cs="Arial"/>
        </w:rPr>
        <w:tab/>
      </w:r>
    </w:p>
    <w:p w:rsidR="006A5CF9" w:rsidRPr="006A5CF9" w:rsidRDefault="006A5CF9" w:rsidP="006A5CF9">
      <w:pPr>
        <w:spacing w:after="0" w:line="240" w:lineRule="auto"/>
        <w:jc w:val="right"/>
        <w:rPr>
          <w:rFonts w:ascii="Arial" w:hAnsi="Arial" w:cs="Arial"/>
          <w:sz w:val="20"/>
          <w:szCs w:val="20"/>
        </w:rPr>
      </w:pPr>
      <w:r w:rsidRPr="006A5CF9">
        <w:rPr>
          <w:rFonts w:ascii="Arial" w:hAnsi="Arial" w:cs="Arial"/>
        </w:rPr>
        <w:tab/>
      </w:r>
      <w:r w:rsidRPr="006A5CF9">
        <w:rPr>
          <w:rFonts w:ascii="Arial" w:hAnsi="Arial" w:cs="Arial"/>
        </w:rPr>
        <w:tab/>
      </w:r>
      <w:r w:rsidRPr="006A5CF9">
        <w:rPr>
          <w:rFonts w:ascii="Arial" w:hAnsi="Arial" w:cs="Arial"/>
        </w:rPr>
        <w:tab/>
      </w:r>
      <w:r w:rsidRPr="006A5CF9">
        <w:rPr>
          <w:rFonts w:ascii="Arial" w:hAnsi="Arial" w:cs="Arial"/>
        </w:rPr>
        <w:tab/>
      </w:r>
      <w:r w:rsidRPr="006A5CF9">
        <w:rPr>
          <w:rFonts w:ascii="Arial" w:hAnsi="Arial" w:cs="Arial"/>
        </w:rPr>
        <w:tab/>
      </w:r>
      <w:r w:rsidRPr="006A5CF9">
        <w:rPr>
          <w:rFonts w:ascii="Arial" w:hAnsi="Arial" w:cs="Arial"/>
        </w:rPr>
        <w:tab/>
      </w:r>
      <w:r w:rsidRPr="006A5CF9">
        <w:rPr>
          <w:rFonts w:ascii="Arial" w:hAnsi="Arial" w:cs="Arial"/>
        </w:rPr>
        <w:tab/>
      </w:r>
      <w:r w:rsidRPr="006A5CF9">
        <w:rPr>
          <w:rFonts w:ascii="Arial" w:hAnsi="Arial" w:cs="Arial"/>
          <w:sz w:val="20"/>
          <w:szCs w:val="20"/>
        </w:rPr>
        <w:t>1010 Lamar, Suite 1040</w:t>
      </w:r>
    </w:p>
    <w:p w:rsidR="006A5CF9" w:rsidRPr="006A5CF9" w:rsidRDefault="006A5CF9" w:rsidP="006A5CF9">
      <w:pPr>
        <w:spacing w:after="0" w:line="240" w:lineRule="auto"/>
        <w:jc w:val="right"/>
        <w:rPr>
          <w:rFonts w:ascii="Arial" w:hAnsi="Arial" w:cs="Arial"/>
          <w:sz w:val="20"/>
          <w:szCs w:val="20"/>
        </w:rPr>
      </w:pPr>
      <w:r w:rsidRPr="006A5CF9">
        <w:rPr>
          <w:rFonts w:ascii="Arial" w:hAnsi="Arial" w:cs="Arial"/>
          <w:sz w:val="20"/>
          <w:szCs w:val="20"/>
        </w:rPr>
        <w:t>Houston, Texas 77002</w:t>
      </w:r>
    </w:p>
    <w:p w:rsidR="006A5CF9" w:rsidRPr="006A5CF9" w:rsidRDefault="006A5CF9" w:rsidP="006A5CF9">
      <w:pPr>
        <w:spacing w:after="0" w:line="240" w:lineRule="auto"/>
        <w:jc w:val="right"/>
        <w:rPr>
          <w:rFonts w:ascii="Arial" w:hAnsi="Arial" w:cs="Arial"/>
          <w:sz w:val="20"/>
          <w:szCs w:val="20"/>
        </w:rPr>
      </w:pPr>
      <w:r w:rsidRPr="006A5CF9">
        <w:rPr>
          <w:rFonts w:ascii="Arial" w:hAnsi="Arial" w:cs="Arial"/>
          <w:sz w:val="20"/>
          <w:szCs w:val="20"/>
        </w:rPr>
        <w:t>Tel: 713-933-8836 Fax: 713-586-1617</w:t>
      </w:r>
    </w:p>
    <w:p w:rsidR="006A5CF9" w:rsidRPr="006A5CF9" w:rsidRDefault="00D538A5" w:rsidP="006A5CF9">
      <w:pPr>
        <w:spacing w:after="0" w:line="240" w:lineRule="auto"/>
        <w:rPr>
          <w:rFonts w:ascii="Arial" w:hAnsi="Arial" w:cs="Arial"/>
        </w:rPr>
      </w:pPr>
      <w:r>
        <w:rPr>
          <w:rFonts w:ascii="Arial" w:hAnsi="Arial" w:cs="Arial"/>
          <w:noProof/>
        </w:rPr>
        <w:pict>
          <v:rect id="_x0000_s1026" style="position:absolute;margin-left:-3.6pt;margin-top:4.2pt;width:463.2pt;height:3.9pt;flip:y;z-index:251660288" fillcolor="#c00" stroked="f" strokecolor="#c00" strokeweight="1.5pt">
            <v:fill color2="#333" rotate="t" angle="-90" type="gradient"/>
          </v:rect>
        </w:pict>
      </w:r>
    </w:p>
    <w:p w:rsidR="006A5CF9" w:rsidRPr="006A5CF9" w:rsidRDefault="006A5CF9" w:rsidP="006A5CF9">
      <w:pPr>
        <w:spacing w:after="0" w:line="240" w:lineRule="auto"/>
        <w:rPr>
          <w:rFonts w:ascii="Arial" w:hAnsi="Arial" w:cs="Arial"/>
        </w:rPr>
      </w:pPr>
    </w:p>
    <w:p w:rsidR="006A5CF9" w:rsidRPr="006A5CF9" w:rsidRDefault="006A5CF9" w:rsidP="006A5CF9">
      <w:pPr>
        <w:spacing w:after="0" w:line="240" w:lineRule="auto"/>
        <w:rPr>
          <w:rFonts w:ascii="Arial" w:hAnsi="Arial" w:cs="Arial"/>
        </w:rPr>
      </w:pPr>
    </w:p>
    <w:p w:rsidR="006A5CF9" w:rsidRDefault="006A5CF9" w:rsidP="006A5CF9"/>
    <w:p w:rsidR="006A5CF9" w:rsidRDefault="006A5CF9" w:rsidP="006A5CF9"/>
    <w:p w:rsidR="006A5CF9" w:rsidRPr="00A20CDE" w:rsidRDefault="006A5CF9" w:rsidP="006A5CF9">
      <w:pPr>
        <w:rPr>
          <w:sz w:val="24"/>
          <w:szCs w:val="24"/>
        </w:rPr>
      </w:pPr>
      <w:r w:rsidRPr="00A20CDE">
        <w:rPr>
          <w:sz w:val="24"/>
          <w:szCs w:val="24"/>
        </w:rPr>
        <w:t>November 29, 2011</w:t>
      </w:r>
    </w:p>
    <w:p w:rsidR="006A5CF9" w:rsidRPr="00A20CDE" w:rsidRDefault="006A5CF9" w:rsidP="006A5CF9">
      <w:pPr>
        <w:spacing w:after="0" w:line="240" w:lineRule="auto"/>
        <w:rPr>
          <w:sz w:val="24"/>
          <w:szCs w:val="24"/>
        </w:rPr>
      </w:pPr>
      <w:r w:rsidRPr="00A20CDE">
        <w:rPr>
          <w:sz w:val="24"/>
          <w:szCs w:val="24"/>
        </w:rPr>
        <w:t>Mr. Chad Seely</w:t>
      </w:r>
    </w:p>
    <w:p w:rsidR="006A5CF9" w:rsidRPr="00A20CDE" w:rsidRDefault="006A5CF9" w:rsidP="006A5CF9">
      <w:pPr>
        <w:spacing w:after="0" w:line="240" w:lineRule="auto"/>
        <w:rPr>
          <w:sz w:val="24"/>
          <w:szCs w:val="24"/>
        </w:rPr>
      </w:pPr>
      <w:r w:rsidRPr="00A20CDE">
        <w:rPr>
          <w:sz w:val="24"/>
          <w:szCs w:val="24"/>
        </w:rPr>
        <w:t>Assistant General Counsel</w:t>
      </w:r>
    </w:p>
    <w:p w:rsidR="006A5CF9" w:rsidRPr="00A20CDE" w:rsidRDefault="006A5CF9" w:rsidP="006A5CF9">
      <w:pPr>
        <w:spacing w:after="0" w:line="240" w:lineRule="auto"/>
        <w:rPr>
          <w:sz w:val="24"/>
          <w:szCs w:val="24"/>
        </w:rPr>
      </w:pPr>
      <w:r w:rsidRPr="00A20CDE">
        <w:rPr>
          <w:sz w:val="24"/>
          <w:szCs w:val="24"/>
        </w:rPr>
        <w:t xml:space="preserve">ERCOT </w:t>
      </w:r>
    </w:p>
    <w:p w:rsidR="006A5CF9" w:rsidRPr="00A20CDE" w:rsidRDefault="006A5CF9" w:rsidP="006A5CF9">
      <w:pPr>
        <w:spacing w:after="0" w:line="240" w:lineRule="auto"/>
        <w:rPr>
          <w:rStyle w:val="st"/>
          <w:i/>
          <w:sz w:val="24"/>
          <w:szCs w:val="24"/>
        </w:rPr>
      </w:pPr>
      <w:r w:rsidRPr="00A20CDE">
        <w:rPr>
          <w:rStyle w:val="st"/>
          <w:i/>
          <w:sz w:val="24"/>
          <w:szCs w:val="24"/>
        </w:rPr>
        <w:t xml:space="preserve">7620 </w:t>
      </w:r>
      <w:r w:rsidRPr="00A20CDE">
        <w:rPr>
          <w:rStyle w:val="Emphasis"/>
          <w:i w:val="0"/>
          <w:sz w:val="24"/>
          <w:szCs w:val="24"/>
        </w:rPr>
        <w:t>Metro Center</w:t>
      </w:r>
      <w:r w:rsidRPr="00A20CDE">
        <w:rPr>
          <w:rStyle w:val="st"/>
          <w:i/>
          <w:sz w:val="24"/>
          <w:szCs w:val="24"/>
        </w:rPr>
        <w:t xml:space="preserve"> </w:t>
      </w:r>
      <w:r w:rsidRPr="008F28A4">
        <w:rPr>
          <w:rStyle w:val="st"/>
          <w:sz w:val="24"/>
          <w:szCs w:val="24"/>
        </w:rPr>
        <w:t>Drive</w:t>
      </w:r>
      <w:r w:rsidRPr="00A20CDE">
        <w:rPr>
          <w:rStyle w:val="st"/>
          <w:i/>
          <w:sz w:val="24"/>
          <w:szCs w:val="24"/>
        </w:rPr>
        <w:t xml:space="preserve"> </w:t>
      </w:r>
    </w:p>
    <w:p w:rsidR="006A5CF9" w:rsidRPr="00A20CDE" w:rsidRDefault="006A5CF9" w:rsidP="006A5CF9">
      <w:pPr>
        <w:spacing w:after="0" w:line="240" w:lineRule="auto"/>
        <w:rPr>
          <w:sz w:val="24"/>
          <w:szCs w:val="24"/>
        </w:rPr>
      </w:pPr>
      <w:r w:rsidRPr="00A20CDE">
        <w:rPr>
          <w:rStyle w:val="st"/>
          <w:sz w:val="24"/>
          <w:szCs w:val="24"/>
        </w:rPr>
        <w:t>Austin, Texas 78744</w:t>
      </w:r>
    </w:p>
    <w:p w:rsidR="006A5CF9" w:rsidRPr="00A20CDE" w:rsidRDefault="006A5CF9" w:rsidP="006A5CF9">
      <w:pPr>
        <w:spacing w:after="0" w:line="240" w:lineRule="auto"/>
        <w:rPr>
          <w:sz w:val="24"/>
          <w:szCs w:val="24"/>
        </w:rPr>
      </w:pPr>
    </w:p>
    <w:p w:rsidR="006A5CF9" w:rsidRPr="00A20CDE" w:rsidRDefault="006A5CF9" w:rsidP="006A5CF9">
      <w:pPr>
        <w:spacing w:after="0" w:line="240" w:lineRule="auto"/>
        <w:rPr>
          <w:sz w:val="24"/>
          <w:szCs w:val="24"/>
        </w:rPr>
      </w:pPr>
      <w:r w:rsidRPr="00A20CDE">
        <w:rPr>
          <w:sz w:val="24"/>
          <w:szCs w:val="24"/>
        </w:rPr>
        <w:tab/>
        <w:t>Re: Request for Comments on Draft Amendments to PUC Subst R. 25.207</w:t>
      </w:r>
    </w:p>
    <w:p w:rsidR="006A5CF9" w:rsidRPr="00A20CDE" w:rsidRDefault="006A5CF9" w:rsidP="006A5CF9">
      <w:pPr>
        <w:spacing w:after="0" w:line="240" w:lineRule="auto"/>
        <w:rPr>
          <w:sz w:val="24"/>
          <w:szCs w:val="24"/>
        </w:rPr>
      </w:pPr>
    </w:p>
    <w:p w:rsidR="006A5CF9" w:rsidRPr="00A20CDE" w:rsidRDefault="006A5CF9" w:rsidP="006A5CF9">
      <w:pPr>
        <w:spacing w:after="0" w:line="240" w:lineRule="auto"/>
        <w:rPr>
          <w:sz w:val="24"/>
          <w:szCs w:val="24"/>
        </w:rPr>
      </w:pPr>
      <w:r w:rsidRPr="00A20CDE">
        <w:rPr>
          <w:sz w:val="24"/>
          <w:szCs w:val="24"/>
        </w:rPr>
        <w:t>Dear Mr. Seely:</w:t>
      </w:r>
    </w:p>
    <w:p w:rsidR="006A5CF9" w:rsidRPr="00A20CDE" w:rsidRDefault="006A5CF9" w:rsidP="006A5CF9">
      <w:pPr>
        <w:spacing w:after="0" w:line="240" w:lineRule="auto"/>
        <w:rPr>
          <w:sz w:val="24"/>
          <w:szCs w:val="24"/>
        </w:rPr>
      </w:pPr>
    </w:p>
    <w:p w:rsidR="006A5CF9" w:rsidRPr="00A20CDE" w:rsidRDefault="006A5CF9" w:rsidP="006A5CF9">
      <w:pPr>
        <w:spacing w:after="0" w:line="240" w:lineRule="auto"/>
        <w:rPr>
          <w:sz w:val="24"/>
          <w:szCs w:val="24"/>
        </w:rPr>
      </w:pPr>
      <w:r w:rsidRPr="00A20CDE">
        <w:rPr>
          <w:sz w:val="24"/>
          <w:szCs w:val="24"/>
        </w:rPr>
        <w:t>I appreciate the opportunity to comment on ERCOT’s recommendation</w:t>
      </w:r>
      <w:r w:rsidR="006E54B2">
        <w:rPr>
          <w:sz w:val="24"/>
          <w:szCs w:val="24"/>
        </w:rPr>
        <w:t>s</w:t>
      </w:r>
      <w:r w:rsidRPr="00A20CDE">
        <w:rPr>
          <w:sz w:val="24"/>
          <w:szCs w:val="24"/>
        </w:rPr>
        <w:t xml:space="preserve"> to the Public Utility Commission of Texas in regard to </w:t>
      </w:r>
      <w:r w:rsidR="00AA472E" w:rsidRPr="00A20CDE">
        <w:rPr>
          <w:sz w:val="24"/>
          <w:szCs w:val="24"/>
        </w:rPr>
        <w:t>PUC Subst. R. 25.207, the Emergency Interruptible Load Service (EILS) rule.</w:t>
      </w:r>
      <w:r w:rsidR="00967885">
        <w:rPr>
          <w:sz w:val="24"/>
          <w:szCs w:val="24"/>
        </w:rPr>
        <w:t xml:space="preserve"> </w:t>
      </w:r>
      <w:r w:rsidR="00A20CDE" w:rsidRPr="00A20CDE">
        <w:rPr>
          <w:sz w:val="24"/>
          <w:szCs w:val="24"/>
        </w:rPr>
        <w:t xml:space="preserve"> I am submitting these comments on my own behalf given the relatively rapid turnaround </w:t>
      </w:r>
      <w:r w:rsidR="00967885">
        <w:rPr>
          <w:sz w:val="24"/>
          <w:szCs w:val="24"/>
        </w:rPr>
        <w:t>requested</w:t>
      </w:r>
      <w:r w:rsidR="00A20CDE" w:rsidRPr="00A20CDE">
        <w:rPr>
          <w:sz w:val="24"/>
          <w:szCs w:val="24"/>
        </w:rPr>
        <w:t xml:space="preserve"> by the ERCOT staff. </w:t>
      </w:r>
    </w:p>
    <w:p w:rsidR="00AA472E" w:rsidRPr="00A20CDE" w:rsidRDefault="00AA472E" w:rsidP="006A5CF9">
      <w:pPr>
        <w:spacing w:after="0" w:line="240" w:lineRule="auto"/>
        <w:rPr>
          <w:sz w:val="24"/>
          <w:szCs w:val="24"/>
        </w:rPr>
      </w:pPr>
    </w:p>
    <w:p w:rsidR="00AA472E" w:rsidRPr="00A20CDE" w:rsidRDefault="00AA472E">
      <w:pPr>
        <w:rPr>
          <w:sz w:val="24"/>
          <w:szCs w:val="24"/>
        </w:rPr>
      </w:pPr>
      <w:r w:rsidRPr="00A20CDE">
        <w:rPr>
          <w:sz w:val="24"/>
          <w:szCs w:val="24"/>
        </w:rPr>
        <w:t xml:space="preserve">In general, I support the direction </w:t>
      </w:r>
      <w:r w:rsidR="00F9005A" w:rsidRPr="00A20CDE">
        <w:rPr>
          <w:sz w:val="24"/>
          <w:szCs w:val="24"/>
        </w:rPr>
        <w:t>of</w:t>
      </w:r>
      <w:r w:rsidRPr="00A20CDE">
        <w:rPr>
          <w:sz w:val="24"/>
          <w:szCs w:val="24"/>
        </w:rPr>
        <w:t xml:space="preserve"> the </w:t>
      </w:r>
      <w:r w:rsidR="00F9005A" w:rsidRPr="00A20CDE">
        <w:rPr>
          <w:sz w:val="24"/>
          <w:szCs w:val="24"/>
        </w:rPr>
        <w:t xml:space="preserve">ERCOT </w:t>
      </w:r>
      <w:r w:rsidRPr="00A20CDE">
        <w:rPr>
          <w:sz w:val="24"/>
          <w:szCs w:val="24"/>
        </w:rPr>
        <w:t>staff</w:t>
      </w:r>
      <w:r w:rsidR="00F9005A" w:rsidRPr="00A20CDE">
        <w:rPr>
          <w:sz w:val="24"/>
          <w:szCs w:val="24"/>
        </w:rPr>
        <w:t>’s</w:t>
      </w:r>
      <w:r w:rsidRPr="00A20CDE">
        <w:rPr>
          <w:sz w:val="24"/>
          <w:szCs w:val="24"/>
        </w:rPr>
        <w:t xml:space="preserve"> proposal</w:t>
      </w:r>
      <w:r w:rsidR="00F9005A" w:rsidRPr="00A20CDE">
        <w:rPr>
          <w:sz w:val="24"/>
          <w:szCs w:val="24"/>
        </w:rPr>
        <w:t xml:space="preserve"> which seeks</w:t>
      </w:r>
      <w:r w:rsidRPr="00A20CDE">
        <w:rPr>
          <w:sz w:val="24"/>
          <w:szCs w:val="24"/>
        </w:rPr>
        <w:t xml:space="preserve"> to open the program to more resources and to provide the ERCOT staff with more operational flexibility to manage the program.  I also applaud the willingness of ERCOT management and staff to support </w:t>
      </w:r>
      <w:r w:rsidR="00C95681">
        <w:rPr>
          <w:sz w:val="24"/>
          <w:szCs w:val="24"/>
        </w:rPr>
        <w:t>the</w:t>
      </w:r>
      <w:r w:rsidRPr="00A20CDE">
        <w:rPr>
          <w:sz w:val="24"/>
          <w:szCs w:val="24"/>
        </w:rPr>
        <w:t xml:space="preserve"> program</w:t>
      </w:r>
      <w:r w:rsidR="00C95681" w:rsidRPr="00A20CDE">
        <w:rPr>
          <w:sz w:val="24"/>
          <w:szCs w:val="24"/>
        </w:rPr>
        <w:t xml:space="preserve"> which</w:t>
      </w:r>
      <w:r w:rsidRPr="00A20CDE">
        <w:rPr>
          <w:sz w:val="24"/>
          <w:szCs w:val="24"/>
        </w:rPr>
        <w:t xml:space="preserve"> has clearly provided demonstrated reliability benefits to the ERCOT market</w:t>
      </w:r>
      <w:r w:rsidR="00C95681">
        <w:rPr>
          <w:sz w:val="24"/>
          <w:szCs w:val="24"/>
        </w:rPr>
        <w:t xml:space="preserve"> even</w:t>
      </w:r>
      <w:r w:rsidR="00C95681" w:rsidRPr="00C95681">
        <w:rPr>
          <w:sz w:val="24"/>
          <w:szCs w:val="24"/>
        </w:rPr>
        <w:t xml:space="preserve"> </w:t>
      </w:r>
      <w:r w:rsidR="00C95681">
        <w:rPr>
          <w:sz w:val="24"/>
          <w:szCs w:val="24"/>
        </w:rPr>
        <w:t>in the face of the unwarranted intransigent opposition from certain stakeholders dating back to program inception</w:t>
      </w:r>
      <w:r w:rsidR="00F9005A" w:rsidRPr="00A20CDE">
        <w:rPr>
          <w:sz w:val="24"/>
          <w:szCs w:val="24"/>
        </w:rPr>
        <w:t>.</w:t>
      </w:r>
      <w:r w:rsidRPr="00A20CDE">
        <w:rPr>
          <w:sz w:val="24"/>
          <w:szCs w:val="24"/>
        </w:rPr>
        <w:t xml:space="preserve">    </w:t>
      </w:r>
    </w:p>
    <w:p w:rsidR="00F9005A" w:rsidRPr="00A20CDE" w:rsidRDefault="00F9005A">
      <w:pPr>
        <w:rPr>
          <w:sz w:val="24"/>
          <w:szCs w:val="24"/>
        </w:rPr>
      </w:pPr>
      <w:r w:rsidRPr="00A20CDE">
        <w:rPr>
          <w:sz w:val="24"/>
          <w:szCs w:val="24"/>
        </w:rPr>
        <w:t>Nevertheless</w:t>
      </w:r>
      <w:r w:rsidR="00AA472E" w:rsidRPr="00A20CDE">
        <w:rPr>
          <w:sz w:val="24"/>
          <w:szCs w:val="24"/>
        </w:rPr>
        <w:t>, I remain concerned that the ERCOT staff’s proposal</w:t>
      </w:r>
      <w:r w:rsidRPr="00A20CDE">
        <w:rPr>
          <w:sz w:val="24"/>
          <w:szCs w:val="24"/>
        </w:rPr>
        <w:t>s</w:t>
      </w:r>
      <w:r w:rsidR="00AA472E" w:rsidRPr="00A20CDE">
        <w:rPr>
          <w:sz w:val="24"/>
          <w:szCs w:val="24"/>
        </w:rPr>
        <w:t xml:space="preserve"> </w:t>
      </w:r>
      <w:r w:rsidRPr="00A20CDE">
        <w:rPr>
          <w:sz w:val="24"/>
          <w:szCs w:val="24"/>
        </w:rPr>
        <w:t xml:space="preserve">fail to </w:t>
      </w:r>
      <w:r w:rsidR="00AA472E" w:rsidRPr="00A20CDE">
        <w:rPr>
          <w:sz w:val="24"/>
          <w:szCs w:val="24"/>
        </w:rPr>
        <w:t>address fundamental design flaws</w:t>
      </w:r>
      <w:r w:rsidRPr="00A20CDE">
        <w:rPr>
          <w:sz w:val="24"/>
          <w:szCs w:val="24"/>
        </w:rPr>
        <w:t xml:space="preserve"> </w:t>
      </w:r>
      <w:r w:rsidR="006E54B2">
        <w:rPr>
          <w:sz w:val="24"/>
          <w:szCs w:val="24"/>
        </w:rPr>
        <w:t xml:space="preserve">in the EILS program </w:t>
      </w:r>
      <w:r w:rsidRPr="00A20CDE">
        <w:rPr>
          <w:sz w:val="24"/>
          <w:szCs w:val="24"/>
        </w:rPr>
        <w:t>and in some cases will exacerbate some problems</w:t>
      </w:r>
      <w:r w:rsidR="00AA472E" w:rsidRPr="00A20CDE">
        <w:rPr>
          <w:sz w:val="24"/>
          <w:szCs w:val="24"/>
        </w:rPr>
        <w:t xml:space="preserve">. As such, the </w:t>
      </w:r>
      <w:r w:rsidR="006E54B2">
        <w:rPr>
          <w:sz w:val="24"/>
          <w:szCs w:val="24"/>
        </w:rPr>
        <w:t xml:space="preserve">EILS </w:t>
      </w:r>
      <w:r w:rsidR="00AA472E" w:rsidRPr="00A20CDE">
        <w:rPr>
          <w:sz w:val="24"/>
          <w:szCs w:val="24"/>
        </w:rPr>
        <w:t>program, which was originally envisioned</w:t>
      </w:r>
      <w:r w:rsidRPr="00A20CDE">
        <w:rPr>
          <w:sz w:val="24"/>
          <w:szCs w:val="24"/>
        </w:rPr>
        <w:t xml:space="preserve"> as a mechanism </w:t>
      </w:r>
      <w:r w:rsidR="00AA472E" w:rsidRPr="00A20CDE">
        <w:rPr>
          <w:sz w:val="24"/>
          <w:szCs w:val="24"/>
        </w:rPr>
        <w:t xml:space="preserve">to </w:t>
      </w:r>
      <w:r w:rsidRPr="00A20CDE">
        <w:rPr>
          <w:sz w:val="24"/>
          <w:szCs w:val="24"/>
        </w:rPr>
        <w:t xml:space="preserve">provide reliability benefits by </w:t>
      </w:r>
      <w:r w:rsidR="00AA472E" w:rsidRPr="00A20CDE">
        <w:rPr>
          <w:sz w:val="24"/>
          <w:szCs w:val="24"/>
        </w:rPr>
        <w:t>attract</w:t>
      </w:r>
      <w:r w:rsidRPr="00A20CDE">
        <w:rPr>
          <w:sz w:val="24"/>
          <w:szCs w:val="24"/>
        </w:rPr>
        <w:t>ing</w:t>
      </w:r>
      <w:r w:rsidR="00AA472E" w:rsidRPr="00A20CDE">
        <w:rPr>
          <w:sz w:val="24"/>
          <w:szCs w:val="24"/>
        </w:rPr>
        <w:t xml:space="preserve"> up to 1000 MW of new demand response resources to participate in the ERCOT market, </w:t>
      </w:r>
      <w:r w:rsidRPr="00A20CDE">
        <w:rPr>
          <w:sz w:val="24"/>
          <w:szCs w:val="24"/>
        </w:rPr>
        <w:t xml:space="preserve">will continue to fail to meet its intended goals. </w:t>
      </w:r>
    </w:p>
    <w:p w:rsidR="00AA472E" w:rsidRPr="00A20CDE" w:rsidRDefault="00F9005A">
      <w:pPr>
        <w:rPr>
          <w:sz w:val="24"/>
          <w:szCs w:val="24"/>
        </w:rPr>
      </w:pPr>
      <w:r w:rsidRPr="00A20CDE">
        <w:rPr>
          <w:sz w:val="24"/>
          <w:szCs w:val="24"/>
        </w:rPr>
        <w:t>I have detailed below some of the major concerns with the existing rule and with the ERCOT staff’s proposed changes.</w:t>
      </w:r>
      <w:r w:rsidR="00AA472E" w:rsidRPr="00A20CDE">
        <w:rPr>
          <w:sz w:val="24"/>
          <w:szCs w:val="24"/>
        </w:rPr>
        <w:t xml:space="preserve"> </w:t>
      </w:r>
    </w:p>
    <w:p w:rsidR="00F9005A" w:rsidRPr="00A20CDE" w:rsidRDefault="00F9005A">
      <w:pPr>
        <w:rPr>
          <w:b/>
          <w:sz w:val="24"/>
          <w:szCs w:val="24"/>
        </w:rPr>
      </w:pPr>
      <w:r w:rsidRPr="00A20CDE">
        <w:rPr>
          <w:b/>
          <w:sz w:val="24"/>
          <w:szCs w:val="24"/>
        </w:rPr>
        <w:lastRenderedPageBreak/>
        <w:t>Program Scope</w:t>
      </w:r>
    </w:p>
    <w:p w:rsidR="00F9005A" w:rsidRPr="00A20CDE" w:rsidRDefault="00F9005A">
      <w:pPr>
        <w:rPr>
          <w:bCs/>
          <w:color w:val="000000"/>
          <w:sz w:val="24"/>
          <w:szCs w:val="24"/>
        </w:rPr>
      </w:pPr>
      <w:r w:rsidRPr="00A20CDE">
        <w:rPr>
          <w:sz w:val="24"/>
          <w:szCs w:val="24"/>
        </w:rPr>
        <w:t>As originally conceived</w:t>
      </w:r>
      <w:r w:rsidR="006E54B2">
        <w:rPr>
          <w:sz w:val="24"/>
          <w:szCs w:val="24"/>
        </w:rPr>
        <w:t>,</w:t>
      </w:r>
      <w:r w:rsidRPr="00A20CDE">
        <w:rPr>
          <w:sz w:val="24"/>
          <w:szCs w:val="24"/>
        </w:rPr>
        <w:t xml:space="preserve"> the EILS program was intend</w:t>
      </w:r>
      <w:r w:rsidR="00AB5C8F" w:rsidRPr="00A20CDE">
        <w:rPr>
          <w:sz w:val="24"/>
          <w:szCs w:val="24"/>
        </w:rPr>
        <w:t>ed to improve reliability as well as promote the development of demand response resources in the ERCOT market by providing “</w:t>
      </w:r>
      <w:r w:rsidR="00967885" w:rsidRPr="00A20CDE">
        <w:rPr>
          <w:sz w:val="24"/>
          <w:szCs w:val="24"/>
        </w:rPr>
        <w:t>meaningful demand</w:t>
      </w:r>
      <w:r w:rsidR="00AB5C8F" w:rsidRPr="00A20CDE">
        <w:rPr>
          <w:bCs/>
          <w:color w:val="000000"/>
          <w:sz w:val="24"/>
          <w:szCs w:val="24"/>
        </w:rPr>
        <w:t xml:space="preserve"> response opportunities for all customer classes.” </w:t>
      </w:r>
      <w:r w:rsidR="00AB5C8F" w:rsidRPr="00A20CDE">
        <w:rPr>
          <w:rStyle w:val="FootnoteReference"/>
          <w:bCs/>
          <w:color w:val="000000"/>
          <w:sz w:val="24"/>
          <w:szCs w:val="24"/>
        </w:rPr>
        <w:footnoteReference w:id="1"/>
      </w:r>
    </w:p>
    <w:p w:rsidR="00AC2FAD" w:rsidRPr="00A20CDE" w:rsidRDefault="006E54B2">
      <w:pPr>
        <w:rPr>
          <w:bCs/>
          <w:color w:val="000000"/>
          <w:sz w:val="24"/>
          <w:szCs w:val="24"/>
        </w:rPr>
      </w:pPr>
      <w:r>
        <w:rPr>
          <w:bCs/>
          <w:color w:val="000000"/>
          <w:sz w:val="24"/>
          <w:szCs w:val="24"/>
        </w:rPr>
        <w:t>The</w:t>
      </w:r>
      <w:r w:rsidR="00AC2FAD" w:rsidRPr="00A20CDE">
        <w:rPr>
          <w:bCs/>
          <w:color w:val="000000"/>
          <w:sz w:val="24"/>
          <w:szCs w:val="24"/>
        </w:rPr>
        <w:t xml:space="preserve"> EILS program was intended to attract 1000 MW of new demand response resources, but </w:t>
      </w:r>
      <w:r w:rsidR="00427B5D" w:rsidRPr="00A20CDE">
        <w:rPr>
          <w:bCs/>
          <w:color w:val="000000"/>
          <w:sz w:val="24"/>
          <w:szCs w:val="24"/>
        </w:rPr>
        <w:t xml:space="preserve">unfortunately, </w:t>
      </w:r>
      <w:r w:rsidR="00B23F9D" w:rsidRPr="00A20CDE">
        <w:rPr>
          <w:bCs/>
          <w:color w:val="000000"/>
          <w:sz w:val="24"/>
          <w:szCs w:val="24"/>
        </w:rPr>
        <w:t>about 450-466 MW are participating in business hours and 388 MW are participating in non-businesses hour time periods</w:t>
      </w:r>
      <w:r w:rsidR="00427B5D" w:rsidRPr="00A20CDE">
        <w:rPr>
          <w:bCs/>
          <w:color w:val="000000"/>
          <w:sz w:val="24"/>
          <w:szCs w:val="24"/>
        </w:rPr>
        <w:t xml:space="preserve"> as of the last bidding cycle</w:t>
      </w:r>
      <w:r w:rsidR="00B23F9D" w:rsidRPr="00A20CDE">
        <w:rPr>
          <w:bCs/>
          <w:color w:val="000000"/>
          <w:sz w:val="24"/>
          <w:szCs w:val="24"/>
        </w:rPr>
        <w:t>.</w:t>
      </w:r>
      <w:r w:rsidR="00B23F9D" w:rsidRPr="00A20CDE">
        <w:rPr>
          <w:rStyle w:val="FootnoteReference"/>
          <w:bCs/>
          <w:color w:val="000000"/>
          <w:sz w:val="24"/>
          <w:szCs w:val="24"/>
        </w:rPr>
        <w:footnoteReference w:id="2"/>
      </w:r>
      <w:r w:rsidR="00B23F9D" w:rsidRPr="00A20CDE">
        <w:rPr>
          <w:bCs/>
          <w:color w:val="000000"/>
          <w:sz w:val="24"/>
          <w:szCs w:val="24"/>
        </w:rPr>
        <w:t xml:space="preserve">   </w:t>
      </w:r>
    </w:p>
    <w:p w:rsidR="007E67DB" w:rsidRDefault="00AC2FAD">
      <w:pPr>
        <w:rPr>
          <w:bCs/>
          <w:color w:val="000000"/>
          <w:sz w:val="24"/>
          <w:szCs w:val="24"/>
        </w:rPr>
      </w:pPr>
      <w:r w:rsidRPr="00A20CDE">
        <w:rPr>
          <w:bCs/>
          <w:color w:val="000000"/>
          <w:sz w:val="24"/>
          <w:szCs w:val="24"/>
        </w:rPr>
        <w:t xml:space="preserve">ERCOT’s staff’s </w:t>
      </w:r>
      <w:r w:rsidR="006E54B2">
        <w:rPr>
          <w:bCs/>
          <w:color w:val="000000"/>
          <w:sz w:val="24"/>
          <w:szCs w:val="24"/>
        </w:rPr>
        <w:t>proposal</w:t>
      </w:r>
      <w:r w:rsidRPr="00A20CDE">
        <w:rPr>
          <w:bCs/>
          <w:color w:val="000000"/>
          <w:sz w:val="24"/>
          <w:szCs w:val="24"/>
        </w:rPr>
        <w:t xml:space="preserve"> to</w:t>
      </w:r>
      <w:r w:rsidR="007E67DB">
        <w:rPr>
          <w:bCs/>
          <w:color w:val="000000"/>
          <w:sz w:val="24"/>
          <w:szCs w:val="24"/>
        </w:rPr>
        <w:t xml:space="preserve"> now</w:t>
      </w:r>
      <w:r w:rsidRPr="00A20CDE">
        <w:rPr>
          <w:bCs/>
          <w:color w:val="000000"/>
          <w:sz w:val="24"/>
          <w:szCs w:val="24"/>
        </w:rPr>
        <w:t xml:space="preserve"> expand participation by including distributed generation </w:t>
      </w:r>
      <w:r w:rsidR="00C95681">
        <w:rPr>
          <w:bCs/>
          <w:color w:val="000000"/>
          <w:sz w:val="24"/>
          <w:szCs w:val="24"/>
        </w:rPr>
        <w:t xml:space="preserve">in the rule </w:t>
      </w:r>
      <w:r w:rsidRPr="00A20CDE">
        <w:rPr>
          <w:bCs/>
          <w:color w:val="000000"/>
          <w:sz w:val="24"/>
          <w:szCs w:val="24"/>
        </w:rPr>
        <w:t xml:space="preserve">changes the </w:t>
      </w:r>
      <w:r w:rsidR="00B23F9D" w:rsidRPr="00A20CDE">
        <w:rPr>
          <w:bCs/>
          <w:color w:val="000000"/>
          <w:sz w:val="24"/>
          <w:szCs w:val="24"/>
        </w:rPr>
        <w:t>Commission’s original intent</w:t>
      </w:r>
      <w:r w:rsidR="008E51ED">
        <w:rPr>
          <w:bCs/>
          <w:color w:val="000000"/>
          <w:sz w:val="24"/>
          <w:szCs w:val="24"/>
        </w:rPr>
        <w:t xml:space="preserve"> for the rule, which is</w:t>
      </w:r>
      <w:r w:rsidR="00B23F9D" w:rsidRPr="00A20CDE">
        <w:rPr>
          <w:bCs/>
          <w:color w:val="000000"/>
          <w:sz w:val="24"/>
          <w:szCs w:val="24"/>
        </w:rPr>
        <w:t xml:space="preserve"> </w:t>
      </w:r>
      <w:r w:rsidR="00C95681">
        <w:rPr>
          <w:bCs/>
          <w:color w:val="000000"/>
          <w:sz w:val="24"/>
          <w:szCs w:val="24"/>
        </w:rPr>
        <w:t>to</w:t>
      </w:r>
      <w:r w:rsidR="006E54B2">
        <w:rPr>
          <w:bCs/>
          <w:color w:val="000000"/>
          <w:sz w:val="24"/>
          <w:szCs w:val="24"/>
        </w:rPr>
        <w:t xml:space="preserve"> focus on encouraging demand side participation, an area in which ERCOT cont</w:t>
      </w:r>
      <w:r w:rsidR="007E67DB">
        <w:rPr>
          <w:bCs/>
          <w:color w:val="000000"/>
          <w:sz w:val="24"/>
          <w:szCs w:val="24"/>
        </w:rPr>
        <w:t>inues to lag behind other ISOs, as ERCOT management and staff have routinely acknowledged on many occasions.</w:t>
      </w:r>
      <w:r w:rsidR="007E67DB">
        <w:rPr>
          <w:rStyle w:val="FootnoteReference"/>
          <w:bCs/>
          <w:color w:val="000000"/>
          <w:sz w:val="24"/>
          <w:szCs w:val="24"/>
        </w:rPr>
        <w:footnoteReference w:id="3"/>
      </w:r>
    </w:p>
    <w:p w:rsidR="007C2C07" w:rsidRDefault="007E67DB">
      <w:pPr>
        <w:rPr>
          <w:bCs/>
          <w:color w:val="000000"/>
          <w:sz w:val="24"/>
          <w:szCs w:val="24"/>
        </w:rPr>
      </w:pPr>
      <w:r>
        <w:rPr>
          <w:bCs/>
          <w:color w:val="000000"/>
          <w:sz w:val="24"/>
          <w:szCs w:val="24"/>
        </w:rPr>
        <w:t>Rather than change the intent of the program, the ERCOT staff should instead focus</w:t>
      </w:r>
      <w:r w:rsidR="008E51ED">
        <w:rPr>
          <w:bCs/>
          <w:color w:val="000000"/>
          <w:sz w:val="24"/>
          <w:szCs w:val="24"/>
        </w:rPr>
        <w:t xml:space="preserve"> its suggested changes</w:t>
      </w:r>
      <w:r>
        <w:rPr>
          <w:bCs/>
          <w:color w:val="000000"/>
          <w:sz w:val="24"/>
          <w:szCs w:val="24"/>
        </w:rPr>
        <w:t xml:space="preserve"> on how to encourage </w:t>
      </w:r>
      <w:r w:rsidR="008E51ED">
        <w:rPr>
          <w:bCs/>
          <w:color w:val="000000"/>
          <w:sz w:val="24"/>
          <w:szCs w:val="24"/>
        </w:rPr>
        <w:t xml:space="preserve">more customers </w:t>
      </w:r>
      <w:r>
        <w:rPr>
          <w:bCs/>
          <w:color w:val="000000"/>
          <w:sz w:val="24"/>
          <w:szCs w:val="24"/>
        </w:rPr>
        <w:t xml:space="preserve">to participate in </w:t>
      </w:r>
      <w:r w:rsidR="008E51ED">
        <w:rPr>
          <w:bCs/>
          <w:color w:val="000000"/>
          <w:sz w:val="24"/>
          <w:szCs w:val="24"/>
        </w:rPr>
        <w:t xml:space="preserve">the </w:t>
      </w:r>
      <w:r>
        <w:rPr>
          <w:bCs/>
          <w:color w:val="000000"/>
          <w:sz w:val="24"/>
          <w:szCs w:val="24"/>
        </w:rPr>
        <w:t>ERCOT market</w:t>
      </w:r>
      <w:r w:rsidR="008E51ED">
        <w:rPr>
          <w:bCs/>
          <w:color w:val="000000"/>
          <w:sz w:val="24"/>
          <w:szCs w:val="24"/>
        </w:rPr>
        <w:t xml:space="preserve"> in order to achieve </w:t>
      </w:r>
      <w:r>
        <w:rPr>
          <w:bCs/>
          <w:color w:val="000000"/>
          <w:sz w:val="24"/>
          <w:szCs w:val="24"/>
        </w:rPr>
        <w:t>the original goal</w:t>
      </w:r>
      <w:r w:rsidR="008E51ED">
        <w:rPr>
          <w:bCs/>
          <w:color w:val="000000"/>
          <w:sz w:val="24"/>
          <w:szCs w:val="24"/>
        </w:rPr>
        <w:t xml:space="preserve"> </w:t>
      </w:r>
      <w:r>
        <w:rPr>
          <w:bCs/>
          <w:color w:val="000000"/>
          <w:sz w:val="24"/>
          <w:szCs w:val="24"/>
        </w:rPr>
        <w:t xml:space="preserve">for the EILS program. </w:t>
      </w:r>
    </w:p>
    <w:p w:rsidR="00AC2FAD" w:rsidRPr="00A20CDE" w:rsidRDefault="007E67DB">
      <w:pPr>
        <w:rPr>
          <w:bCs/>
          <w:color w:val="000000"/>
          <w:sz w:val="24"/>
          <w:szCs w:val="24"/>
        </w:rPr>
      </w:pPr>
      <w:r>
        <w:rPr>
          <w:bCs/>
          <w:color w:val="000000"/>
          <w:sz w:val="24"/>
          <w:szCs w:val="24"/>
        </w:rPr>
        <w:t>In this respect, t</w:t>
      </w:r>
      <w:r w:rsidR="006E54B2">
        <w:rPr>
          <w:bCs/>
          <w:color w:val="000000"/>
          <w:sz w:val="24"/>
          <w:szCs w:val="24"/>
        </w:rPr>
        <w:t>he pro</w:t>
      </w:r>
      <w:r w:rsidR="007C2C07">
        <w:rPr>
          <w:bCs/>
          <w:color w:val="000000"/>
          <w:sz w:val="24"/>
          <w:szCs w:val="24"/>
        </w:rPr>
        <w:t xml:space="preserve">posal fails to </w:t>
      </w:r>
      <w:r w:rsidR="00AC2FAD" w:rsidRPr="00A20CDE">
        <w:rPr>
          <w:bCs/>
          <w:color w:val="000000"/>
          <w:sz w:val="24"/>
          <w:szCs w:val="24"/>
        </w:rPr>
        <w:t>address the fundamental issue</w:t>
      </w:r>
      <w:r w:rsidR="007C2C07">
        <w:rPr>
          <w:bCs/>
          <w:color w:val="000000"/>
          <w:sz w:val="24"/>
          <w:szCs w:val="24"/>
        </w:rPr>
        <w:t xml:space="preserve"> constraining growth of the program. </w:t>
      </w:r>
      <w:r w:rsidR="00AC2FAD" w:rsidRPr="00A20CDE">
        <w:rPr>
          <w:bCs/>
          <w:color w:val="000000"/>
          <w:sz w:val="24"/>
          <w:szCs w:val="24"/>
        </w:rPr>
        <w:t xml:space="preserve"> </w:t>
      </w:r>
      <w:r w:rsidR="007C2C07">
        <w:rPr>
          <w:bCs/>
          <w:color w:val="000000"/>
          <w:sz w:val="24"/>
          <w:szCs w:val="24"/>
        </w:rPr>
        <w:t>T</w:t>
      </w:r>
      <w:r w:rsidR="00AC2FAD" w:rsidRPr="00A20CDE">
        <w:rPr>
          <w:bCs/>
          <w:color w:val="000000"/>
          <w:sz w:val="24"/>
          <w:szCs w:val="24"/>
        </w:rPr>
        <w:t>he rule</w:t>
      </w:r>
      <w:r w:rsidR="00427B5D" w:rsidRPr="00A20CDE">
        <w:rPr>
          <w:bCs/>
          <w:color w:val="000000"/>
          <w:sz w:val="24"/>
          <w:szCs w:val="24"/>
        </w:rPr>
        <w:t>’s</w:t>
      </w:r>
      <w:r w:rsidR="00AC2FAD" w:rsidRPr="00A20CDE">
        <w:rPr>
          <w:bCs/>
          <w:color w:val="000000"/>
          <w:sz w:val="24"/>
          <w:szCs w:val="24"/>
        </w:rPr>
        <w:t xml:space="preserve"> limit</w:t>
      </w:r>
      <w:r w:rsidR="00427B5D" w:rsidRPr="00A20CDE">
        <w:rPr>
          <w:bCs/>
          <w:color w:val="000000"/>
          <w:sz w:val="24"/>
          <w:szCs w:val="24"/>
        </w:rPr>
        <w:t xml:space="preserve">ation </w:t>
      </w:r>
      <w:r w:rsidR="00AC2FAD" w:rsidRPr="00A20CDE">
        <w:rPr>
          <w:bCs/>
          <w:color w:val="000000"/>
          <w:sz w:val="24"/>
          <w:szCs w:val="24"/>
        </w:rPr>
        <w:t xml:space="preserve">to resources that </w:t>
      </w:r>
      <w:r w:rsidR="007C2C07">
        <w:rPr>
          <w:bCs/>
          <w:color w:val="000000"/>
          <w:sz w:val="24"/>
          <w:szCs w:val="24"/>
        </w:rPr>
        <w:t>can</w:t>
      </w:r>
      <w:r w:rsidR="00AC2FAD" w:rsidRPr="00A20CDE">
        <w:rPr>
          <w:bCs/>
          <w:color w:val="000000"/>
          <w:sz w:val="24"/>
          <w:szCs w:val="24"/>
        </w:rPr>
        <w:t xml:space="preserve"> reduce demand in 10 minutes, a very short time frame</w:t>
      </w:r>
      <w:r w:rsidR="00427B5D" w:rsidRPr="00A20CDE">
        <w:rPr>
          <w:bCs/>
          <w:color w:val="000000"/>
          <w:sz w:val="24"/>
          <w:szCs w:val="24"/>
        </w:rPr>
        <w:t>,</w:t>
      </w:r>
      <w:r w:rsidR="00AC2FAD" w:rsidRPr="00A20CDE">
        <w:rPr>
          <w:bCs/>
          <w:color w:val="000000"/>
          <w:sz w:val="24"/>
          <w:szCs w:val="24"/>
        </w:rPr>
        <w:t xml:space="preserve"> has precluded participation </w:t>
      </w:r>
      <w:r w:rsidR="007C2C07">
        <w:rPr>
          <w:bCs/>
          <w:color w:val="000000"/>
          <w:sz w:val="24"/>
          <w:szCs w:val="24"/>
        </w:rPr>
        <w:t>by</w:t>
      </w:r>
      <w:r w:rsidR="00AC2FAD" w:rsidRPr="00A20CDE">
        <w:rPr>
          <w:bCs/>
          <w:color w:val="000000"/>
          <w:sz w:val="24"/>
          <w:szCs w:val="24"/>
        </w:rPr>
        <w:t xml:space="preserve"> a large number of otherwise</w:t>
      </w:r>
      <w:r w:rsidR="00427B5D" w:rsidRPr="00A20CDE">
        <w:rPr>
          <w:bCs/>
          <w:color w:val="000000"/>
          <w:sz w:val="24"/>
          <w:szCs w:val="24"/>
        </w:rPr>
        <w:t xml:space="preserve"> interested and</w:t>
      </w:r>
      <w:r w:rsidR="00AC2FAD" w:rsidRPr="00A20CDE">
        <w:rPr>
          <w:bCs/>
          <w:color w:val="000000"/>
          <w:sz w:val="24"/>
          <w:szCs w:val="24"/>
        </w:rPr>
        <w:t xml:space="preserve"> willing customers.</w:t>
      </w:r>
    </w:p>
    <w:p w:rsidR="007C2C07" w:rsidRPr="007C2C07" w:rsidRDefault="00B23F9D">
      <w:pPr>
        <w:rPr>
          <w:sz w:val="24"/>
          <w:szCs w:val="24"/>
        </w:rPr>
      </w:pPr>
      <w:r w:rsidRPr="00A20CDE">
        <w:rPr>
          <w:bCs/>
          <w:color w:val="000000"/>
          <w:sz w:val="24"/>
          <w:szCs w:val="24"/>
        </w:rPr>
        <w:t xml:space="preserve">While </w:t>
      </w:r>
      <w:r w:rsidR="007C2C07">
        <w:rPr>
          <w:bCs/>
          <w:color w:val="000000"/>
          <w:sz w:val="24"/>
          <w:szCs w:val="24"/>
        </w:rPr>
        <w:t>including</w:t>
      </w:r>
      <w:r w:rsidRPr="00A20CDE">
        <w:rPr>
          <w:bCs/>
          <w:color w:val="000000"/>
          <w:sz w:val="24"/>
          <w:szCs w:val="24"/>
        </w:rPr>
        <w:t xml:space="preserve"> distributed generation may provide some </w:t>
      </w:r>
      <w:r w:rsidR="00C747EB" w:rsidRPr="00A20CDE">
        <w:rPr>
          <w:bCs/>
          <w:color w:val="000000"/>
          <w:sz w:val="24"/>
          <w:szCs w:val="24"/>
        </w:rPr>
        <w:t>opportunities for a new class of resource to participate, it is not clear</w:t>
      </w:r>
      <w:r w:rsidR="00427B5D" w:rsidRPr="00A20CDE">
        <w:rPr>
          <w:bCs/>
          <w:color w:val="000000"/>
          <w:sz w:val="24"/>
          <w:szCs w:val="24"/>
        </w:rPr>
        <w:t xml:space="preserve"> this change will improve the program. First, it is not clear</w:t>
      </w:r>
      <w:r w:rsidR="00C747EB" w:rsidRPr="00A20CDE">
        <w:rPr>
          <w:bCs/>
          <w:color w:val="000000"/>
          <w:sz w:val="24"/>
          <w:szCs w:val="24"/>
        </w:rPr>
        <w:t xml:space="preserve"> what resource ERCOT is targeting for participation since </w:t>
      </w:r>
      <w:r w:rsidR="00142CD8" w:rsidRPr="00A20CDE">
        <w:rPr>
          <w:bCs/>
          <w:color w:val="000000"/>
          <w:sz w:val="24"/>
          <w:szCs w:val="24"/>
        </w:rPr>
        <w:t xml:space="preserve">the term </w:t>
      </w:r>
      <w:r w:rsidR="00C747EB" w:rsidRPr="00A20CDE">
        <w:rPr>
          <w:bCs/>
          <w:color w:val="000000"/>
          <w:sz w:val="24"/>
          <w:szCs w:val="24"/>
        </w:rPr>
        <w:t xml:space="preserve">“dispatchable distributed </w:t>
      </w:r>
      <w:r w:rsidR="00C747EB" w:rsidRPr="007C2C07">
        <w:rPr>
          <w:bCs/>
          <w:color w:val="000000"/>
          <w:sz w:val="24"/>
          <w:szCs w:val="24"/>
        </w:rPr>
        <w:t xml:space="preserve">generation” is not defined by the proposed rule. </w:t>
      </w:r>
      <w:r w:rsidR="007C2C07" w:rsidRPr="007C2C07">
        <w:rPr>
          <w:bCs/>
          <w:color w:val="000000"/>
          <w:sz w:val="24"/>
          <w:szCs w:val="24"/>
        </w:rPr>
        <w:t>The staff should clarify whether it is referring to the definition of a “distributed resource” in PUC Subst R. 25.5 (32) (defining a distributed resource as “</w:t>
      </w:r>
      <w:r w:rsidR="007C2C07" w:rsidRPr="007C2C07">
        <w:rPr>
          <w:sz w:val="24"/>
          <w:szCs w:val="24"/>
        </w:rPr>
        <w:t xml:space="preserve">A generation, energy storage, or targeted demand-side resource, generally between one kilowatt and ten megawatts, located at a customer's site or near a load center”). </w:t>
      </w:r>
    </w:p>
    <w:p w:rsidR="00C747EB" w:rsidRPr="007C2C07" w:rsidRDefault="007C2C07">
      <w:pPr>
        <w:rPr>
          <w:bCs/>
          <w:color w:val="000000"/>
          <w:sz w:val="24"/>
          <w:szCs w:val="24"/>
        </w:rPr>
      </w:pPr>
      <w:r w:rsidRPr="007C2C07">
        <w:rPr>
          <w:sz w:val="24"/>
          <w:szCs w:val="24"/>
        </w:rPr>
        <w:t xml:space="preserve">If that is the definition, it is not </w:t>
      </w:r>
      <w:r w:rsidR="00C747EB" w:rsidRPr="007C2C07">
        <w:rPr>
          <w:bCs/>
          <w:color w:val="000000"/>
          <w:sz w:val="24"/>
          <w:szCs w:val="24"/>
        </w:rPr>
        <w:t xml:space="preserve">clear </w:t>
      </w:r>
      <w:r w:rsidR="00427B5D" w:rsidRPr="007C2C07">
        <w:rPr>
          <w:bCs/>
          <w:color w:val="000000"/>
          <w:sz w:val="24"/>
          <w:szCs w:val="24"/>
        </w:rPr>
        <w:t>that</w:t>
      </w:r>
      <w:r w:rsidR="00142CD8" w:rsidRPr="007C2C07">
        <w:rPr>
          <w:bCs/>
          <w:color w:val="000000"/>
          <w:sz w:val="24"/>
          <w:szCs w:val="24"/>
        </w:rPr>
        <w:t xml:space="preserve"> </w:t>
      </w:r>
      <w:r w:rsidR="00C747EB" w:rsidRPr="007C2C07">
        <w:rPr>
          <w:bCs/>
          <w:color w:val="000000"/>
          <w:sz w:val="24"/>
          <w:szCs w:val="24"/>
        </w:rPr>
        <w:t>this change would result in many new resources enrolling in the program</w:t>
      </w:r>
      <w:r w:rsidR="00142CD8" w:rsidRPr="007C2C07">
        <w:rPr>
          <w:bCs/>
          <w:color w:val="000000"/>
          <w:sz w:val="24"/>
          <w:szCs w:val="24"/>
        </w:rPr>
        <w:t xml:space="preserve"> since it is </w:t>
      </w:r>
      <w:r w:rsidR="009A61F2">
        <w:rPr>
          <w:bCs/>
          <w:color w:val="000000"/>
          <w:sz w:val="24"/>
          <w:szCs w:val="24"/>
        </w:rPr>
        <w:t xml:space="preserve">clear that few </w:t>
      </w:r>
      <w:r w:rsidR="00142CD8" w:rsidRPr="007C2C07">
        <w:rPr>
          <w:bCs/>
          <w:color w:val="000000"/>
          <w:sz w:val="24"/>
          <w:szCs w:val="24"/>
        </w:rPr>
        <w:t>such resources exist in the ERCOT market</w:t>
      </w:r>
      <w:r w:rsidR="00C747EB" w:rsidRPr="007C2C07">
        <w:rPr>
          <w:bCs/>
          <w:color w:val="000000"/>
          <w:sz w:val="24"/>
          <w:szCs w:val="24"/>
        </w:rPr>
        <w:t xml:space="preserve">. </w:t>
      </w:r>
      <w:r w:rsidR="00114D63">
        <w:rPr>
          <w:bCs/>
          <w:color w:val="000000"/>
          <w:sz w:val="24"/>
          <w:szCs w:val="24"/>
        </w:rPr>
        <w:t xml:space="preserve"> For example, reports filed at the PUCT show that there is a total </w:t>
      </w:r>
      <w:r w:rsidR="009A61F2">
        <w:rPr>
          <w:bCs/>
          <w:color w:val="000000"/>
          <w:sz w:val="24"/>
          <w:szCs w:val="24"/>
        </w:rPr>
        <w:t>of</w:t>
      </w:r>
      <w:r w:rsidR="00114D63">
        <w:rPr>
          <w:bCs/>
          <w:color w:val="000000"/>
          <w:sz w:val="24"/>
          <w:szCs w:val="24"/>
        </w:rPr>
        <w:t xml:space="preserve"> 394 MW of distributed </w:t>
      </w:r>
      <w:r w:rsidR="00114D63">
        <w:rPr>
          <w:bCs/>
          <w:color w:val="000000"/>
          <w:sz w:val="24"/>
          <w:szCs w:val="24"/>
        </w:rPr>
        <w:lastRenderedPageBreak/>
        <w:t>generation in the service territories of the four ERCOT utilities</w:t>
      </w:r>
      <w:r w:rsidR="009A61F2">
        <w:rPr>
          <w:bCs/>
          <w:color w:val="000000"/>
          <w:sz w:val="24"/>
          <w:szCs w:val="24"/>
        </w:rPr>
        <w:t xml:space="preserve"> in 2008</w:t>
      </w:r>
      <w:r w:rsidR="00114D63">
        <w:rPr>
          <w:bCs/>
          <w:color w:val="000000"/>
          <w:sz w:val="24"/>
          <w:szCs w:val="24"/>
        </w:rPr>
        <w:t xml:space="preserve">. </w:t>
      </w:r>
      <w:r w:rsidR="00114D63">
        <w:rPr>
          <w:rStyle w:val="FootnoteReference"/>
          <w:bCs/>
          <w:color w:val="000000"/>
          <w:sz w:val="24"/>
          <w:szCs w:val="24"/>
        </w:rPr>
        <w:footnoteReference w:id="4"/>
      </w:r>
      <w:r w:rsidR="00114D63">
        <w:rPr>
          <w:bCs/>
          <w:color w:val="000000"/>
          <w:sz w:val="24"/>
          <w:szCs w:val="24"/>
        </w:rPr>
        <w:t xml:space="preserve"> It is unclear how many of these resources would actually be available to participate in the program</w:t>
      </w:r>
      <w:r w:rsidR="009A61F2">
        <w:rPr>
          <w:bCs/>
          <w:color w:val="000000"/>
          <w:sz w:val="24"/>
          <w:szCs w:val="24"/>
        </w:rPr>
        <w:t xml:space="preserve"> since</w:t>
      </w:r>
      <w:r w:rsidR="00B35BFF">
        <w:rPr>
          <w:bCs/>
          <w:color w:val="000000"/>
          <w:sz w:val="24"/>
          <w:szCs w:val="24"/>
        </w:rPr>
        <w:t xml:space="preserve"> </w:t>
      </w:r>
      <w:r w:rsidR="008E51ED">
        <w:rPr>
          <w:bCs/>
          <w:color w:val="000000"/>
          <w:sz w:val="24"/>
          <w:szCs w:val="24"/>
        </w:rPr>
        <w:t>it is</w:t>
      </w:r>
      <w:r w:rsidR="00B35BFF">
        <w:rPr>
          <w:bCs/>
          <w:color w:val="000000"/>
          <w:sz w:val="24"/>
          <w:szCs w:val="24"/>
        </w:rPr>
        <w:t xml:space="preserve"> unclear whether </w:t>
      </w:r>
      <w:r w:rsidR="009A61F2">
        <w:rPr>
          <w:bCs/>
          <w:color w:val="000000"/>
          <w:sz w:val="24"/>
          <w:szCs w:val="24"/>
        </w:rPr>
        <w:t>these resources could curtail in 10 minutes</w:t>
      </w:r>
      <w:r w:rsidR="00114D63">
        <w:rPr>
          <w:bCs/>
          <w:color w:val="000000"/>
          <w:sz w:val="24"/>
          <w:szCs w:val="24"/>
        </w:rPr>
        <w:t xml:space="preserve"> or whether the uptake would be significant by the upcoming summer. </w:t>
      </w:r>
      <w:r w:rsidR="009A61F2">
        <w:rPr>
          <w:bCs/>
          <w:color w:val="000000"/>
          <w:sz w:val="24"/>
          <w:szCs w:val="24"/>
        </w:rPr>
        <w:t xml:space="preserve">In sum, it is unlikely that this change will fix the </w:t>
      </w:r>
      <w:r w:rsidR="008E51ED">
        <w:rPr>
          <w:bCs/>
          <w:color w:val="000000"/>
          <w:sz w:val="24"/>
          <w:szCs w:val="24"/>
        </w:rPr>
        <w:t xml:space="preserve">under-subscription </w:t>
      </w:r>
      <w:r w:rsidR="009A61F2">
        <w:rPr>
          <w:bCs/>
          <w:color w:val="000000"/>
          <w:sz w:val="24"/>
          <w:szCs w:val="24"/>
        </w:rPr>
        <w:t xml:space="preserve">problem in the </w:t>
      </w:r>
      <w:r w:rsidR="008E51ED">
        <w:rPr>
          <w:bCs/>
          <w:color w:val="000000"/>
          <w:sz w:val="24"/>
          <w:szCs w:val="24"/>
        </w:rPr>
        <w:t xml:space="preserve">EILS </w:t>
      </w:r>
      <w:r w:rsidR="009A61F2">
        <w:rPr>
          <w:bCs/>
          <w:color w:val="000000"/>
          <w:sz w:val="24"/>
          <w:szCs w:val="24"/>
        </w:rPr>
        <w:t xml:space="preserve">program. </w:t>
      </w:r>
    </w:p>
    <w:p w:rsidR="00142CD8" w:rsidRPr="00A20CDE" w:rsidRDefault="00142CD8">
      <w:pPr>
        <w:rPr>
          <w:bCs/>
          <w:color w:val="000000"/>
          <w:sz w:val="24"/>
          <w:szCs w:val="24"/>
        </w:rPr>
      </w:pPr>
      <w:r w:rsidRPr="00A20CDE">
        <w:rPr>
          <w:bCs/>
          <w:color w:val="000000"/>
          <w:sz w:val="24"/>
          <w:szCs w:val="24"/>
        </w:rPr>
        <w:t xml:space="preserve">In contrast, it is certain that there are many customers that cannot currently participate in the EILS program due to the 10 minute </w:t>
      </w:r>
      <w:r w:rsidR="00114D63">
        <w:rPr>
          <w:bCs/>
          <w:color w:val="000000"/>
          <w:sz w:val="24"/>
          <w:szCs w:val="24"/>
        </w:rPr>
        <w:t>curtailment period</w:t>
      </w:r>
      <w:r w:rsidR="00C747EB" w:rsidRPr="00A20CDE">
        <w:rPr>
          <w:bCs/>
          <w:color w:val="000000"/>
          <w:sz w:val="24"/>
          <w:szCs w:val="24"/>
        </w:rPr>
        <w:t>,</w:t>
      </w:r>
      <w:r w:rsidRPr="00A20CDE">
        <w:rPr>
          <w:bCs/>
          <w:color w:val="000000"/>
          <w:sz w:val="24"/>
          <w:szCs w:val="24"/>
        </w:rPr>
        <w:t xml:space="preserve"> but could participate if the program were expanded to include 30 minute, one hour and two hour curtailment periods. Such curtailment periods are the norm in </w:t>
      </w:r>
      <w:r w:rsidR="00427B5D" w:rsidRPr="00A20CDE">
        <w:rPr>
          <w:bCs/>
          <w:color w:val="000000"/>
          <w:sz w:val="24"/>
          <w:szCs w:val="24"/>
        </w:rPr>
        <w:t xml:space="preserve">almost all </w:t>
      </w:r>
      <w:r w:rsidRPr="00A20CDE">
        <w:rPr>
          <w:bCs/>
          <w:color w:val="000000"/>
          <w:sz w:val="24"/>
          <w:szCs w:val="24"/>
        </w:rPr>
        <w:t>other ISO</w:t>
      </w:r>
      <w:r w:rsidR="00427B5D" w:rsidRPr="00A20CDE">
        <w:rPr>
          <w:bCs/>
          <w:color w:val="000000"/>
          <w:sz w:val="24"/>
          <w:szCs w:val="24"/>
        </w:rPr>
        <w:t xml:space="preserve">-conducted reliability </w:t>
      </w:r>
      <w:r w:rsidR="002044BC" w:rsidRPr="00A20CDE">
        <w:rPr>
          <w:bCs/>
          <w:color w:val="000000"/>
          <w:sz w:val="24"/>
          <w:szCs w:val="24"/>
        </w:rPr>
        <w:t xml:space="preserve">demand response </w:t>
      </w:r>
      <w:r w:rsidRPr="00A20CDE">
        <w:rPr>
          <w:bCs/>
          <w:color w:val="000000"/>
          <w:sz w:val="24"/>
          <w:szCs w:val="24"/>
        </w:rPr>
        <w:t xml:space="preserve">programs. </w:t>
      </w:r>
      <w:r w:rsidR="00427B5D" w:rsidRPr="00A20CDE">
        <w:rPr>
          <w:rStyle w:val="FootnoteReference"/>
          <w:bCs/>
          <w:color w:val="000000"/>
          <w:sz w:val="24"/>
          <w:szCs w:val="24"/>
        </w:rPr>
        <w:footnoteReference w:id="5"/>
      </w:r>
    </w:p>
    <w:p w:rsidR="008E51ED" w:rsidRDefault="00142CD8">
      <w:pPr>
        <w:rPr>
          <w:bCs/>
          <w:color w:val="000000"/>
          <w:sz w:val="24"/>
          <w:szCs w:val="24"/>
        </w:rPr>
      </w:pPr>
      <w:r w:rsidRPr="00A20CDE">
        <w:rPr>
          <w:bCs/>
          <w:color w:val="000000"/>
          <w:sz w:val="24"/>
          <w:szCs w:val="24"/>
        </w:rPr>
        <w:t xml:space="preserve">Indeed, it is likely that </w:t>
      </w:r>
      <w:r w:rsidR="00427B5D" w:rsidRPr="00A20CDE">
        <w:rPr>
          <w:bCs/>
          <w:color w:val="000000"/>
          <w:sz w:val="24"/>
          <w:szCs w:val="24"/>
        </w:rPr>
        <w:t>adding new curtailment periods</w:t>
      </w:r>
      <w:r w:rsidRPr="00A20CDE">
        <w:rPr>
          <w:bCs/>
          <w:color w:val="000000"/>
          <w:sz w:val="24"/>
          <w:szCs w:val="24"/>
        </w:rPr>
        <w:t xml:space="preserve"> would represent the fastest method for building additional reliability </w:t>
      </w:r>
      <w:r w:rsidR="00114D63">
        <w:rPr>
          <w:bCs/>
          <w:color w:val="000000"/>
          <w:sz w:val="24"/>
          <w:szCs w:val="24"/>
        </w:rPr>
        <w:t xml:space="preserve">resources </w:t>
      </w:r>
      <w:r w:rsidRPr="00A20CDE">
        <w:rPr>
          <w:bCs/>
          <w:color w:val="000000"/>
          <w:sz w:val="24"/>
          <w:szCs w:val="24"/>
        </w:rPr>
        <w:t>in ERCOT since</w:t>
      </w:r>
      <w:r w:rsidR="00427B5D" w:rsidRPr="00A20CDE">
        <w:rPr>
          <w:bCs/>
          <w:color w:val="000000"/>
          <w:sz w:val="24"/>
          <w:szCs w:val="24"/>
        </w:rPr>
        <w:t xml:space="preserve"> EILS </w:t>
      </w:r>
      <w:r w:rsidRPr="00A20CDE">
        <w:rPr>
          <w:bCs/>
          <w:color w:val="000000"/>
          <w:sz w:val="24"/>
          <w:szCs w:val="24"/>
        </w:rPr>
        <w:t xml:space="preserve">providers have most likely already identified customers that could participate under these expanded </w:t>
      </w:r>
      <w:r w:rsidR="00427B5D" w:rsidRPr="00A20CDE">
        <w:rPr>
          <w:bCs/>
          <w:color w:val="000000"/>
          <w:sz w:val="24"/>
          <w:szCs w:val="24"/>
        </w:rPr>
        <w:t>curtailment</w:t>
      </w:r>
      <w:r w:rsidRPr="00A20CDE">
        <w:rPr>
          <w:bCs/>
          <w:color w:val="000000"/>
          <w:sz w:val="24"/>
          <w:szCs w:val="24"/>
        </w:rPr>
        <w:t xml:space="preserve"> time periods. </w:t>
      </w:r>
    </w:p>
    <w:p w:rsidR="00427B5D" w:rsidRPr="00A20CDE" w:rsidRDefault="00142CD8">
      <w:pPr>
        <w:rPr>
          <w:b/>
          <w:sz w:val="24"/>
          <w:szCs w:val="24"/>
        </w:rPr>
      </w:pPr>
      <w:r w:rsidRPr="00A20CDE">
        <w:rPr>
          <w:bCs/>
          <w:color w:val="000000"/>
          <w:sz w:val="24"/>
          <w:szCs w:val="24"/>
        </w:rPr>
        <w:t xml:space="preserve">Accordingly, </w:t>
      </w:r>
      <w:r w:rsidR="00C747EB" w:rsidRPr="00A20CDE">
        <w:rPr>
          <w:bCs/>
          <w:color w:val="000000"/>
          <w:sz w:val="24"/>
          <w:szCs w:val="24"/>
        </w:rPr>
        <w:t xml:space="preserve">ERCOT should also seek to expand load participation opening up </w:t>
      </w:r>
      <w:r w:rsidR="00114D63">
        <w:rPr>
          <w:bCs/>
          <w:color w:val="000000"/>
          <w:sz w:val="24"/>
          <w:szCs w:val="24"/>
        </w:rPr>
        <w:t>new curtailment periods</w:t>
      </w:r>
      <w:r w:rsidR="009A61F2">
        <w:rPr>
          <w:bCs/>
          <w:color w:val="000000"/>
          <w:sz w:val="24"/>
          <w:szCs w:val="24"/>
        </w:rPr>
        <w:t xml:space="preserve"> in addition to including distributed resources in the program</w:t>
      </w:r>
      <w:r w:rsidR="00C95681">
        <w:rPr>
          <w:bCs/>
          <w:color w:val="000000"/>
          <w:sz w:val="24"/>
          <w:szCs w:val="24"/>
        </w:rPr>
        <w:t xml:space="preserve">. </w:t>
      </w:r>
    </w:p>
    <w:p w:rsidR="00F9005A" w:rsidRPr="00A20CDE" w:rsidRDefault="00427B5D">
      <w:pPr>
        <w:rPr>
          <w:b/>
          <w:sz w:val="24"/>
          <w:szCs w:val="24"/>
        </w:rPr>
      </w:pPr>
      <w:r w:rsidRPr="00A20CDE">
        <w:rPr>
          <w:b/>
          <w:sz w:val="24"/>
          <w:szCs w:val="24"/>
        </w:rPr>
        <w:t>Eliminating Technical Detail</w:t>
      </w:r>
    </w:p>
    <w:p w:rsidR="00792BF3" w:rsidRPr="00A20CDE" w:rsidRDefault="00427B5D">
      <w:pPr>
        <w:rPr>
          <w:sz w:val="24"/>
          <w:szCs w:val="24"/>
        </w:rPr>
      </w:pPr>
      <w:r w:rsidRPr="00A20CDE">
        <w:rPr>
          <w:sz w:val="24"/>
          <w:szCs w:val="24"/>
        </w:rPr>
        <w:t>It is clear that the current EILS rule incorporates</w:t>
      </w:r>
      <w:r w:rsidR="00792BF3" w:rsidRPr="00A20CDE">
        <w:rPr>
          <w:sz w:val="24"/>
          <w:szCs w:val="24"/>
        </w:rPr>
        <w:t xml:space="preserve"> many unnecessary</w:t>
      </w:r>
      <w:r w:rsidRPr="00A20CDE">
        <w:rPr>
          <w:sz w:val="24"/>
          <w:szCs w:val="24"/>
        </w:rPr>
        <w:t xml:space="preserve"> technical details that ha</w:t>
      </w:r>
      <w:r w:rsidR="00792BF3" w:rsidRPr="00A20CDE">
        <w:rPr>
          <w:sz w:val="24"/>
          <w:szCs w:val="24"/>
        </w:rPr>
        <w:t>ve</w:t>
      </w:r>
      <w:r w:rsidRPr="00A20CDE">
        <w:rPr>
          <w:sz w:val="24"/>
          <w:szCs w:val="24"/>
        </w:rPr>
        <w:t xml:space="preserve"> limited </w:t>
      </w:r>
      <w:r w:rsidR="00792BF3" w:rsidRPr="00A20CDE">
        <w:rPr>
          <w:sz w:val="24"/>
          <w:szCs w:val="24"/>
        </w:rPr>
        <w:t xml:space="preserve">ERCOT’s </w:t>
      </w:r>
      <w:r w:rsidRPr="00A20CDE">
        <w:rPr>
          <w:sz w:val="24"/>
          <w:szCs w:val="24"/>
        </w:rPr>
        <w:t>oper</w:t>
      </w:r>
      <w:r w:rsidR="00792BF3" w:rsidRPr="00A20CDE">
        <w:rPr>
          <w:sz w:val="24"/>
          <w:szCs w:val="24"/>
        </w:rPr>
        <w:t xml:space="preserve">ational flexibility for improvements to the EILS program. </w:t>
      </w:r>
    </w:p>
    <w:p w:rsidR="009A61F2" w:rsidRDefault="00792BF3">
      <w:pPr>
        <w:rPr>
          <w:sz w:val="24"/>
          <w:szCs w:val="24"/>
        </w:rPr>
      </w:pPr>
      <w:r w:rsidRPr="00A20CDE">
        <w:rPr>
          <w:sz w:val="24"/>
          <w:szCs w:val="24"/>
        </w:rPr>
        <w:t>Nevertheless, eliminating all of the technical detail contained in the rule could result in the unintended consequence</w:t>
      </w:r>
      <w:r w:rsidR="005D3988" w:rsidRPr="00A20CDE">
        <w:rPr>
          <w:sz w:val="24"/>
          <w:szCs w:val="24"/>
        </w:rPr>
        <w:t>s. There is a risk that</w:t>
      </w:r>
      <w:r w:rsidRPr="00A20CDE">
        <w:rPr>
          <w:sz w:val="24"/>
          <w:szCs w:val="24"/>
        </w:rPr>
        <w:t xml:space="preserve"> the program could</w:t>
      </w:r>
      <w:r w:rsidR="005D3988" w:rsidRPr="00A20CDE">
        <w:rPr>
          <w:sz w:val="24"/>
          <w:szCs w:val="24"/>
        </w:rPr>
        <w:t xml:space="preserve"> become </w:t>
      </w:r>
      <w:r w:rsidRPr="00A20CDE">
        <w:rPr>
          <w:sz w:val="24"/>
          <w:szCs w:val="24"/>
        </w:rPr>
        <w:t xml:space="preserve">subject to </w:t>
      </w:r>
      <w:r w:rsidR="005D3988" w:rsidRPr="00A20CDE">
        <w:rPr>
          <w:sz w:val="24"/>
          <w:szCs w:val="24"/>
        </w:rPr>
        <w:t>more</w:t>
      </w:r>
      <w:r w:rsidRPr="00A20CDE">
        <w:rPr>
          <w:sz w:val="24"/>
          <w:szCs w:val="24"/>
        </w:rPr>
        <w:t xml:space="preserve"> frequent rule changes under the protocol revision procedures existing in the ERCOT stakeholder process</w:t>
      </w:r>
      <w:r w:rsidR="009A61F2">
        <w:rPr>
          <w:sz w:val="24"/>
          <w:szCs w:val="24"/>
        </w:rPr>
        <w:t>, particularly given the fact that demand response providers lack representation, have no ability to vote and are</w:t>
      </w:r>
      <w:r w:rsidR="008F28A4">
        <w:rPr>
          <w:sz w:val="24"/>
          <w:szCs w:val="24"/>
        </w:rPr>
        <w:t xml:space="preserve"> vastly</w:t>
      </w:r>
      <w:r w:rsidR="009A61F2">
        <w:rPr>
          <w:sz w:val="24"/>
          <w:szCs w:val="24"/>
        </w:rPr>
        <w:t xml:space="preserve"> outnumbered by companies representing generation resources in the ERCOT stakeholder process. </w:t>
      </w:r>
    </w:p>
    <w:p w:rsidR="005D3988" w:rsidRPr="00A20CDE" w:rsidRDefault="009A61F2">
      <w:pPr>
        <w:rPr>
          <w:sz w:val="24"/>
          <w:szCs w:val="24"/>
        </w:rPr>
      </w:pPr>
      <w:r>
        <w:rPr>
          <w:sz w:val="24"/>
          <w:szCs w:val="24"/>
        </w:rPr>
        <w:t>W</w:t>
      </w:r>
      <w:r w:rsidR="00792BF3" w:rsidRPr="00A20CDE">
        <w:rPr>
          <w:sz w:val="24"/>
          <w:szCs w:val="24"/>
        </w:rPr>
        <w:t xml:space="preserve">hile the existing rule has overly constrained improvements in the program, there is </w:t>
      </w:r>
      <w:r w:rsidR="005D3988" w:rsidRPr="00A20CDE">
        <w:rPr>
          <w:sz w:val="24"/>
          <w:szCs w:val="24"/>
        </w:rPr>
        <w:t xml:space="preserve">a </w:t>
      </w:r>
      <w:r w:rsidR="00792BF3" w:rsidRPr="00A20CDE">
        <w:rPr>
          <w:sz w:val="24"/>
          <w:szCs w:val="24"/>
        </w:rPr>
        <w:t xml:space="preserve">concern that the proposed changes would </w:t>
      </w:r>
      <w:r w:rsidR="005D3988" w:rsidRPr="00A20CDE">
        <w:rPr>
          <w:sz w:val="24"/>
          <w:szCs w:val="24"/>
        </w:rPr>
        <w:t>cause</w:t>
      </w:r>
      <w:r w:rsidR="00792BF3" w:rsidRPr="00A20CDE">
        <w:rPr>
          <w:sz w:val="24"/>
          <w:szCs w:val="24"/>
        </w:rPr>
        <w:t xml:space="preserve"> more uncertainty </w:t>
      </w:r>
      <w:r w:rsidR="005D3988" w:rsidRPr="00A20CDE">
        <w:rPr>
          <w:sz w:val="24"/>
          <w:szCs w:val="24"/>
        </w:rPr>
        <w:t xml:space="preserve">regarding </w:t>
      </w:r>
      <w:r w:rsidR="00792BF3" w:rsidRPr="00A20CDE">
        <w:rPr>
          <w:sz w:val="24"/>
          <w:szCs w:val="24"/>
        </w:rPr>
        <w:t xml:space="preserve">the fundamental </w:t>
      </w:r>
      <w:r w:rsidR="005D3988" w:rsidRPr="00A20CDE">
        <w:rPr>
          <w:sz w:val="24"/>
          <w:szCs w:val="24"/>
        </w:rPr>
        <w:t>design elements of the program and thereby discourage, rather than encourage customer participation</w:t>
      </w:r>
      <w:r>
        <w:rPr>
          <w:sz w:val="24"/>
          <w:szCs w:val="24"/>
        </w:rPr>
        <w:t xml:space="preserve"> given the current state of affairs in the ERCOT stakeholder process</w:t>
      </w:r>
      <w:r w:rsidR="005D3988" w:rsidRPr="00A20CDE">
        <w:rPr>
          <w:sz w:val="24"/>
          <w:szCs w:val="24"/>
        </w:rPr>
        <w:t xml:space="preserve">. </w:t>
      </w:r>
    </w:p>
    <w:p w:rsidR="008E51ED" w:rsidRDefault="008E51ED">
      <w:pPr>
        <w:rPr>
          <w:b/>
          <w:sz w:val="24"/>
          <w:szCs w:val="24"/>
        </w:rPr>
      </w:pPr>
      <w:r>
        <w:rPr>
          <w:b/>
          <w:sz w:val="24"/>
          <w:szCs w:val="24"/>
        </w:rPr>
        <w:br w:type="page"/>
      </w:r>
    </w:p>
    <w:p w:rsidR="00792BF3" w:rsidRPr="00A20CDE" w:rsidRDefault="005D3988">
      <w:pPr>
        <w:rPr>
          <w:b/>
          <w:sz w:val="24"/>
          <w:szCs w:val="24"/>
        </w:rPr>
      </w:pPr>
      <w:r w:rsidRPr="00A20CDE">
        <w:rPr>
          <w:b/>
          <w:sz w:val="24"/>
          <w:szCs w:val="24"/>
        </w:rPr>
        <w:lastRenderedPageBreak/>
        <w:t>Compliance</w:t>
      </w:r>
    </w:p>
    <w:p w:rsidR="0014702B" w:rsidRPr="00A20CDE" w:rsidRDefault="0044673C">
      <w:pPr>
        <w:rPr>
          <w:sz w:val="24"/>
          <w:szCs w:val="24"/>
        </w:rPr>
      </w:pPr>
      <w:r w:rsidRPr="00A20CDE">
        <w:rPr>
          <w:sz w:val="24"/>
          <w:szCs w:val="24"/>
        </w:rPr>
        <w:t>The EILS rule</w:t>
      </w:r>
      <w:r w:rsidR="008F28A4">
        <w:rPr>
          <w:sz w:val="24"/>
          <w:szCs w:val="24"/>
        </w:rPr>
        <w:t>’s current</w:t>
      </w:r>
      <w:r w:rsidR="005D3988" w:rsidRPr="00A20CDE">
        <w:rPr>
          <w:sz w:val="24"/>
          <w:szCs w:val="24"/>
        </w:rPr>
        <w:t xml:space="preserve"> approach to compliance </w:t>
      </w:r>
      <w:r w:rsidRPr="00A20CDE">
        <w:rPr>
          <w:sz w:val="24"/>
          <w:szCs w:val="24"/>
        </w:rPr>
        <w:t>is</w:t>
      </w:r>
      <w:r w:rsidR="005D3988" w:rsidRPr="00A20CDE">
        <w:rPr>
          <w:sz w:val="24"/>
          <w:szCs w:val="24"/>
        </w:rPr>
        <w:t xml:space="preserve"> overly harsh and the proposed </w:t>
      </w:r>
      <w:r w:rsidR="00C95681">
        <w:rPr>
          <w:sz w:val="24"/>
          <w:szCs w:val="24"/>
        </w:rPr>
        <w:t xml:space="preserve">rule </w:t>
      </w:r>
      <w:r w:rsidR="005D3988" w:rsidRPr="00A20CDE">
        <w:rPr>
          <w:sz w:val="24"/>
          <w:szCs w:val="24"/>
        </w:rPr>
        <w:t xml:space="preserve">changes </w:t>
      </w:r>
      <w:r w:rsidR="0014702B" w:rsidRPr="00A20CDE">
        <w:rPr>
          <w:sz w:val="24"/>
          <w:szCs w:val="24"/>
        </w:rPr>
        <w:t>only</w:t>
      </w:r>
      <w:r w:rsidR="005D3988" w:rsidRPr="00A20CDE">
        <w:rPr>
          <w:sz w:val="24"/>
          <w:szCs w:val="24"/>
        </w:rPr>
        <w:t xml:space="preserve"> worsen the problem.</w:t>
      </w:r>
    </w:p>
    <w:p w:rsidR="0014702B" w:rsidRPr="00A20CDE" w:rsidRDefault="00B82818">
      <w:pPr>
        <w:rPr>
          <w:sz w:val="24"/>
          <w:szCs w:val="24"/>
        </w:rPr>
      </w:pPr>
      <w:r w:rsidRPr="00A20CDE">
        <w:rPr>
          <w:sz w:val="24"/>
          <w:szCs w:val="24"/>
        </w:rPr>
        <w:t xml:space="preserve">Under the existing EILS rule, a resource is responsible for its failure to meet its availability or performance requirements. In contrast, the proposed changes appear to make the </w:t>
      </w:r>
      <w:r w:rsidRPr="00A20CDE">
        <w:rPr>
          <w:sz w:val="24"/>
          <w:szCs w:val="24"/>
          <w:u w:val="single"/>
        </w:rPr>
        <w:t>QSE</w:t>
      </w:r>
      <w:r w:rsidRPr="00A20CDE">
        <w:rPr>
          <w:sz w:val="24"/>
          <w:szCs w:val="24"/>
        </w:rPr>
        <w:t xml:space="preserve"> subject to administrative penalties for non</w:t>
      </w:r>
      <w:r w:rsidR="0014702B" w:rsidRPr="00A20CDE">
        <w:rPr>
          <w:sz w:val="24"/>
          <w:szCs w:val="24"/>
        </w:rPr>
        <w:t xml:space="preserve">-compliance </w:t>
      </w:r>
      <w:r w:rsidR="0014702B" w:rsidRPr="008F28A4">
        <w:rPr>
          <w:sz w:val="24"/>
          <w:szCs w:val="24"/>
        </w:rPr>
        <w:t>by</w:t>
      </w:r>
      <w:r w:rsidR="0014702B" w:rsidRPr="00A20CDE">
        <w:rPr>
          <w:sz w:val="24"/>
          <w:szCs w:val="24"/>
        </w:rPr>
        <w:t xml:space="preserve"> </w:t>
      </w:r>
      <w:r w:rsidR="00C95681">
        <w:rPr>
          <w:sz w:val="24"/>
          <w:szCs w:val="24"/>
        </w:rPr>
        <w:t>“</w:t>
      </w:r>
      <w:r w:rsidR="0014702B" w:rsidRPr="00A20CDE">
        <w:rPr>
          <w:sz w:val="24"/>
          <w:szCs w:val="24"/>
          <w:u w:val="single"/>
        </w:rPr>
        <w:t>the ERS resource it represents</w:t>
      </w:r>
      <w:r w:rsidR="0014702B" w:rsidRPr="00A20CDE">
        <w:rPr>
          <w:sz w:val="24"/>
          <w:szCs w:val="24"/>
        </w:rPr>
        <w:t xml:space="preserve">.” Since many aggregators enroll customers but do not control whether the represented loads actually perform, a change that could subject the QSE to administrative penalties for non-compliance by its customer unreasonably places performance responsibility on the QSE.  This change could have the unintended consequence of limiting enrollment to loads that the QSE can directly control. </w:t>
      </w:r>
    </w:p>
    <w:p w:rsidR="0056695D" w:rsidRPr="00A20CDE" w:rsidRDefault="0014702B">
      <w:pPr>
        <w:rPr>
          <w:sz w:val="24"/>
          <w:szCs w:val="24"/>
        </w:rPr>
      </w:pPr>
      <w:r w:rsidRPr="00A20CDE">
        <w:rPr>
          <w:sz w:val="24"/>
          <w:szCs w:val="24"/>
        </w:rPr>
        <w:t xml:space="preserve">In addition, the penalty structure under EILS, which includes the possibility of suspension both under the existing rule and the proposed rule change, </w:t>
      </w:r>
      <w:r w:rsidR="0044673C" w:rsidRPr="00A20CDE">
        <w:rPr>
          <w:sz w:val="24"/>
          <w:szCs w:val="24"/>
        </w:rPr>
        <w:t xml:space="preserve">imposes disproportionate penalties since suspension is not imposed on </w:t>
      </w:r>
      <w:r w:rsidR="00C95681">
        <w:rPr>
          <w:sz w:val="24"/>
          <w:szCs w:val="24"/>
        </w:rPr>
        <w:t>generation</w:t>
      </w:r>
      <w:r w:rsidR="0044673C" w:rsidRPr="00A20CDE">
        <w:rPr>
          <w:sz w:val="24"/>
          <w:szCs w:val="24"/>
        </w:rPr>
        <w:t xml:space="preserve"> resource</w:t>
      </w:r>
      <w:r w:rsidR="00C95681">
        <w:rPr>
          <w:sz w:val="24"/>
          <w:szCs w:val="24"/>
        </w:rPr>
        <w:t>s</w:t>
      </w:r>
      <w:r w:rsidR="0044673C" w:rsidRPr="00A20CDE">
        <w:rPr>
          <w:sz w:val="24"/>
          <w:szCs w:val="24"/>
        </w:rPr>
        <w:t xml:space="preserve">. </w:t>
      </w:r>
      <w:r w:rsidR="0056695D" w:rsidRPr="00A20CDE">
        <w:rPr>
          <w:sz w:val="24"/>
          <w:szCs w:val="24"/>
        </w:rPr>
        <w:t xml:space="preserve"> In addition, the penalty structure in ERCOT is much harsher than any other ISO where nonperformance penalties are usually structured around reductions in payment, in future participation levels or financial penalties. </w:t>
      </w:r>
    </w:p>
    <w:p w:rsidR="005D3988" w:rsidRPr="00A20CDE" w:rsidRDefault="00CE63A0">
      <w:pPr>
        <w:rPr>
          <w:b/>
          <w:sz w:val="24"/>
          <w:szCs w:val="24"/>
        </w:rPr>
      </w:pPr>
      <w:r w:rsidRPr="00A20CDE">
        <w:rPr>
          <w:b/>
          <w:sz w:val="24"/>
          <w:szCs w:val="24"/>
        </w:rPr>
        <w:t xml:space="preserve">Event Duration </w:t>
      </w:r>
    </w:p>
    <w:p w:rsidR="002F3CEC" w:rsidRPr="00A20CDE" w:rsidRDefault="00A20CDE" w:rsidP="00CE63A0">
      <w:pPr>
        <w:rPr>
          <w:sz w:val="24"/>
          <w:szCs w:val="24"/>
        </w:rPr>
      </w:pPr>
      <w:r w:rsidRPr="00A20CDE">
        <w:rPr>
          <w:sz w:val="24"/>
          <w:szCs w:val="24"/>
        </w:rPr>
        <w:t>Two issues related to</w:t>
      </w:r>
      <w:r w:rsidR="002F3CEC" w:rsidRPr="00A20CDE">
        <w:rPr>
          <w:sz w:val="24"/>
          <w:szCs w:val="24"/>
        </w:rPr>
        <w:t xml:space="preserve"> event duration resulting from the February 2-3 rolling blackout should be addressed in the</w:t>
      </w:r>
      <w:r w:rsidR="00CE63A0" w:rsidRPr="00A20CDE">
        <w:rPr>
          <w:sz w:val="24"/>
          <w:szCs w:val="24"/>
        </w:rPr>
        <w:t xml:space="preserve"> rule</w:t>
      </w:r>
      <w:r w:rsidR="002F3CEC" w:rsidRPr="00A20CDE">
        <w:rPr>
          <w:sz w:val="24"/>
          <w:szCs w:val="24"/>
        </w:rPr>
        <w:t xml:space="preserve">. </w:t>
      </w:r>
    </w:p>
    <w:p w:rsidR="00CE63A0" w:rsidRPr="00A20CDE" w:rsidRDefault="00A20CDE" w:rsidP="00CE63A0">
      <w:pPr>
        <w:rPr>
          <w:sz w:val="24"/>
          <w:szCs w:val="24"/>
        </w:rPr>
      </w:pPr>
      <w:r w:rsidRPr="00A20CDE">
        <w:rPr>
          <w:sz w:val="24"/>
          <w:szCs w:val="24"/>
        </w:rPr>
        <w:t>First</w:t>
      </w:r>
      <w:r w:rsidR="00967885" w:rsidRPr="00A20CDE">
        <w:rPr>
          <w:sz w:val="24"/>
          <w:szCs w:val="24"/>
        </w:rPr>
        <w:t>, Section</w:t>
      </w:r>
      <w:r w:rsidR="002F3CEC" w:rsidRPr="00A20CDE">
        <w:rPr>
          <w:sz w:val="24"/>
          <w:szCs w:val="24"/>
        </w:rPr>
        <w:t xml:space="preserve"> (c</w:t>
      </w:r>
      <w:r w:rsidR="00967885" w:rsidRPr="00A20CDE">
        <w:rPr>
          <w:sz w:val="24"/>
          <w:szCs w:val="24"/>
        </w:rPr>
        <w:t>) (</w:t>
      </w:r>
      <w:r w:rsidR="002F3CEC" w:rsidRPr="00A20CDE">
        <w:rPr>
          <w:sz w:val="24"/>
          <w:szCs w:val="24"/>
        </w:rPr>
        <w:t xml:space="preserve">7) of the proposed rule makes clear that a resource must continue providing service until “released by ERCOT”. The </w:t>
      </w:r>
      <w:r w:rsidR="00967885" w:rsidRPr="00A20CDE">
        <w:rPr>
          <w:sz w:val="24"/>
          <w:szCs w:val="24"/>
        </w:rPr>
        <w:t>rule</w:t>
      </w:r>
      <w:r w:rsidR="00C95681">
        <w:rPr>
          <w:sz w:val="24"/>
          <w:szCs w:val="24"/>
        </w:rPr>
        <w:t>,</w:t>
      </w:r>
      <w:r w:rsidR="002F3CEC" w:rsidRPr="00A20CDE">
        <w:rPr>
          <w:sz w:val="24"/>
          <w:szCs w:val="24"/>
        </w:rPr>
        <w:t xml:space="preserve"> however</w:t>
      </w:r>
      <w:r w:rsidR="00C95681">
        <w:rPr>
          <w:sz w:val="24"/>
          <w:szCs w:val="24"/>
        </w:rPr>
        <w:t>,</w:t>
      </w:r>
      <w:r w:rsidR="002F3CEC" w:rsidRPr="00A20CDE">
        <w:rPr>
          <w:sz w:val="24"/>
          <w:szCs w:val="24"/>
        </w:rPr>
        <w:t xml:space="preserve"> does not provide for additional compensation for any dispatch beyond the eight hour cont</w:t>
      </w:r>
      <w:r w:rsidR="00B35BFF">
        <w:rPr>
          <w:sz w:val="24"/>
          <w:szCs w:val="24"/>
        </w:rPr>
        <w:t>r</w:t>
      </w:r>
      <w:r w:rsidR="002F3CEC" w:rsidRPr="00A20CDE">
        <w:rPr>
          <w:sz w:val="24"/>
          <w:szCs w:val="24"/>
        </w:rPr>
        <w:t>act amount should ERCOT continue to need load reduction</w:t>
      </w:r>
      <w:r w:rsidR="00CE63A0" w:rsidRPr="00A20CDE">
        <w:rPr>
          <w:sz w:val="24"/>
          <w:szCs w:val="24"/>
        </w:rPr>
        <w:t>.</w:t>
      </w:r>
      <w:r w:rsidR="002F3CEC" w:rsidRPr="00A20CDE">
        <w:rPr>
          <w:sz w:val="24"/>
          <w:szCs w:val="24"/>
        </w:rPr>
        <w:t xml:space="preserve"> Nor does the rule mitigate any performance failures that could occur if the load cannot perform at the same level through an extended outage. In order to address this issue, ERCOT should consider adding a provision that</w:t>
      </w:r>
      <w:r w:rsidR="00C95681">
        <w:rPr>
          <w:sz w:val="24"/>
          <w:szCs w:val="24"/>
        </w:rPr>
        <w:t xml:space="preserve"> a</w:t>
      </w:r>
      <w:r w:rsidR="002F3CEC" w:rsidRPr="00A20CDE">
        <w:rPr>
          <w:sz w:val="24"/>
          <w:szCs w:val="24"/>
        </w:rPr>
        <w:t xml:space="preserve"> failure to perform outside the eight hour requirement cannot be sole cause for a suspension. </w:t>
      </w:r>
    </w:p>
    <w:p w:rsidR="00A20CDE" w:rsidRPr="00A20CDE" w:rsidRDefault="00A20CDE" w:rsidP="00CE63A0">
      <w:pPr>
        <w:rPr>
          <w:sz w:val="24"/>
          <w:szCs w:val="24"/>
        </w:rPr>
      </w:pPr>
      <w:r w:rsidRPr="00A20CDE">
        <w:rPr>
          <w:sz w:val="24"/>
          <w:szCs w:val="24"/>
        </w:rPr>
        <w:t xml:space="preserve">Second, the rule appropriately clarifies the ambiguity of performance obligations of a resource that is (or is not) committed over several time periods. The proposed change that clarifies that the obligation is “consistent with its obligations in each ERS time period” clarifies the ambiguity over the level of participation that stretches across time periods. </w:t>
      </w:r>
    </w:p>
    <w:p w:rsidR="008E51ED" w:rsidRDefault="008E51ED">
      <w:pPr>
        <w:rPr>
          <w:b/>
          <w:sz w:val="24"/>
          <w:szCs w:val="24"/>
        </w:rPr>
      </w:pPr>
      <w:r>
        <w:rPr>
          <w:b/>
          <w:sz w:val="24"/>
          <w:szCs w:val="24"/>
        </w:rPr>
        <w:br w:type="page"/>
      </w:r>
    </w:p>
    <w:p w:rsidR="00CE63A0" w:rsidRPr="00A20CDE" w:rsidRDefault="00A20CDE">
      <w:pPr>
        <w:rPr>
          <w:b/>
          <w:sz w:val="24"/>
          <w:szCs w:val="24"/>
        </w:rPr>
      </w:pPr>
      <w:r w:rsidRPr="00A20CDE">
        <w:rPr>
          <w:b/>
          <w:sz w:val="24"/>
          <w:szCs w:val="24"/>
        </w:rPr>
        <w:lastRenderedPageBreak/>
        <w:t>Conclusion</w:t>
      </w:r>
    </w:p>
    <w:p w:rsidR="00967885" w:rsidRPr="00C95681" w:rsidRDefault="00A20CDE">
      <w:pPr>
        <w:rPr>
          <w:sz w:val="24"/>
          <w:szCs w:val="24"/>
        </w:rPr>
      </w:pPr>
      <w:r w:rsidRPr="00C95681">
        <w:rPr>
          <w:sz w:val="24"/>
          <w:szCs w:val="24"/>
        </w:rPr>
        <w:t>In summary, I</w:t>
      </w:r>
      <w:r w:rsidR="00967885" w:rsidRPr="00C95681">
        <w:rPr>
          <w:sz w:val="24"/>
          <w:szCs w:val="24"/>
        </w:rPr>
        <w:t xml:space="preserve"> </w:t>
      </w:r>
      <w:r w:rsidRPr="00C95681">
        <w:rPr>
          <w:sz w:val="24"/>
          <w:szCs w:val="24"/>
        </w:rPr>
        <w:t xml:space="preserve">appreciate </w:t>
      </w:r>
      <w:r w:rsidR="00967885" w:rsidRPr="00C95681">
        <w:rPr>
          <w:sz w:val="24"/>
          <w:szCs w:val="24"/>
        </w:rPr>
        <w:t xml:space="preserve">ERCOT management and staff’s efforts to developing a robust demand response program that can address the reliability needs of the ERCOT market and look forward to working together to continue to improve this program. </w:t>
      </w:r>
    </w:p>
    <w:p w:rsidR="00967885" w:rsidRPr="00967885" w:rsidRDefault="00D538A5" w:rsidP="00967885">
      <w:pPr>
        <w:rPr>
          <w:sz w:val="24"/>
          <w:szCs w:val="24"/>
        </w:rPr>
      </w:pPr>
      <w:r w:rsidRPr="00967885">
        <w:rPr>
          <w:sz w:val="24"/>
          <w:szCs w:val="24"/>
        </w:rPr>
        <w:fldChar w:fldCharType="begin"/>
      </w:r>
      <w:r w:rsidR="00967885" w:rsidRPr="00967885">
        <w:rPr>
          <w:sz w:val="24"/>
          <w:szCs w:val="24"/>
        </w:rPr>
        <w:instrText xml:space="preserve"> AUTOTEXTLIST  </w:instrText>
      </w:r>
      <w:r w:rsidRPr="00967885">
        <w:rPr>
          <w:sz w:val="24"/>
          <w:szCs w:val="24"/>
        </w:rPr>
        <w:fldChar w:fldCharType="separate"/>
      </w:r>
      <w:r w:rsidR="00967885" w:rsidRPr="00967885">
        <w:rPr>
          <w:sz w:val="24"/>
          <w:szCs w:val="24"/>
        </w:rPr>
        <w:t>Sincerely,</w:t>
      </w:r>
      <w:r w:rsidRPr="00967885">
        <w:rPr>
          <w:sz w:val="24"/>
          <w:szCs w:val="24"/>
        </w:rPr>
        <w:fldChar w:fldCharType="end"/>
      </w:r>
    </w:p>
    <w:p w:rsidR="00967885" w:rsidRPr="00967885" w:rsidRDefault="00D538A5" w:rsidP="00967885">
      <w:pPr>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3.9pt;width:129.6pt;height:35.85pt;z-index:251663360">
            <v:imagedata r:id="rId9" o:title=""/>
            <w10:wrap type="topAndBottom"/>
          </v:shape>
          <o:OLEObject Type="Embed" ProgID="WangImage.Document" ShapeID="_x0000_s1029" DrawAspect="Content" ObjectID="_1384061589" r:id="rId10"/>
        </w:pict>
      </w:r>
    </w:p>
    <w:p w:rsidR="00A20CDE" w:rsidRPr="00A20CDE" w:rsidRDefault="00967885">
      <w:r w:rsidRPr="00967885">
        <w:rPr>
          <w:sz w:val="24"/>
          <w:szCs w:val="24"/>
        </w:rPr>
        <w:t>Brett A. Perlman</w:t>
      </w:r>
      <w:r>
        <w:t xml:space="preserve"> </w:t>
      </w:r>
    </w:p>
    <w:sectPr w:rsidR="00A20CDE" w:rsidRPr="00A20CDE" w:rsidSect="005C4849">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910" w:rsidRDefault="00346910" w:rsidP="00AB5C8F">
      <w:pPr>
        <w:spacing w:after="0" w:line="240" w:lineRule="auto"/>
      </w:pPr>
      <w:r>
        <w:separator/>
      </w:r>
    </w:p>
  </w:endnote>
  <w:endnote w:type="continuationSeparator" w:id="0">
    <w:p w:rsidR="00346910" w:rsidRDefault="00346910" w:rsidP="00AB5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19630"/>
      <w:docPartObj>
        <w:docPartGallery w:val="Page Numbers (Bottom of Page)"/>
        <w:docPartUnique/>
      </w:docPartObj>
    </w:sdtPr>
    <w:sdtContent>
      <w:p w:rsidR="009A61F2" w:rsidRDefault="00D538A5">
        <w:pPr>
          <w:pStyle w:val="Footer"/>
          <w:jc w:val="right"/>
        </w:pPr>
        <w:fldSimple w:instr=" PAGE   \* MERGEFORMAT ">
          <w:r w:rsidR="008E51ED">
            <w:rPr>
              <w:noProof/>
            </w:rPr>
            <w:t>1</w:t>
          </w:r>
        </w:fldSimple>
      </w:p>
    </w:sdtContent>
  </w:sdt>
  <w:p w:rsidR="009A61F2" w:rsidRDefault="009A61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910" w:rsidRDefault="00346910" w:rsidP="00AB5C8F">
      <w:pPr>
        <w:spacing w:after="0" w:line="240" w:lineRule="auto"/>
      </w:pPr>
      <w:r>
        <w:separator/>
      </w:r>
    </w:p>
  </w:footnote>
  <w:footnote w:type="continuationSeparator" w:id="0">
    <w:p w:rsidR="00346910" w:rsidRDefault="00346910" w:rsidP="00AB5C8F">
      <w:pPr>
        <w:spacing w:after="0" w:line="240" w:lineRule="auto"/>
      </w:pPr>
      <w:r>
        <w:continuationSeparator/>
      </w:r>
    </w:p>
  </w:footnote>
  <w:footnote w:id="1">
    <w:p w:rsidR="009A61F2" w:rsidRPr="00427B5D" w:rsidRDefault="009A61F2" w:rsidP="00AB5C8F">
      <w:pPr>
        <w:pStyle w:val="Default"/>
        <w:rPr>
          <w:rFonts w:asciiTheme="minorHAnsi" w:hAnsiTheme="minorHAnsi" w:cstheme="minorHAnsi"/>
          <w:sz w:val="20"/>
          <w:szCs w:val="20"/>
        </w:rPr>
      </w:pPr>
      <w:r w:rsidRPr="00427B5D">
        <w:rPr>
          <w:rStyle w:val="FootnoteReference"/>
          <w:rFonts w:asciiTheme="minorHAnsi" w:hAnsiTheme="minorHAnsi" w:cstheme="minorHAnsi"/>
          <w:sz w:val="20"/>
          <w:szCs w:val="20"/>
        </w:rPr>
        <w:footnoteRef/>
      </w:r>
      <w:r w:rsidRPr="00427B5D">
        <w:rPr>
          <w:rFonts w:asciiTheme="minorHAnsi" w:hAnsiTheme="minorHAnsi" w:cstheme="minorHAnsi"/>
          <w:sz w:val="20"/>
          <w:szCs w:val="20"/>
        </w:rPr>
        <w:t xml:space="preserve"> See Docket 34707, </w:t>
      </w:r>
      <w:r w:rsidRPr="00427B5D">
        <w:rPr>
          <w:rFonts w:asciiTheme="minorHAnsi" w:hAnsiTheme="minorHAnsi" w:cstheme="minorHAnsi"/>
          <w:bCs/>
          <w:sz w:val="20"/>
          <w:szCs w:val="20"/>
        </w:rPr>
        <w:t>Order Adopting Amendment To §25.507 As Approved At The November 1, 2007 Open Meeting at</w:t>
      </w:r>
      <w:r w:rsidRPr="00427B5D">
        <w:rPr>
          <w:rFonts w:asciiTheme="minorHAnsi" w:hAnsiTheme="minorHAnsi" w:cstheme="minorHAnsi"/>
          <w:sz w:val="20"/>
          <w:szCs w:val="20"/>
        </w:rPr>
        <w:t xml:space="preserve"> 36. </w:t>
      </w:r>
    </w:p>
  </w:footnote>
  <w:footnote w:id="2">
    <w:p w:rsidR="009A61F2" w:rsidRPr="00427B5D" w:rsidRDefault="009A61F2">
      <w:pPr>
        <w:pStyle w:val="FootnoteText"/>
        <w:rPr>
          <w:rFonts w:cstheme="minorHAnsi"/>
        </w:rPr>
      </w:pPr>
      <w:r w:rsidRPr="00427B5D">
        <w:rPr>
          <w:rStyle w:val="FootnoteReference"/>
          <w:rFonts w:cstheme="minorHAnsi"/>
        </w:rPr>
        <w:footnoteRef/>
      </w:r>
      <w:r w:rsidRPr="00427B5D">
        <w:rPr>
          <w:rFonts w:cstheme="minorHAnsi"/>
        </w:rPr>
        <w:t xml:space="preserve"> See EILS Update to DSWG, available at the http://www.ercot.com/calendar/2011/09/20110930-DSWG</w:t>
      </w:r>
    </w:p>
  </w:footnote>
  <w:footnote w:id="3">
    <w:p w:rsidR="007E67DB" w:rsidRDefault="007E67DB">
      <w:pPr>
        <w:pStyle w:val="FootnoteText"/>
      </w:pPr>
      <w:r>
        <w:rPr>
          <w:rStyle w:val="FootnoteReference"/>
        </w:rPr>
        <w:footnoteRef/>
      </w:r>
      <w:r>
        <w:t xml:space="preserve"> See, </w:t>
      </w:r>
      <w:r w:rsidR="008E51ED">
        <w:t>e.g.</w:t>
      </w:r>
      <w:r>
        <w:t xml:space="preserve"> Trip Doggett’s recent presentation to the Austin Metropolitan Breakfast Club, Nov. 9, 2011</w:t>
      </w:r>
      <w:r w:rsidR="008E51ED">
        <w:t xml:space="preserve"> which is available on the ERCOT website. </w:t>
      </w:r>
    </w:p>
  </w:footnote>
  <w:footnote w:id="4">
    <w:p w:rsidR="009A61F2" w:rsidRDefault="009A61F2" w:rsidP="009A61F2">
      <w:pPr>
        <w:autoSpaceDE w:val="0"/>
        <w:autoSpaceDN w:val="0"/>
        <w:adjustRightInd w:val="0"/>
        <w:spacing w:after="0" w:line="240" w:lineRule="auto"/>
      </w:pPr>
      <w:r>
        <w:rPr>
          <w:rStyle w:val="FootnoteReference"/>
        </w:rPr>
        <w:footnoteRef/>
      </w:r>
      <w:r>
        <w:t xml:space="preserve"> </w:t>
      </w:r>
      <w:r w:rsidRPr="00114D63">
        <w:rPr>
          <w:rFonts w:cstheme="minorHAnsi"/>
          <w:sz w:val="20"/>
          <w:szCs w:val="20"/>
        </w:rPr>
        <w:t>See Table KM-2 in Docket 36485</w:t>
      </w:r>
      <w:r>
        <w:rPr>
          <w:rFonts w:cstheme="minorHAnsi"/>
          <w:sz w:val="20"/>
          <w:szCs w:val="20"/>
        </w:rPr>
        <w:t xml:space="preserve">, </w:t>
      </w:r>
      <w:r w:rsidRPr="00114D63">
        <w:rPr>
          <w:rFonts w:cstheme="minorHAnsi"/>
          <w:sz w:val="20"/>
          <w:szCs w:val="20"/>
        </w:rPr>
        <w:t>Annual Filing by Electric Utilities of Interconnected</w:t>
      </w:r>
      <w:r>
        <w:rPr>
          <w:rFonts w:cstheme="minorHAnsi"/>
          <w:sz w:val="20"/>
          <w:szCs w:val="20"/>
        </w:rPr>
        <w:t xml:space="preserve"> </w:t>
      </w:r>
      <w:r w:rsidRPr="00114D63">
        <w:rPr>
          <w:rFonts w:cstheme="minorHAnsi"/>
          <w:sz w:val="20"/>
          <w:szCs w:val="20"/>
        </w:rPr>
        <w:t>Distributed Generation Facilities to Comply with Substantive Rule §25.211(n)</w:t>
      </w:r>
    </w:p>
  </w:footnote>
  <w:footnote w:id="5">
    <w:p w:rsidR="009A61F2" w:rsidRPr="00427B5D" w:rsidRDefault="009A61F2">
      <w:pPr>
        <w:pStyle w:val="FootnoteText"/>
        <w:rPr>
          <w:rFonts w:cstheme="minorHAnsi"/>
        </w:rPr>
      </w:pPr>
      <w:r w:rsidRPr="00427B5D">
        <w:rPr>
          <w:rStyle w:val="FootnoteReference"/>
          <w:rFonts w:cstheme="minorHAnsi"/>
        </w:rPr>
        <w:footnoteRef/>
      </w:r>
      <w:r w:rsidRPr="00427B5D">
        <w:rPr>
          <w:rFonts w:cstheme="minorHAnsi"/>
        </w:rPr>
        <w:t xml:space="preserve"> See ISO/RTO Council, </w:t>
      </w:r>
      <w:hyperlink r:id="rId1" w:history="1">
        <w:r w:rsidRPr="00427B5D">
          <w:rPr>
            <w:rStyle w:val="Hyperlink"/>
            <w:rFonts w:cstheme="minorHAnsi"/>
          </w:rPr>
          <w:t>North American Wholesale Electricity Demand Response Program Comparison</w:t>
        </w:r>
      </w:hyperlink>
      <w:r w:rsidRPr="00427B5D">
        <w:rPr>
          <w:rFonts w:cstheme="minorHAnsi"/>
        </w:rPr>
        <w:t xml:space="preserve"> 2010 available </w:t>
      </w:r>
      <w:r>
        <w:rPr>
          <w:rFonts w:cstheme="minorHAnsi"/>
        </w:rPr>
        <w:t xml:space="preserve">at </w:t>
      </w:r>
      <w:hyperlink r:id="rId2" w:history="1">
        <w:r w:rsidRPr="002774A7">
          <w:rPr>
            <w:rStyle w:val="Hyperlink"/>
            <w:rFonts w:cstheme="minorHAnsi"/>
          </w:rPr>
          <w:t>http://www.isorto.org/site/c.jhKQIZPBImE/b.2604461/k.6151/Documents_and_Issues.htm</w:t>
        </w:r>
      </w:hyperlink>
      <w:r>
        <w:rPr>
          <w:rFonts w:cs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C37"/>
    <w:multiLevelType w:val="hybridMultilevel"/>
    <w:tmpl w:val="2720661A"/>
    <w:lvl w:ilvl="0" w:tplc="8E24757A">
      <w:start w:val="1"/>
      <w:numFmt w:val="bullet"/>
      <w:lvlText w:val="–"/>
      <w:lvlJc w:val="left"/>
      <w:pPr>
        <w:tabs>
          <w:tab w:val="num" w:pos="720"/>
        </w:tabs>
        <w:ind w:left="720" w:hanging="360"/>
      </w:pPr>
      <w:rPr>
        <w:rFonts w:ascii="Times New Roman" w:hAnsi="Times New Roman" w:hint="default"/>
      </w:rPr>
    </w:lvl>
    <w:lvl w:ilvl="1" w:tplc="4EE07792">
      <w:start w:val="1"/>
      <w:numFmt w:val="bullet"/>
      <w:lvlText w:val="–"/>
      <w:lvlJc w:val="left"/>
      <w:pPr>
        <w:tabs>
          <w:tab w:val="num" w:pos="1440"/>
        </w:tabs>
        <w:ind w:left="1440" w:hanging="360"/>
      </w:pPr>
      <w:rPr>
        <w:rFonts w:ascii="Times New Roman" w:hAnsi="Times New Roman" w:hint="default"/>
      </w:rPr>
    </w:lvl>
    <w:lvl w:ilvl="2" w:tplc="927C0DB8" w:tentative="1">
      <w:start w:val="1"/>
      <w:numFmt w:val="bullet"/>
      <w:lvlText w:val="–"/>
      <w:lvlJc w:val="left"/>
      <w:pPr>
        <w:tabs>
          <w:tab w:val="num" w:pos="2160"/>
        </w:tabs>
        <w:ind w:left="2160" w:hanging="360"/>
      </w:pPr>
      <w:rPr>
        <w:rFonts w:ascii="Times New Roman" w:hAnsi="Times New Roman" w:hint="default"/>
      </w:rPr>
    </w:lvl>
    <w:lvl w:ilvl="3" w:tplc="A1FE335C" w:tentative="1">
      <w:start w:val="1"/>
      <w:numFmt w:val="bullet"/>
      <w:lvlText w:val="–"/>
      <w:lvlJc w:val="left"/>
      <w:pPr>
        <w:tabs>
          <w:tab w:val="num" w:pos="2880"/>
        </w:tabs>
        <w:ind w:left="2880" w:hanging="360"/>
      </w:pPr>
      <w:rPr>
        <w:rFonts w:ascii="Times New Roman" w:hAnsi="Times New Roman" w:hint="default"/>
      </w:rPr>
    </w:lvl>
    <w:lvl w:ilvl="4" w:tplc="E17E403E" w:tentative="1">
      <w:start w:val="1"/>
      <w:numFmt w:val="bullet"/>
      <w:lvlText w:val="–"/>
      <w:lvlJc w:val="left"/>
      <w:pPr>
        <w:tabs>
          <w:tab w:val="num" w:pos="3600"/>
        </w:tabs>
        <w:ind w:left="3600" w:hanging="360"/>
      </w:pPr>
      <w:rPr>
        <w:rFonts w:ascii="Times New Roman" w:hAnsi="Times New Roman" w:hint="default"/>
      </w:rPr>
    </w:lvl>
    <w:lvl w:ilvl="5" w:tplc="ED5A2BF2" w:tentative="1">
      <w:start w:val="1"/>
      <w:numFmt w:val="bullet"/>
      <w:lvlText w:val="–"/>
      <w:lvlJc w:val="left"/>
      <w:pPr>
        <w:tabs>
          <w:tab w:val="num" w:pos="4320"/>
        </w:tabs>
        <w:ind w:left="4320" w:hanging="360"/>
      </w:pPr>
      <w:rPr>
        <w:rFonts w:ascii="Times New Roman" w:hAnsi="Times New Roman" w:hint="default"/>
      </w:rPr>
    </w:lvl>
    <w:lvl w:ilvl="6" w:tplc="491893AE" w:tentative="1">
      <w:start w:val="1"/>
      <w:numFmt w:val="bullet"/>
      <w:lvlText w:val="–"/>
      <w:lvlJc w:val="left"/>
      <w:pPr>
        <w:tabs>
          <w:tab w:val="num" w:pos="5040"/>
        </w:tabs>
        <w:ind w:left="5040" w:hanging="360"/>
      </w:pPr>
      <w:rPr>
        <w:rFonts w:ascii="Times New Roman" w:hAnsi="Times New Roman" w:hint="default"/>
      </w:rPr>
    </w:lvl>
    <w:lvl w:ilvl="7" w:tplc="1BCCC030" w:tentative="1">
      <w:start w:val="1"/>
      <w:numFmt w:val="bullet"/>
      <w:lvlText w:val="–"/>
      <w:lvlJc w:val="left"/>
      <w:pPr>
        <w:tabs>
          <w:tab w:val="num" w:pos="5760"/>
        </w:tabs>
        <w:ind w:left="5760" w:hanging="360"/>
      </w:pPr>
      <w:rPr>
        <w:rFonts w:ascii="Times New Roman" w:hAnsi="Times New Roman" w:hint="default"/>
      </w:rPr>
    </w:lvl>
    <w:lvl w:ilvl="8" w:tplc="836668B2" w:tentative="1">
      <w:start w:val="1"/>
      <w:numFmt w:val="bullet"/>
      <w:lvlText w:val="–"/>
      <w:lvlJc w:val="left"/>
      <w:pPr>
        <w:tabs>
          <w:tab w:val="num" w:pos="6480"/>
        </w:tabs>
        <w:ind w:left="6480" w:hanging="360"/>
      </w:pPr>
      <w:rPr>
        <w:rFonts w:ascii="Times New Roman" w:hAnsi="Times New Roman" w:hint="default"/>
      </w:rPr>
    </w:lvl>
  </w:abstractNum>
  <w:abstractNum w:abstractNumId="1">
    <w:nsid w:val="4CBF071B"/>
    <w:multiLevelType w:val="hybridMultilevel"/>
    <w:tmpl w:val="10B0AC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6E57"/>
    <w:rsid w:val="00073526"/>
    <w:rsid w:val="000A6760"/>
    <w:rsid w:val="000D4CE9"/>
    <w:rsid w:val="000F4D85"/>
    <w:rsid w:val="00114D63"/>
    <w:rsid w:val="00142CD8"/>
    <w:rsid w:val="0014702B"/>
    <w:rsid w:val="00196E28"/>
    <w:rsid w:val="002044BC"/>
    <w:rsid w:val="00244EB5"/>
    <w:rsid w:val="00252F37"/>
    <w:rsid w:val="002F3CEC"/>
    <w:rsid w:val="00346910"/>
    <w:rsid w:val="00347A90"/>
    <w:rsid w:val="00412C86"/>
    <w:rsid w:val="00427B5D"/>
    <w:rsid w:val="0044673C"/>
    <w:rsid w:val="0056695D"/>
    <w:rsid w:val="00586A87"/>
    <w:rsid w:val="005C4849"/>
    <w:rsid w:val="005D3988"/>
    <w:rsid w:val="00667539"/>
    <w:rsid w:val="00675FD9"/>
    <w:rsid w:val="00677575"/>
    <w:rsid w:val="00696E57"/>
    <w:rsid w:val="006A5CF9"/>
    <w:rsid w:val="006C103E"/>
    <w:rsid w:val="006E54B2"/>
    <w:rsid w:val="006F5C43"/>
    <w:rsid w:val="00792BF3"/>
    <w:rsid w:val="007C2C07"/>
    <w:rsid w:val="007E58E2"/>
    <w:rsid w:val="007E67DB"/>
    <w:rsid w:val="007E776C"/>
    <w:rsid w:val="008117D0"/>
    <w:rsid w:val="008E51ED"/>
    <w:rsid w:val="008F28A4"/>
    <w:rsid w:val="00924D20"/>
    <w:rsid w:val="00951593"/>
    <w:rsid w:val="00967885"/>
    <w:rsid w:val="009A2C20"/>
    <w:rsid w:val="009A61F2"/>
    <w:rsid w:val="00A20CDE"/>
    <w:rsid w:val="00A76C94"/>
    <w:rsid w:val="00A80AD0"/>
    <w:rsid w:val="00AA472E"/>
    <w:rsid w:val="00AB5C8F"/>
    <w:rsid w:val="00AC2FAD"/>
    <w:rsid w:val="00B23F9D"/>
    <w:rsid w:val="00B25FEB"/>
    <w:rsid w:val="00B319EC"/>
    <w:rsid w:val="00B35BFF"/>
    <w:rsid w:val="00B6378B"/>
    <w:rsid w:val="00B82818"/>
    <w:rsid w:val="00C414A5"/>
    <w:rsid w:val="00C53752"/>
    <w:rsid w:val="00C747EB"/>
    <w:rsid w:val="00C95681"/>
    <w:rsid w:val="00CE63A0"/>
    <w:rsid w:val="00D336B2"/>
    <w:rsid w:val="00D538A5"/>
    <w:rsid w:val="00DD4622"/>
    <w:rsid w:val="00F900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8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E57"/>
    <w:pPr>
      <w:ind w:left="720"/>
      <w:contextualSpacing/>
    </w:pPr>
  </w:style>
  <w:style w:type="paragraph" w:styleId="BalloonText">
    <w:name w:val="Balloon Text"/>
    <w:basedOn w:val="Normal"/>
    <w:link w:val="BalloonTextChar"/>
    <w:uiPriority w:val="99"/>
    <w:semiHidden/>
    <w:unhideWhenUsed/>
    <w:rsid w:val="00696E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E57"/>
    <w:rPr>
      <w:rFonts w:ascii="Tahoma" w:hAnsi="Tahoma" w:cs="Tahoma"/>
      <w:sz w:val="16"/>
      <w:szCs w:val="16"/>
    </w:rPr>
  </w:style>
  <w:style w:type="character" w:customStyle="1" w:styleId="st">
    <w:name w:val="st"/>
    <w:basedOn w:val="DefaultParagraphFont"/>
    <w:rsid w:val="006A5CF9"/>
  </w:style>
  <w:style w:type="character" w:styleId="Emphasis">
    <w:name w:val="Emphasis"/>
    <w:basedOn w:val="DefaultParagraphFont"/>
    <w:uiPriority w:val="20"/>
    <w:qFormat/>
    <w:rsid w:val="006A5CF9"/>
    <w:rPr>
      <w:i/>
      <w:iCs/>
    </w:rPr>
  </w:style>
  <w:style w:type="paragraph" w:styleId="FootnoteText">
    <w:name w:val="footnote text"/>
    <w:basedOn w:val="Normal"/>
    <w:link w:val="FootnoteTextChar"/>
    <w:uiPriority w:val="99"/>
    <w:semiHidden/>
    <w:unhideWhenUsed/>
    <w:rsid w:val="00AB5C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5C8F"/>
    <w:rPr>
      <w:sz w:val="20"/>
      <w:szCs w:val="20"/>
    </w:rPr>
  </w:style>
  <w:style w:type="character" w:styleId="FootnoteReference">
    <w:name w:val="footnote reference"/>
    <w:basedOn w:val="DefaultParagraphFont"/>
    <w:uiPriority w:val="99"/>
    <w:semiHidden/>
    <w:unhideWhenUsed/>
    <w:rsid w:val="00AB5C8F"/>
    <w:rPr>
      <w:vertAlign w:val="superscript"/>
    </w:rPr>
  </w:style>
  <w:style w:type="paragraph" w:customStyle="1" w:styleId="Default">
    <w:name w:val="Default"/>
    <w:rsid w:val="00AB5C8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27B5D"/>
    <w:rPr>
      <w:color w:val="0000FF"/>
      <w:u w:val="single"/>
    </w:rPr>
  </w:style>
  <w:style w:type="character" w:styleId="FollowedHyperlink">
    <w:name w:val="FollowedHyperlink"/>
    <w:basedOn w:val="DefaultParagraphFont"/>
    <w:uiPriority w:val="99"/>
    <w:semiHidden/>
    <w:unhideWhenUsed/>
    <w:rsid w:val="0056695D"/>
    <w:rPr>
      <w:color w:val="800080" w:themeColor="followedHyperlink"/>
      <w:u w:val="single"/>
    </w:rPr>
  </w:style>
  <w:style w:type="paragraph" w:styleId="Header">
    <w:name w:val="header"/>
    <w:basedOn w:val="Normal"/>
    <w:link w:val="HeaderChar"/>
    <w:uiPriority w:val="99"/>
    <w:semiHidden/>
    <w:unhideWhenUsed/>
    <w:rsid w:val="00A20C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0CDE"/>
  </w:style>
  <w:style w:type="paragraph" w:styleId="Footer">
    <w:name w:val="footer"/>
    <w:basedOn w:val="Normal"/>
    <w:link w:val="FooterChar"/>
    <w:uiPriority w:val="99"/>
    <w:unhideWhenUsed/>
    <w:rsid w:val="00A20C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CDE"/>
  </w:style>
</w:styles>
</file>

<file path=word/webSettings.xml><?xml version="1.0" encoding="utf-8"?>
<w:webSettings xmlns:r="http://schemas.openxmlformats.org/officeDocument/2006/relationships" xmlns:w="http://schemas.openxmlformats.org/wordprocessingml/2006/main">
  <w:divs>
    <w:div w:id="1332559979">
      <w:bodyDiv w:val="1"/>
      <w:marLeft w:val="0"/>
      <w:marRight w:val="0"/>
      <w:marTop w:val="0"/>
      <w:marBottom w:val="0"/>
      <w:divBdr>
        <w:top w:val="none" w:sz="0" w:space="0" w:color="auto"/>
        <w:left w:val="none" w:sz="0" w:space="0" w:color="auto"/>
        <w:bottom w:val="none" w:sz="0" w:space="0" w:color="auto"/>
        <w:right w:val="none" w:sz="0" w:space="0" w:color="auto"/>
      </w:divBdr>
      <w:divsChild>
        <w:div w:id="1968269313">
          <w:marLeft w:val="1166"/>
          <w:marRight w:val="0"/>
          <w:marTop w:val="115"/>
          <w:marBottom w:val="0"/>
          <w:divBdr>
            <w:top w:val="none" w:sz="0" w:space="0" w:color="auto"/>
            <w:left w:val="none" w:sz="0" w:space="0" w:color="auto"/>
            <w:bottom w:val="none" w:sz="0" w:space="0" w:color="auto"/>
            <w:right w:val="none" w:sz="0" w:space="0" w:color="auto"/>
          </w:divBdr>
        </w:div>
        <w:div w:id="359478034">
          <w:marLeft w:val="1166"/>
          <w:marRight w:val="0"/>
          <w:marTop w:val="115"/>
          <w:marBottom w:val="0"/>
          <w:divBdr>
            <w:top w:val="none" w:sz="0" w:space="0" w:color="auto"/>
            <w:left w:val="none" w:sz="0" w:space="0" w:color="auto"/>
            <w:bottom w:val="none" w:sz="0" w:space="0" w:color="auto"/>
            <w:right w:val="none" w:sz="0" w:space="0" w:color="auto"/>
          </w:divBdr>
        </w:div>
        <w:div w:id="1530870396">
          <w:marLeft w:val="1166"/>
          <w:marRight w:val="0"/>
          <w:marTop w:val="115"/>
          <w:marBottom w:val="0"/>
          <w:divBdr>
            <w:top w:val="none" w:sz="0" w:space="0" w:color="auto"/>
            <w:left w:val="none" w:sz="0" w:space="0" w:color="auto"/>
            <w:bottom w:val="none" w:sz="0" w:space="0" w:color="auto"/>
            <w:right w:val="none" w:sz="0" w:space="0" w:color="auto"/>
          </w:divBdr>
        </w:div>
      </w:divsChild>
    </w:div>
    <w:div w:id="1569536434">
      <w:bodyDiv w:val="1"/>
      <w:marLeft w:val="0"/>
      <w:marRight w:val="0"/>
      <w:marTop w:val="0"/>
      <w:marBottom w:val="0"/>
      <w:divBdr>
        <w:top w:val="none" w:sz="0" w:space="0" w:color="auto"/>
        <w:left w:val="none" w:sz="0" w:space="0" w:color="auto"/>
        <w:bottom w:val="none" w:sz="0" w:space="0" w:color="auto"/>
        <w:right w:val="none" w:sz="0" w:space="0" w:color="auto"/>
      </w:divBdr>
      <w:divsChild>
        <w:div w:id="2077975347">
          <w:marLeft w:val="1166"/>
          <w:marRight w:val="0"/>
          <w:marTop w:val="115"/>
          <w:marBottom w:val="0"/>
          <w:divBdr>
            <w:top w:val="none" w:sz="0" w:space="0" w:color="auto"/>
            <w:left w:val="none" w:sz="0" w:space="0" w:color="auto"/>
            <w:bottom w:val="none" w:sz="0" w:space="0" w:color="auto"/>
            <w:right w:val="none" w:sz="0" w:space="0" w:color="auto"/>
          </w:divBdr>
        </w:div>
        <w:div w:id="1117792085">
          <w:marLeft w:val="1166"/>
          <w:marRight w:val="0"/>
          <w:marTop w:val="115"/>
          <w:marBottom w:val="0"/>
          <w:divBdr>
            <w:top w:val="none" w:sz="0" w:space="0" w:color="auto"/>
            <w:left w:val="none" w:sz="0" w:space="0" w:color="auto"/>
            <w:bottom w:val="none" w:sz="0" w:space="0" w:color="auto"/>
            <w:right w:val="none" w:sz="0" w:space="0" w:color="auto"/>
          </w:divBdr>
        </w:div>
        <w:div w:id="1911189661">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_rels/footnotes.xml.rels><?xml version="1.0" encoding="UTF-8" standalone="yes"?>
<Relationships xmlns="http://schemas.openxmlformats.org/package/2006/relationships"><Relationship Id="rId2" Type="http://schemas.openxmlformats.org/officeDocument/2006/relationships/hyperlink" Target="http://www.isorto.org/site/c.jhKQIZPBImE/b.2604461/k.6151/Documents_and_Issues.htm" TargetMode="External"/><Relationship Id="rId1" Type="http://schemas.openxmlformats.org/officeDocument/2006/relationships/hyperlink" Target="http://www.isorto.org/site/apps/nlnet/content2.aspx?c=jhKQIZPBImE&amp;b=2708737&amp;ct=84005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9B567-766D-40D7-97F5-C19D006E0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Johnson Controls, Inc.</Company>
  <LinksUpToDate>false</LinksUpToDate>
  <CharactersWithSpaces>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E Campbell</dc:creator>
  <cp:lastModifiedBy>Brett Perlman</cp:lastModifiedBy>
  <cp:revision>4</cp:revision>
  <cp:lastPrinted>2011-11-29T03:27:00Z</cp:lastPrinted>
  <dcterms:created xsi:type="dcterms:W3CDTF">2011-11-29T03:57:00Z</dcterms:created>
  <dcterms:modified xsi:type="dcterms:W3CDTF">2011-11-29T14:47:00Z</dcterms:modified>
</cp:coreProperties>
</file>