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6F7" w:rsidRDefault="009236F7">
      <w:pPr>
        <w:rPr>
          <w:rFonts w:ascii="Book Antiqua" w:hAnsi="Book Antiqua"/>
          <w:b/>
        </w:rPr>
      </w:pPr>
      <w:r>
        <w:rPr>
          <w:rFonts w:ascii="Book Antiqua" w:hAnsi="Book Antiqua"/>
          <w:b/>
        </w:rPr>
        <w:t xml:space="preserve">DRAFT </w:t>
      </w:r>
    </w:p>
    <w:p w:rsidR="009236F7" w:rsidRDefault="00DD34AA">
      <w:pPr>
        <w:rPr>
          <w:rFonts w:ascii="Book Antiqua" w:hAnsi="Book Antiqua"/>
          <w:b/>
        </w:rPr>
      </w:pPr>
      <w:r w:rsidRPr="00DD34AA">
        <w:rPr>
          <w:rFonts w:ascii="Book Antiqua" w:hAnsi="Book Antiqua"/>
          <w:b/>
        </w:rPr>
        <w:t>Docket 39674: Energy Efficiency Rule</w:t>
      </w:r>
    </w:p>
    <w:p w:rsidR="00882D7F" w:rsidRDefault="00DD34AA">
      <w:pPr>
        <w:rPr>
          <w:rFonts w:ascii="Book Antiqua" w:hAnsi="Book Antiqua"/>
          <w:b/>
        </w:rPr>
      </w:pPr>
      <w:r w:rsidRPr="00DD34AA">
        <w:rPr>
          <w:rFonts w:ascii="Book Antiqua" w:hAnsi="Book Antiqua"/>
          <w:b/>
        </w:rPr>
        <w:t xml:space="preserve">Load Management Program: </w:t>
      </w:r>
      <w:r w:rsidR="009236F7">
        <w:rPr>
          <w:rFonts w:ascii="Book Antiqua" w:hAnsi="Book Antiqua"/>
          <w:b/>
        </w:rPr>
        <w:t xml:space="preserve">Discussion of Issues and </w:t>
      </w:r>
      <w:r w:rsidR="002807A1" w:rsidRPr="00DD34AA">
        <w:rPr>
          <w:rFonts w:ascii="Book Antiqua" w:hAnsi="Book Antiqua"/>
          <w:b/>
        </w:rPr>
        <w:t xml:space="preserve">Options </w:t>
      </w:r>
      <w:r w:rsidR="009236F7">
        <w:rPr>
          <w:rFonts w:ascii="Book Antiqua" w:hAnsi="Book Antiqua"/>
          <w:b/>
        </w:rPr>
        <w:t>for Change</w:t>
      </w:r>
    </w:p>
    <w:p w:rsidR="00DD34AA" w:rsidRPr="00DD34AA" w:rsidRDefault="00E32A49">
      <w:pPr>
        <w:rPr>
          <w:rFonts w:ascii="Book Antiqua" w:hAnsi="Book Antiqua"/>
          <w:b/>
        </w:rPr>
      </w:pPr>
      <w:r>
        <w:rPr>
          <w:rFonts w:ascii="Book Antiqua" w:hAnsi="Book Antiqua"/>
          <w:b/>
        </w:rPr>
        <w:t>Thursday, October 20,</w:t>
      </w:r>
      <w:r w:rsidR="00DD34AA">
        <w:rPr>
          <w:rFonts w:ascii="Book Antiqua" w:hAnsi="Book Antiqua"/>
          <w:b/>
        </w:rPr>
        <w:t xml:space="preserve"> 2011</w:t>
      </w:r>
    </w:p>
    <w:p w:rsidR="00DD34AA" w:rsidRPr="00DD34AA" w:rsidRDefault="00DD34AA">
      <w:pPr>
        <w:rPr>
          <w:rFonts w:ascii="Book Antiqua" w:hAnsi="Book Antiqua"/>
        </w:rPr>
      </w:pPr>
      <w:r w:rsidRPr="00DD34AA">
        <w:rPr>
          <w:rFonts w:ascii="Book Antiqua" w:hAnsi="Book Antiqua"/>
        </w:rPr>
        <w:t>The PUCT Straw Man Proposal for changes to the Energy Efficiency Rule included the following suggested additional language:</w:t>
      </w:r>
    </w:p>
    <w:p w:rsidR="00DD34AA" w:rsidRPr="00DD34AA" w:rsidRDefault="00DD34AA" w:rsidP="00DD34AA">
      <w:pPr>
        <w:ind w:left="720"/>
        <w:rPr>
          <w:rFonts w:ascii="Book Antiqua" w:hAnsi="Book Antiqua"/>
        </w:rPr>
      </w:pPr>
      <w:r w:rsidRPr="00DD34AA">
        <w:rPr>
          <w:rFonts w:ascii="Book Antiqua" w:hAnsi="Book Antiqua"/>
          <w:i/>
          <w:spacing w:val="-2"/>
          <w:w w:val="105"/>
        </w:rPr>
        <w:t>Utilities in ERCOT shall terminate their load management programs within six months after ERCOT permits load resources to participate in energy markets via economic dispatch</w:t>
      </w:r>
      <w:r w:rsidRPr="00DD34AA">
        <w:rPr>
          <w:rFonts w:ascii="Book Antiqua" w:hAnsi="Book Antiqua"/>
        </w:rPr>
        <w:t>.</w:t>
      </w:r>
    </w:p>
    <w:p w:rsidR="009236F7" w:rsidRDefault="009236F7" w:rsidP="00927E16">
      <w:pPr>
        <w:rPr>
          <w:rFonts w:ascii="Book Antiqua" w:hAnsi="Book Antiqua"/>
        </w:rPr>
      </w:pPr>
      <w:r>
        <w:rPr>
          <w:rFonts w:ascii="Book Antiqua" w:hAnsi="Book Antiqua"/>
        </w:rPr>
        <w:t xml:space="preserve">Utilities, aggregators, consumers, REPs and other stakeholders discussed the proposed change and the possible role of load management as part of the utility EE programs.   This </w:t>
      </w:r>
      <w:r w:rsidR="00760F38">
        <w:rPr>
          <w:rFonts w:ascii="Book Antiqua" w:hAnsi="Book Antiqua"/>
        </w:rPr>
        <w:t xml:space="preserve">document </w:t>
      </w:r>
      <w:r>
        <w:rPr>
          <w:rFonts w:ascii="Book Antiqua" w:hAnsi="Book Antiqua"/>
        </w:rPr>
        <w:t xml:space="preserve">attempts to capture the key </w:t>
      </w:r>
      <w:r w:rsidR="00760F38">
        <w:rPr>
          <w:rFonts w:ascii="Book Antiqua" w:hAnsi="Book Antiqua"/>
        </w:rPr>
        <w:t>areas of agreement or non-agreement</w:t>
      </w:r>
      <w:r>
        <w:rPr>
          <w:rFonts w:ascii="Book Antiqua" w:hAnsi="Book Antiqua"/>
        </w:rPr>
        <w:t xml:space="preserve"> by participating stakeholders.  </w:t>
      </w:r>
    </w:p>
    <w:p w:rsidR="009236F7" w:rsidRDefault="009236F7" w:rsidP="00927E16">
      <w:pPr>
        <w:rPr>
          <w:rFonts w:ascii="Book Antiqua" w:hAnsi="Book Antiqua"/>
        </w:rPr>
      </w:pPr>
      <w:r>
        <w:rPr>
          <w:rFonts w:ascii="Book Antiqua" w:hAnsi="Book Antiqua"/>
        </w:rPr>
        <w:t xml:space="preserve">Utilities noted programs are today operated as reliability rather than price-based load management.  </w:t>
      </w:r>
      <w:r w:rsidR="00927E16" w:rsidRPr="00DD34AA">
        <w:rPr>
          <w:rFonts w:ascii="Book Antiqua" w:hAnsi="Book Antiqua"/>
        </w:rPr>
        <w:t xml:space="preserve">Permitting load participation in the energy market (price-based demand response) will not </w:t>
      </w:r>
      <w:r>
        <w:rPr>
          <w:rFonts w:ascii="Book Antiqua" w:hAnsi="Book Antiqua"/>
        </w:rPr>
        <w:t xml:space="preserve">necessarily </w:t>
      </w:r>
      <w:r w:rsidR="00927E16" w:rsidRPr="00DD34AA">
        <w:rPr>
          <w:rFonts w:ascii="Book Antiqua" w:hAnsi="Book Antiqua"/>
        </w:rPr>
        <w:t xml:space="preserve">replace </w:t>
      </w:r>
      <w:r>
        <w:rPr>
          <w:rFonts w:ascii="Book Antiqua" w:hAnsi="Book Antiqua"/>
        </w:rPr>
        <w:t xml:space="preserve">such </w:t>
      </w:r>
      <w:r w:rsidR="00927E16" w:rsidRPr="00DD34AA">
        <w:rPr>
          <w:rFonts w:ascii="Book Antiqua" w:hAnsi="Book Antiqua"/>
        </w:rPr>
        <w:t xml:space="preserve">utility programs (capacity-based).   Some customers are much less likely to participate in ERCOT wholesale programs than in the utility load management programs, which are generally less complex, so utility programs </w:t>
      </w:r>
      <w:r w:rsidR="00927E16">
        <w:rPr>
          <w:rFonts w:ascii="Book Antiqua" w:hAnsi="Book Antiqua"/>
        </w:rPr>
        <w:t xml:space="preserve">draw largely different, additional load into the market.  </w:t>
      </w:r>
    </w:p>
    <w:p w:rsidR="00927E16" w:rsidRDefault="00927E16" w:rsidP="00927E16">
      <w:pPr>
        <w:rPr>
          <w:rFonts w:ascii="Book Antiqua" w:hAnsi="Book Antiqua"/>
        </w:rPr>
      </w:pPr>
      <w:r>
        <w:rPr>
          <w:rFonts w:ascii="Book Antiqua" w:hAnsi="Book Antiqua"/>
        </w:rPr>
        <w:t xml:space="preserve">Aggregators pointed out utility load management </w:t>
      </w:r>
      <w:r w:rsidRPr="00DD34AA">
        <w:rPr>
          <w:rFonts w:ascii="Book Antiqua" w:hAnsi="Book Antiqua"/>
        </w:rPr>
        <w:t xml:space="preserve">can coexist and be complementary to ERCOT programs.   </w:t>
      </w:r>
      <w:r w:rsidR="009236F7">
        <w:rPr>
          <w:rFonts w:ascii="Book Antiqua" w:hAnsi="Book Antiqua"/>
        </w:rPr>
        <w:t xml:space="preserve">And, new program designs can more easily be piloted under the utility programs than under ERCOT protocols.  </w:t>
      </w:r>
    </w:p>
    <w:p w:rsidR="00927E16" w:rsidRDefault="002807A1">
      <w:pPr>
        <w:rPr>
          <w:rFonts w:ascii="Book Antiqua" w:hAnsi="Book Antiqua"/>
        </w:rPr>
      </w:pPr>
      <w:r w:rsidRPr="00DD34AA">
        <w:rPr>
          <w:rFonts w:ascii="Book Antiqua" w:hAnsi="Book Antiqua"/>
        </w:rPr>
        <w:t xml:space="preserve">There was widespread agreement </w:t>
      </w:r>
      <w:r w:rsidR="00927E16">
        <w:rPr>
          <w:rFonts w:ascii="Book Antiqua" w:hAnsi="Book Antiqua"/>
        </w:rPr>
        <w:t xml:space="preserve">(although not unanimity) </w:t>
      </w:r>
      <w:r w:rsidRPr="00DD34AA">
        <w:rPr>
          <w:rFonts w:ascii="Book Antiqua" w:hAnsi="Book Antiqua"/>
        </w:rPr>
        <w:t xml:space="preserve">that the current utility load management programs provide </w:t>
      </w:r>
      <w:r w:rsidR="00E32A49">
        <w:rPr>
          <w:rFonts w:ascii="Book Antiqua" w:hAnsi="Book Antiqua"/>
        </w:rPr>
        <w:t xml:space="preserve">some </w:t>
      </w:r>
      <w:r w:rsidRPr="00DD34AA">
        <w:rPr>
          <w:rFonts w:ascii="Book Antiqua" w:hAnsi="Book Antiqua"/>
        </w:rPr>
        <w:t>benefits</w:t>
      </w:r>
      <w:r w:rsidR="00E32A49">
        <w:rPr>
          <w:rFonts w:ascii="Book Antiqua" w:hAnsi="Book Antiqua"/>
        </w:rPr>
        <w:t>, and the commission should not initiate a process that could end such programs automatically</w:t>
      </w:r>
      <w:r w:rsidR="00927E16">
        <w:rPr>
          <w:rFonts w:ascii="Book Antiqua" w:hAnsi="Book Antiqua"/>
        </w:rPr>
        <w:t xml:space="preserve"> at this time</w:t>
      </w:r>
      <w:r w:rsidR="00E32A49">
        <w:rPr>
          <w:rFonts w:ascii="Book Antiqua" w:hAnsi="Book Antiqua"/>
        </w:rPr>
        <w:t>.  The utilities pointed out that they</w:t>
      </w:r>
      <w:r w:rsidRPr="00DD34AA">
        <w:rPr>
          <w:rFonts w:ascii="Book Antiqua" w:hAnsi="Book Antiqua"/>
        </w:rPr>
        <w:t xml:space="preserve"> </w:t>
      </w:r>
      <w:r w:rsidR="00927E16">
        <w:rPr>
          <w:rFonts w:ascii="Book Antiqua" w:hAnsi="Book Antiqua"/>
        </w:rPr>
        <w:t>have been</w:t>
      </w:r>
      <w:r w:rsidRPr="00DD34AA">
        <w:rPr>
          <w:rFonts w:ascii="Book Antiqua" w:hAnsi="Book Antiqua"/>
        </w:rPr>
        <w:t xml:space="preserve"> </w:t>
      </w:r>
      <w:r w:rsidR="00927E16">
        <w:rPr>
          <w:rFonts w:ascii="Book Antiqua" w:hAnsi="Book Antiqua"/>
        </w:rPr>
        <w:t>transitioning</w:t>
      </w:r>
      <w:r w:rsidRPr="00DD34AA">
        <w:rPr>
          <w:rFonts w:ascii="Book Antiqua" w:hAnsi="Book Antiqua"/>
        </w:rPr>
        <w:t xml:space="preserve"> </w:t>
      </w:r>
      <w:r w:rsidR="00E32A49">
        <w:rPr>
          <w:rFonts w:ascii="Book Antiqua" w:hAnsi="Book Antiqua"/>
        </w:rPr>
        <w:t xml:space="preserve">the programs </w:t>
      </w:r>
      <w:r w:rsidRPr="00DD34AA">
        <w:rPr>
          <w:rFonts w:ascii="Book Antiqua" w:hAnsi="Book Antiqua"/>
        </w:rPr>
        <w:t xml:space="preserve">toward designs to </w:t>
      </w:r>
      <w:r w:rsidR="00DD34AA">
        <w:rPr>
          <w:rFonts w:ascii="Book Antiqua" w:hAnsi="Book Antiqua"/>
        </w:rPr>
        <w:t>provide additional</w:t>
      </w:r>
      <w:r w:rsidRPr="00DD34AA">
        <w:rPr>
          <w:rFonts w:ascii="Book Antiqua" w:hAnsi="Book Antiqua"/>
        </w:rPr>
        <w:t xml:space="preserve"> local TDU </w:t>
      </w:r>
      <w:r w:rsidR="00DD34AA">
        <w:rPr>
          <w:rFonts w:ascii="Book Antiqua" w:hAnsi="Book Antiqua"/>
        </w:rPr>
        <w:t>benefits</w:t>
      </w:r>
      <w:r w:rsidR="00E32A49">
        <w:rPr>
          <w:rFonts w:ascii="Book Antiqua" w:hAnsi="Book Antiqua"/>
        </w:rPr>
        <w:t>—</w:t>
      </w:r>
      <w:r w:rsidR="006537A1" w:rsidRPr="00DD34AA">
        <w:rPr>
          <w:rFonts w:ascii="Book Antiqua" w:hAnsi="Book Antiqua"/>
        </w:rPr>
        <w:t>in addition to</w:t>
      </w:r>
      <w:r w:rsidR="00DD34AA">
        <w:rPr>
          <w:rFonts w:ascii="Book Antiqua" w:hAnsi="Book Antiqua"/>
        </w:rPr>
        <w:t xml:space="preserve"> providing additional capacity to address</w:t>
      </w:r>
      <w:r w:rsidRPr="00DD34AA">
        <w:rPr>
          <w:rFonts w:ascii="Book Antiqua" w:hAnsi="Book Antiqua"/>
        </w:rPr>
        <w:t xml:space="preserve"> ERCOT emergency conditions.  </w:t>
      </w:r>
      <w:r w:rsidR="00002776" w:rsidRPr="00DD34AA">
        <w:rPr>
          <w:rFonts w:ascii="Book Antiqua" w:hAnsi="Book Antiqua"/>
        </w:rPr>
        <w:t xml:space="preserve"> </w:t>
      </w:r>
      <w:r w:rsidR="00927E16">
        <w:rPr>
          <w:rFonts w:ascii="Book Antiqua" w:hAnsi="Book Antiqua"/>
        </w:rPr>
        <w:t xml:space="preserve">Responding to local TDU peak demands should complement ERCOT system needs, one of the concerned raised by REPs.  </w:t>
      </w:r>
    </w:p>
    <w:p w:rsidR="00685F52" w:rsidRDefault="00002776">
      <w:pPr>
        <w:rPr>
          <w:rFonts w:ascii="Book Antiqua" w:hAnsi="Book Antiqua"/>
        </w:rPr>
      </w:pPr>
      <w:r w:rsidRPr="00DD34AA">
        <w:rPr>
          <w:rFonts w:ascii="Book Antiqua" w:hAnsi="Book Antiqua"/>
        </w:rPr>
        <w:t>Furthermore, l</w:t>
      </w:r>
      <w:r w:rsidR="002807A1" w:rsidRPr="00DD34AA">
        <w:rPr>
          <w:rFonts w:ascii="Book Antiqua" w:hAnsi="Book Antiqua"/>
        </w:rPr>
        <w:t>oad man</w:t>
      </w:r>
      <w:r w:rsidRPr="00DD34AA">
        <w:rPr>
          <w:rFonts w:ascii="Book Antiqua" w:hAnsi="Book Antiqua"/>
        </w:rPr>
        <w:t xml:space="preserve">agement programs are </w:t>
      </w:r>
      <w:r w:rsidR="00E32A49">
        <w:rPr>
          <w:rFonts w:ascii="Book Antiqua" w:hAnsi="Book Antiqua"/>
        </w:rPr>
        <w:t>a low</w:t>
      </w:r>
      <w:r w:rsidRPr="00DD34AA">
        <w:rPr>
          <w:rFonts w:ascii="Book Antiqua" w:hAnsi="Book Antiqua"/>
        </w:rPr>
        <w:t>-</w:t>
      </w:r>
      <w:r w:rsidR="002807A1" w:rsidRPr="00DD34AA">
        <w:rPr>
          <w:rFonts w:ascii="Book Antiqua" w:hAnsi="Book Antiqua"/>
        </w:rPr>
        <w:t xml:space="preserve">cost means </w:t>
      </w:r>
      <w:r w:rsidR="00E32A49">
        <w:rPr>
          <w:rFonts w:ascii="Book Antiqua" w:hAnsi="Book Antiqua"/>
        </w:rPr>
        <w:t>to help</w:t>
      </w:r>
      <w:r w:rsidRPr="00DD34AA">
        <w:rPr>
          <w:rFonts w:ascii="Book Antiqua" w:hAnsi="Book Antiqua"/>
        </w:rPr>
        <w:t xml:space="preserve"> utilities </w:t>
      </w:r>
      <w:r w:rsidR="002807A1" w:rsidRPr="00DD34AA">
        <w:rPr>
          <w:rFonts w:ascii="Book Antiqua" w:hAnsi="Book Antiqua"/>
        </w:rPr>
        <w:t>meet the</w:t>
      </w:r>
      <w:r w:rsidRPr="00DD34AA">
        <w:rPr>
          <w:rFonts w:ascii="Book Antiqua" w:hAnsi="Book Antiqua"/>
        </w:rPr>
        <w:t>ir</w:t>
      </w:r>
      <w:r w:rsidR="002807A1" w:rsidRPr="00DD34AA">
        <w:rPr>
          <w:rFonts w:ascii="Book Antiqua" w:hAnsi="Book Antiqua"/>
        </w:rPr>
        <w:t xml:space="preserve"> </w:t>
      </w:r>
      <w:r w:rsidR="006537A1" w:rsidRPr="00DD34AA">
        <w:rPr>
          <w:rFonts w:ascii="Book Antiqua" w:hAnsi="Book Antiqua"/>
        </w:rPr>
        <w:t xml:space="preserve">EE </w:t>
      </w:r>
      <w:r w:rsidR="002807A1" w:rsidRPr="00DD34AA">
        <w:rPr>
          <w:rFonts w:ascii="Book Antiqua" w:hAnsi="Book Antiqua"/>
        </w:rPr>
        <w:t>goals</w:t>
      </w:r>
      <w:r w:rsidR="006537A1" w:rsidRPr="00DD34AA">
        <w:rPr>
          <w:rFonts w:ascii="Book Antiqua" w:hAnsi="Book Antiqua"/>
        </w:rPr>
        <w:t xml:space="preserve"> or earn </w:t>
      </w:r>
      <w:r w:rsidR="00DD34AA">
        <w:rPr>
          <w:rFonts w:ascii="Book Antiqua" w:hAnsi="Book Antiqua"/>
        </w:rPr>
        <w:t>the legislatively allowed</w:t>
      </w:r>
      <w:r w:rsidRPr="00DD34AA">
        <w:rPr>
          <w:rFonts w:ascii="Book Antiqua" w:hAnsi="Book Antiqua"/>
        </w:rPr>
        <w:t xml:space="preserve"> bonus</w:t>
      </w:r>
      <w:r w:rsidR="006537A1" w:rsidRPr="00DD34AA">
        <w:rPr>
          <w:rFonts w:ascii="Book Antiqua" w:hAnsi="Book Antiqua"/>
        </w:rPr>
        <w:t xml:space="preserve">. </w:t>
      </w:r>
      <w:r w:rsidR="002807A1" w:rsidRPr="00DD34AA">
        <w:rPr>
          <w:rFonts w:ascii="Book Antiqua" w:hAnsi="Book Antiqua"/>
        </w:rPr>
        <w:t xml:space="preserve"> </w:t>
      </w:r>
      <w:r w:rsidR="00685F52">
        <w:rPr>
          <w:rFonts w:ascii="Book Antiqua" w:hAnsi="Book Antiqua"/>
        </w:rPr>
        <w:t>Utilities noted that i</w:t>
      </w:r>
      <w:r w:rsidR="006537A1" w:rsidRPr="00DD34AA">
        <w:rPr>
          <w:rFonts w:ascii="Book Antiqua" w:hAnsi="Book Antiqua"/>
        </w:rPr>
        <w:t xml:space="preserve">t </w:t>
      </w:r>
      <w:r w:rsidR="00685F52">
        <w:rPr>
          <w:rFonts w:ascii="Book Antiqua" w:hAnsi="Book Antiqua"/>
        </w:rPr>
        <w:t xml:space="preserve">would be very difficult for them </w:t>
      </w:r>
      <w:r w:rsidR="006537A1" w:rsidRPr="00DD34AA">
        <w:rPr>
          <w:rFonts w:ascii="Book Antiqua" w:hAnsi="Book Antiqua"/>
        </w:rPr>
        <w:t xml:space="preserve">to reach the </w:t>
      </w:r>
      <w:r w:rsidR="00685F52">
        <w:rPr>
          <w:rFonts w:ascii="Book Antiqua" w:hAnsi="Book Antiqua"/>
        </w:rPr>
        <w:t xml:space="preserve">new, </w:t>
      </w:r>
      <w:r w:rsidR="006537A1" w:rsidRPr="00DD34AA">
        <w:rPr>
          <w:rFonts w:ascii="Book Antiqua" w:hAnsi="Book Antiqua"/>
        </w:rPr>
        <w:t>higher goals adopted by the PUC and legislature this year, given the Commission</w:t>
      </w:r>
      <w:r w:rsidR="00DD34AA">
        <w:rPr>
          <w:rFonts w:ascii="Book Antiqua" w:hAnsi="Book Antiqua"/>
        </w:rPr>
        <w:t>-</w:t>
      </w:r>
      <w:r w:rsidR="006537A1" w:rsidRPr="00DD34AA">
        <w:rPr>
          <w:rFonts w:ascii="Book Antiqua" w:hAnsi="Book Antiqua"/>
        </w:rPr>
        <w:t>imposed cost (spending) cap, were load management</w:t>
      </w:r>
      <w:r w:rsidRPr="00DD34AA">
        <w:rPr>
          <w:rFonts w:ascii="Book Antiqua" w:hAnsi="Book Antiqua"/>
        </w:rPr>
        <w:t xml:space="preserve"> removed as an available tool</w:t>
      </w:r>
      <w:r w:rsidR="006537A1" w:rsidRPr="00DD34AA">
        <w:rPr>
          <w:rFonts w:ascii="Book Antiqua" w:hAnsi="Book Antiqua"/>
        </w:rPr>
        <w:t>.</w:t>
      </w:r>
      <w:r w:rsidRPr="00DD34AA">
        <w:rPr>
          <w:rFonts w:ascii="Book Antiqua" w:hAnsi="Book Antiqua"/>
        </w:rPr>
        <w:t xml:space="preserve">   Given the concern about forecast market capacity in ERCOT </w:t>
      </w:r>
      <w:r w:rsidR="00DD34AA">
        <w:rPr>
          <w:rFonts w:ascii="Book Antiqua" w:hAnsi="Book Antiqua"/>
        </w:rPr>
        <w:t xml:space="preserve">for </w:t>
      </w:r>
      <w:r w:rsidRPr="00DD34AA">
        <w:rPr>
          <w:rFonts w:ascii="Book Antiqua" w:hAnsi="Book Antiqua"/>
        </w:rPr>
        <w:t xml:space="preserve">next year, </w:t>
      </w:r>
      <w:r w:rsidR="00927E16">
        <w:rPr>
          <w:rFonts w:ascii="Book Antiqua" w:hAnsi="Book Antiqua"/>
        </w:rPr>
        <w:t xml:space="preserve">most stakeholders agreed </w:t>
      </w:r>
      <w:r w:rsidRPr="00DD34AA">
        <w:rPr>
          <w:rFonts w:ascii="Book Antiqua" w:hAnsi="Book Antiqua"/>
        </w:rPr>
        <w:t xml:space="preserve">it would </w:t>
      </w:r>
      <w:r w:rsidR="00DD34AA">
        <w:rPr>
          <w:rFonts w:ascii="Book Antiqua" w:hAnsi="Book Antiqua"/>
        </w:rPr>
        <w:t xml:space="preserve">actually </w:t>
      </w:r>
      <w:r w:rsidRPr="00DD34AA">
        <w:rPr>
          <w:rFonts w:ascii="Book Antiqua" w:hAnsi="Book Antiqua"/>
        </w:rPr>
        <w:t>make sense to increase the scale of the utility load management programs.</w:t>
      </w:r>
      <w:r w:rsidR="00E32A49">
        <w:rPr>
          <w:rFonts w:ascii="Book Antiqua" w:hAnsi="Book Antiqua"/>
        </w:rPr>
        <w:t xml:space="preserve"> </w:t>
      </w:r>
      <w:r w:rsidR="00760F38">
        <w:rPr>
          <w:rFonts w:ascii="Book Antiqua" w:hAnsi="Book Antiqua"/>
        </w:rPr>
        <w:t xml:space="preserve"> </w:t>
      </w:r>
    </w:p>
    <w:p w:rsidR="00E32A49" w:rsidRDefault="00760F38">
      <w:pPr>
        <w:rPr>
          <w:rFonts w:ascii="Book Antiqua" w:hAnsi="Book Antiqua"/>
        </w:rPr>
      </w:pPr>
      <w:r>
        <w:rPr>
          <w:rFonts w:ascii="Book Antiqua" w:hAnsi="Book Antiqua"/>
        </w:rPr>
        <w:lastRenderedPageBreak/>
        <w:t>Consumers generally</w:t>
      </w:r>
      <w:r w:rsidR="00927E16">
        <w:rPr>
          <w:rFonts w:ascii="Book Antiqua" w:hAnsi="Book Antiqua"/>
        </w:rPr>
        <w:t xml:space="preserve"> were concerned about expenditures on the programs as they are currently operated, however, and would rather see the funds spent on conservation measures with longer measure lives</w:t>
      </w:r>
      <w:r w:rsidR="008A6B6D">
        <w:rPr>
          <w:rFonts w:ascii="Book Antiqua" w:hAnsi="Book Antiqua"/>
        </w:rPr>
        <w:t xml:space="preserve"> and greater energy savings</w:t>
      </w:r>
      <w:r w:rsidR="00927E16">
        <w:rPr>
          <w:rFonts w:ascii="Book Antiqua" w:hAnsi="Book Antiqua"/>
        </w:rPr>
        <w:t xml:space="preserve">. </w:t>
      </w:r>
      <w:r w:rsidR="00685F52">
        <w:rPr>
          <w:rFonts w:ascii="Book Antiqua" w:hAnsi="Book Antiqua"/>
        </w:rPr>
        <w:t xml:space="preserve">  It was noted that i</w:t>
      </w:r>
      <w:r>
        <w:rPr>
          <w:rFonts w:ascii="Book Antiqua" w:hAnsi="Book Antiqua"/>
        </w:rPr>
        <w:t>ncreasing the minimum measure li</w:t>
      </w:r>
      <w:r w:rsidR="00685F52">
        <w:rPr>
          <w:rFonts w:ascii="Book Antiqua" w:hAnsi="Book Antiqua"/>
        </w:rPr>
        <w:t>f</w:t>
      </w:r>
      <w:r>
        <w:rPr>
          <w:rFonts w:ascii="Book Antiqua" w:hAnsi="Book Antiqua"/>
        </w:rPr>
        <w:t xml:space="preserve">e of load management commitments would increase the value of the programs, </w:t>
      </w:r>
      <w:r w:rsidR="00685F52">
        <w:rPr>
          <w:rFonts w:ascii="Book Antiqua" w:hAnsi="Book Antiqua"/>
        </w:rPr>
        <w:t>and</w:t>
      </w:r>
      <w:r>
        <w:rPr>
          <w:rFonts w:ascii="Book Antiqua" w:hAnsi="Book Antiqua"/>
        </w:rPr>
        <w:t xml:space="preserve"> increase the amount of load </w:t>
      </w:r>
      <w:r w:rsidR="00254386">
        <w:rPr>
          <w:rFonts w:ascii="Book Antiqua" w:hAnsi="Book Antiqua"/>
        </w:rPr>
        <w:t>that would have to come under management</w:t>
      </w:r>
      <w:r>
        <w:rPr>
          <w:rFonts w:ascii="Book Antiqua" w:hAnsi="Book Antiqua"/>
        </w:rPr>
        <w:t xml:space="preserve"> to meet annual goals or obtain incentives, while still being very cost effective relative to </w:t>
      </w:r>
      <w:r w:rsidR="00685F52">
        <w:rPr>
          <w:rFonts w:ascii="Book Antiqua" w:hAnsi="Book Antiqua"/>
        </w:rPr>
        <w:t>the next best kW reduction</w:t>
      </w:r>
      <w:r>
        <w:rPr>
          <w:rFonts w:ascii="Book Antiqua" w:hAnsi="Book Antiqua"/>
        </w:rPr>
        <w:t xml:space="preserve"> options.</w:t>
      </w:r>
    </w:p>
    <w:p w:rsidR="006C6912" w:rsidRDefault="006C6912">
      <w:pPr>
        <w:rPr>
          <w:rFonts w:ascii="Book Antiqua" w:hAnsi="Book Antiqua"/>
        </w:rPr>
      </w:pPr>
      <w:r>
        <w:rPr>
          <w:rFonts w:ascii="Book Antiqua" w:hAnsi="Book Antiqua"/>
        </w:rPr>
        <w:t xml:space="preserve">There was discussion of the potential for double-dipping, but, it was agreed the current rule includes sufficient language to prevent </w:t>
      </w:r>
      <w:r w:rsidR="004E42CA">
        <w:rPr>
          <w:rFonts w:ascii="Book Antiqua" w:hAnsi="Book Antiqua"/>
        </w:rPr>
        <w:t xml:space="preserve">a </w:t>
      </w:r>
      <w:r>
        <w:rPr>
          <w:rFonts w:ascii="Book Antiqua" w:hAnsi="Book Antiqua"/>
        </w:rPr>
        <w:t xml:space="preserve">load </w:t>
      </w:r>
      <w:r w:rsidR="004E42CA">
        <w:rPr>
          <w:rFonts w:ascii="Book Antiqua" w:hAnsi="Book Antiqua"/>
        </w:rPr>
        <w:t xml:space="preserve">resource </w:t>
      </w:r>
      <w:r>
        <w:rPr>
          <w:rFonts w:ascii="Book Antiqua" w:hAnsi="Book Antiqua"/>
        </w:rPr>
        <w:t>from being paid for participa</w:t>
      </w:r>
      <w:r w:rsidR="009236F7">
        <w:rPr>
          <w:rFonts w:ascii="Book Antiqua" w:hAnsi="Book Antiqua"/>
        </w:rPr>
        <w:t>tion in LM and ERCOT DR program</w:t>
      </w:r>
      <w:r w:rsidR="004E42CA">
        <w:rPr>
          <w:rFonts w:ascii="Book Antiqua" w:hAnsi="Book Antiqua"/>
        </w:rPr>
        <w:t xml:space="preserve"> simultaneously</w:t>
      </w:r>
      <w:r>
        <w:rPr>
          <w:rFonts w:ascii="Book Antiqua" w:hAnsi="Book Antiqua"/>
        </w:rPr>
        <w:t xml:space="preserve">.  </w:t>
      </w:r>
    </w:p>
    <w:p w:rsidR="002F09B6" w:rsidRDefault="006C6912">
      <w:pPr>
        <w:rPr>
          <w:rFonts w:ascii="Book Antiqua" w:hAnsi="Book Antiqua"/>
        </w:rPr>
      </w:pPr>
      <w:r>
        <w:rPr>
          <w:rFonts w:ascii="Book Antiqua" w:hAnsi="Book Antiqua"/>
        </w:rPr>
        <w:t xml:space="preserve">There was discussion of whether ERCOT should dispatch all </w:t>
      </w:r>
      <w:r w:rsidR="00685F52">
        <w:rPr>
          <w:rFonts w:ascii="Book Antiqua" w:hAnsi="Book Antiqua"/>
        </w:rPr>
        <w:t>load resources directly</w:t>
      </w:r>
      <w:r w:rsidR="00760F38">
        <w:rPr>
          <w:rFonts w:ascii="Book Antiqua" w:hAnsi="Book Antiqua"/>
        </w:rPr>
        <w:t>, even were utilities to continue to bring new load under management</w:t>
      </w:r>
      <w:r>
        <w:rPr>
          <w:rFonts w:ascii="Book Antiqua" w:hAnsi="Book Antiqua"/>
        </w:rPr>
        <w:t xml:space="preserve">, and do so based on market prices.  </w:t>
      </w:r>
      <w:r w:rsidR="002F09B6">
        <w:rPr>
          <w:rFonts w:ascii="Book Antiqua" w:hAnsi="Book Antiqua"/>
        </w:rPr>
        <w:t xml:space="preserve">TDUs are rightfully hesitant to venture into price-based dispatch, which should be more of a competitive market function.  </w:t>
      </w:r>
      <w:r>
        <w:rPr>
          <w:rFonts w:ascii="Book Antiqua" w:hAnsi="Book Antiqua"/>
        </w:rPr>
        <w:t xml:space="preserve">There was </w:t>
      </w:r>
      <w:r w:rsidR="002F09B6">
        <w:rPr>
          <w:rFonts w:ascii="Book Antiqua" w:hAnsi="Book Antiqua"/>
        </w:rPr>
        <w:t xml:space="preserve">also </w:t>
      </w:r>
      <w:r>
        <w:rPr>
          <w:rFonts w:ascii="Book Antiqua" w:hAnsi="Book Antiqua"/>
        </w:rPr>
        <w:t xml:space="preserve">concern </w:t>
      </w:r>
      <w:r w:rsidR="002F09B6">
        <w:rPr>
          <w:rFonts w:ascii="Book Antiqua" w:hAnsi="Book Antiqua"/>
        </w:rPr>
        <w:t>giving over control of all load under management to ERCOT</w:t>
      </w:r>
      <w:r>
        <w:rPr>
          <w:rFonts w:ascii="Book Antiqua" w:hAnsi="Book Antiqua"/>
        </w:rPr>
        <w:t xml:space="preserve"> could prevent the realization of some local TDU benefits that LM offers</w:t>
      </w:r>
      <w:r w:rsidR="004E42CA">
        <w:rPr>
          <w:rFonts w:ascii="Book Antiqua" w:hAnsi="Book Antiqua"/>
        </w:rPr>
        <w:t xml:space="preserve"> (deferring TDU investments in distribution equipment</w:t>
      </w:r>
      <w:r w:rsidR="002F09B6">
        <w:rPr>
          <w:rFonts w:ascii="Book Antiqua" w:hAnsi="Book Antiqua"/>
        </w:rPr>
        <w:t>,</w:t>
      </w:r>
      <w:r w:rsidR="004E42CA">
        <w:rPr>
          <w:rFonts w:ascii="Book Antiqua" w:hAnsi="Book Antiqua"/>
        </w:rPr>
        <w:t xml:space="preserve"> for example)</w:t>
      </w:r>
      <w:r>
        <w:rPr>
          <w:rFonts w:ascii="Book Antiqua" w:hAnsi="Book Antiqua"/>
        </w:rPr>
        <w:t xml:space="preserve">.  </w:t>
      </w:r>
      <w:r w:rsidR="00685F52">
        <w:rPr>
          <w:rFonts w:ascii="Book Antiqua" w:hAnsi="Book Antiqua"/>
        </w:rPr>
        <w:t xml:space="preserve">It was </w:t>
      </w:r>
      <w:r>
        <w:rPr>
          <w:rFonts w:ascii="Book Antiqua" w:hAnsi="Book Antiqua"/>
        </w:rPr>
        <w:t>noted that</w:t>
      </w:r>
      <w:r w:rsidR="00685F52">
        <w:rPr>
          <w:rFonts w:ascii="Book Antiqua" w:hAnsi="Book Antiqua"/>
        </w:rPr>
        <w:t>,</w:t>
      </w:r>
      <w:r>
        <w:rPr>
          <w:rFonts w:ascii="Book Antiqua" w:hAnsi="Book Antiqua"/>
        </w:rPr>
        <w:t xml:space="preserve"> since adoption of the nodal market, peak prices and </w:t>
      </w:r>
      <w:r w:rsidR="002F09B6">
        <w:rPr>
          <w:rFonts w:ascii="Book Antiqua" w:hAnsi="Book Antiqua"/>
        </w:rPr>
        <w:t>shortage conditions</w:t>
      </w:r>
      <w:r>
        <w:rPr>
          <w:rFonts w:ascii="Book Antiqua" w:hAnsi="Book Antiqua"/>
        </w:rPr>
        <w:t xml:space="preserve"> are much better correlated</w:t>
      </w:r>
      <w:r w:rsidR="00685F52">
        <w:rPr>
          <w:rFonts w:ascii="Book Antiqua" w:hAnsi="Book Antiqua"/>
        </w:rPr>
        <w:t xml:space="preserve"> anyway</w:t>
      </w:r>
      <w:r>
        <w:rPr>
          <w:rFonts w:ascii="Book Antiqua" w:hAnsi="Book Antiqua"/>
        </w:rPr>
        <w:t xml:space="preserve">.  </w:t>
      </w:r>
      <w:r w:rsidR="002F09B6">
        <w:rPr>
          <w:rFonts w:ascii="Book Antiqua" w:hAnsi="Book Antiqua"/>
        </w:rPr>
        <w:t>For that reason, continued focus on local system reliability should also complement ERCOT market dynamics as well as reliability</w:t>
      </w:r>
      <w:r w:rsidR="00685F52">
        <w:rPr>
          <w:rFonts w:ascii="Book Antiqua" w:hAnsi="Book Antiqua"/>
        </w:rPr>
        <w:t xml:space="preserve"> requirements</w:t>
      </w:r>
      <w:r w:rsidR="002F09B6">
        <w:rPr>
          <w:rFonts w:ascii="Book Antiqua" w:hAnsi="Book Antiqua"/>
        </w:rPr>
        <w:t>.</w:t>
      </w:r>
    </w:p>
    <w:p w:rsidR="002807A1" w:rsidRDefault="00E32A49">
      <w:pPr>
        <w:rPr>
          <w:rFonts w:ascii="Book Antiqua" w:hAnsi="Book Antiqua"/>
        </w:rPr>
      </w:pPr>
      <w:r>
        <w:rPr>
          <w:rFonts w:ascii="Book Antiqua" w:hAnsi="Book Antiqua"/>
        </w:rPr>
        <w:t xml:space="preserve">There was recognition that the utilities </w:t>
      </w:r>
      <w:r w:rsidR="002F09B6">
        <w:rPr>
          <w:rFonts w:ascii="Book Antiqua" w:hAnsi="Book Antiqua"/>
        </w:rPr>
        <w:t>are asked</w:t>
      </w:r>
      <w:r>
        <w:rPr>
          <w:rFonts w:ascii="Book Antiqua" w:hAnsi="Book Antiqua"/>
        </w:rPr>
        <w:t xml:space="preserve"> to operate the programs within a demanding set of parameters including a total kWh reduction goal, total kW reduction goal, the price cap, </w:t>
      </w:r>
      <w:r w:rsidR="004E42CA">
        <w:rPr>
          <w:rFonts w:ascii="Book Antiqua" w:hAnsi="Book Antiqua"/>
        </w:rPr>
        <w:t xml:space="preserve">and </w:t>
      </w:r>
      <w:r>
        <w:rPr>
          <w:rFonts w:ascii="Book Antiqua" w:hAnsi="Book Antiqua"/>
        </w:rPr>
        <w:t>limits on administrative and R&amp;D costs.  All the parties agreed that the commission should not withdraw the legislatively authorized incentive bonus f</w:t>
      </w:r>
      <w:r w:rsidR="004E42CA">
        <w:rPr>
          <w:rFonts w:ascii="Book Antiqua" w:hAnsi="Book Antiqua"/>
        </w:rPr>
        <w:t xml:space="preserve">or utilities exceeding the goal, although Texas Rose and OPUC suggested that </w:t>
      </w:r>
      <w:r w:rsidR="002F09B6">
        <w:rPr>
          <w:rFonts w:ascii="Book Antiqua" w:hAnsi="Book Antiqua"/>
        </w:rPr>
        <w:t>limited term</w:t>
      </w:r>
      <w:r w:rsidR="004E42CA">
        <w:rPr>
          <w:rFonts w:ascii="Book Antiqua" w:hAnsi="Book Antiqua"/>
        </w:rPr>
        <w:t xml:space="preserve"> load management commitments shouldn’t count toward a bonus calculation</w:t>
      </w:r>
      <w:r w:rsidR="002F09B6">
        <w:rPr>
          <w:rFonts w:ascii="Book Antiqua" w:hAnsi="Book Antiqua"/>
        </w:rPr>
        <w:t>, or would reduce their contribution toward meeting the established annual goals</w:t>
      </w:r>
      <w:r w:rsidR="004E42CA">
        <w:rPr>
          <w:rFonts w:ascii="Book Antiqua" w:hAnsi="Book Antiqua"/>
        </w:rPr>
        <w:t>.</w:t>
      </w:r>
    </w:p>
    <w:p w:rsidR="005F7380" w:rsidRDefault="004B26F5" w:rsidP="009023A8">
      <w:pPr>
        <w:spacing w:after="0"/>
        <w:jc w:val="both"/>
        <w:rPr>
          <w:rFonts w:ascii="Book Antiqua" w:hAnsi="Book Antiqua"/>
        </w:rPr>
      </w:pPr>
      <w:r>
        <w:rPr>
          <w:rFonts w:ascii="Book Antiqua" w:hAnsi="Book Antiqua"/>
        </w:rPr>
        <w:t>Texas Rose and OPUC</w:t>
      </w:r>
      <w:r w:rsidR="005F7380">
        <w:rPr>
          <w:rFonts w:ascii="Book Antiqua" w:hAnsi="Book Antiqua"/>
        </w:rPr>
        <w:t xml:space="preserve"> see merit in the transition of Load Management and Demand Response to priced</w:t>
      </w:r>
      <w:r>
        <w:rPr>
          <w:rFonts w:ascii="Book Antiqua" w:hAnsi="Book Antiqua"/>
        </w:rPr>
        <w:t>-</w:t>
      </w:r>
      <w:r w:rsidR="005F7380">
        <w:rPr>
          <w:rFonts w:ascii="Book Antiqua" w:hAnsi="Book Antiqua"/>
        </w:rPr>
        <w:t>based programs integrated into the ERCOT market.  They felt the rule should include language to develop a plan to accomplish the transition and a time table with regular progress reporting to the PUC and the public.   They see Load Management and Demand Response as short-term fixes to generation and transmission supply problems</w:t>
      </w:r>
      <w:r w:rsidR="002F09B6">
        <w:rPr>
          <w:rFonts w:ascii="Book Antiqua" w:hAnsi="Book Antiqua"/>
        </w:rPr>
        <w:t>,</w:t>
      </w:r>
      <w:r w:rsidR="005F7380">
        <w:rPr>
          <w:rFonts w:ascii="Book Antiqua" w:hAnsi="Book Antiqua"/>
        </w:rPr>
        <w:t xml:space="preserve"> </w:t>
      </w:r>
      <w:r>
        <w:rPr>
          <w:rFonts w:ascii="Book Antiqua" w:hAnsi="Book Antiqua"/>
        </w:rPr>
        <w:t>whereas utilities, aggregators and others see load management programs as</w:t>
      </w:r>
      <w:r w:rsidR="005F7380">
        <w:rPr>
          <w:rFonts w:ascii="Book Antiqua" w:hAnsi="Book Antiqua"/>
        </w:rPr>
        <w:t xml:space="preserve"> the permanent development of load response capacity in the market</w:t>
      </w:r>
      <w:r>
        <w:rPr>
          <w:rFonts w:ascii="Book Antiqua" w:hAnsi="Book Antiqua"/>
        </w:rPr>
        <w:t>, also having consumer and environmental benefits over actual power generation</w:t>
      </w:r>
      <w:r w:rsidR="005F7380">
        <w:rPr>
          <w:rFonts w:ascii="Book Antiqua" w:hAnsi="Book Antiqua"/>
        </w:rPr>
        <w:t xml:space="preserve">.  </w:t>
      </w:r>
      <w:r>
        <w:rPr>
          <w:rFonts w:ascii="Book Antiqua" w:hAnsi="Book Antiqua"/>
        </w:rPr>
        <w:t xml:space="preserve">Still, Texas Rose and </w:t>
      </w:r>
      <w:r w:rsidR="00863EBF">
        <w:rPr>
          <w:rFonts w:ascii="Book Antiqua" w:hAnsi="Book Antiqua"/>
        </w:rPr>
        <w:t>OPUC</w:t>
      </w:r>
      <w:r w:rsidR="005F7380">
        <w:rPr>
          <w:rFonts w:ascii="Book Antiqua" w:hAnsi="Book Antiqua"/>
        </w:rPr>
        <w:t xml:space="preserve"> believe programs that produce long</w:t>
      </w:r>
      <w:r w:rsidR="00863EBF">
        <w:rPr>
          <w:rFonts w:ascii="Book Antiqua" w:hAnsi="Book Antiqua"/>
        </w:rPr>
        <w:t>-</w:t>
      </w:r>
      <w:r w:rsidR="005F7380">
        <w:rPr>
          <w:rFonts w:ascii="Book Antiqua" w:hAnsi="Book Antiqua"/>
        </w:rPr>
        <w:t>term savings achieve greater environmental benefit</w:t>
      </w:r>
      <w:r w:rsidR="00863EBF">
        <w:rPr>
          <w:rFonts w:ascii="Book Antiqua" w:hAnsi="Book Antiqua"/>
        </w:rPr>
        <w:t>,</w:t>
      </w:r>
      <w:r w:rsidR="00FF1B55">
        <w:rPr>
          <w:rFonts w:ascii="Book Antiqua" w:hAnsi="Book Antiqua"/>
        </w:rPr>
        <w:t xml:space="preserve"> </w:t>
      </w:r>
      <w:r w:rsidR="005F7380">
        <w:rPr>
          <w:rFonts w:ascii="Book Antiqua" w:hAnsi="Book Antiqua"/>
        </w:rPr>
        <w:t>and ar</w:t>
      </w:r>
      <w:r w:rsidR="003E58B5">
        <w:rPr>
          <w:rFonts w:ascii="Book Antiqua" w:hAnsi="Book Antiqua"/>
        </w:rPr>
        <w:t>e concerned that investments in</w:t>
      </w:r>
      <w:r w:rsidR="00FF1B55">
        <w:rPr>
          <w:rFonts w:ascii="Book Antiqua" w:hAnsi="Book Antiqua"/>
        </w:rPr>
        <w:t xml:space="preserve"> load management not overwhelm investments in energy efficiency</w:t>
      </w:r>
      <w:r w:rsidR="005F7380">
        <w:rPr>
          <w:rFonts w:ascii="Book Antiqua" w:hAnsi="Book Antiqua"/>
        </w:rPr>
        <w:t xml:space="preserve">.  </w:t>
      </w:r>
    </w:p>
    <w:p w:rsidR="005F7380" w:rsidRPr="00DD34AA" w:rsidRDefault="005F7380">
      <w:pPr>
        <w:rPr>
          <w:rFonts w:ascii="Book Antiqua" w:hAnsi="Book Antiqua"/>
        </w:rPr>
      </w:pPr>
    </w:p>
    <w:p w:rsidR="00002776" w:rsidRPr="00DD34AA" w:rsidRDefault="00E32A49">
      <w:pPr>
        <w:rPr>
          <w:rFonts w:ascii="Book Antiqua" w:hAnsi="Book Antiqua"/>
        </w:rPr>
      </w:pPr>
      <w:r>
        <w:rPr>
          <w:rFonts w:ascii="Book Antiqua" w:hAnsi="Book Antiqua"/>
          <w:u w:val="single"/>
        </w:rPr>
        <w:lastRenderedPageBreak/>
        <w:t>Stakeholders</w:t>
      </w:r>
      <w:r w:rsidR="00002776" w:rsidRPr="00DD34AA">
        <w:rPr>
          <w:rFonts w:ascii="Book Antiqua" w:hAnsi="Book Antiqua"/>
          <w:u w:val="single"/>
        </w:rPr>
        <w:t xml:space="preserve"> discussed several options for responding to the PUCT’s proposed language, and possible underlying concerns</w:t>
      </w:r>
      <w:r w:rsidR="006C6912">
        <w:rPr>
          <w:rFonts w:ascii="Book Antiqua" w:hAnsi="Book Antiqua"/>
        </w:rPr>
        <w:t>.  Although the following does not represent everything suggested, it is meant to capture the options that seemed to have more than one proponent.</w:t>
      </w:r>
    </w:p>
    <w:p w:rsidR="00863EBF" w:rsidRDefault="002807A1">
      <w:pPr>
        <w:rPr>
          <w:rFonts w:ascii="Book Antiqua" w:hAnsi="Book Antiqua"/>
        </w:rPr>
      </w:pPr>
      <w:r w:rsidRPr="00C2632C">
        <w:rPr>
          <w:rFonts w:ascii="Book Antiqua" w:hAnsi="Book Antiqua"/>
          <w:u w:val="single"/>
        </w:rPr>
        <w:t>Option 1:</w:t>
      </w:r>
      <w:r w:rsidRPr="00DD34AA">
        <w:rPr>
          <w:rFonts w:ascii="Book Antiqua" w:hAnsi="Book Antiqua"/>
        </w:rPr>
        <w:t xml:space="preserve">  </w:t>
      </w:r>
      <w:r w:rsidR="00E32A49">
        <w:rPr>
          <w:rFonts w:ascii="Book Antiqua" w:hAnsi="Book Antiqua"/>
        </w:rPr>
        <w:t xml:space="preserve">Do nothing.  </w:t>
      </w:r>
      <w:r w:rsidRPr="00DD34AA">
        <w:rPr>
          <w:rFonts w:ascii="Book Antiqua" w:hAnsi="Book Antiqua"/>
        </w:rPr>
        <w:t>Drop the language proposed by the straw</w:t>
      </w:r>
      <w:r w:rsidR="00002776" w:rsidRPr="00DD34AA">
        <w:rPr>
          <w:rFonts w:ascii="Book Antiqua" w:hAnsi="Book Antiqua"/>
        </w:rPr>
        <w:t xml:space="preserve"> </w:t>
      </w:r>
      <w:r w:rsidRPr="00DD34AA">
        <w:rPr>
          <w:rFonts w:ascii="Book Antiqua" w:hAnsi="Book Antiqua"/>
        </w:rPr>
        <w:t>man</w:t>
      </w:r>
      <w:r w:rsidR="00A9259E" w:rsidRPr="00DD34AA">
        <w:rPr>
          <w:rFonts w:ascii="Book Antiqua" w:hAnsi="Book Antiqua"/>
        </w:rPr>
        <w:t xml:space="preserve"> entirely in favor of the existing language.  </w:t>
      </w:r>
    </w:p>
    <w:p w:rsidR="00863EBF" w:rsidRDefault="00A9259E">
      <w:pPr>
        <w:rPr>
          <w:rFonts w:ascii="Book Antiqua" w:hAnsi="Book Antiqua"/>
        </w:rPr>
      </w:pPr>
      <w:r w:rsidRPr="00C2632C">
        <w:rPr>
          <w:rFonts w:ascii="Book Antiqua" w:hAnsi="Book Antiqua"/>
          <w:u w:val="single"/>
        </w:rPr>
        <w:t>Option 2:</w:t>
      </w:r>
      <w:r w:rsidRPr="00DD34AA">
        <w:rPr>
          <w:rFonts w:ascii="Book Antiqua" w:hAnsi="Book Antiqua"/>
        </w:rPr>
        <w:t xml:space="preserve">  </w:t>
      </w:r>
      <w:r w:rsidR="00E32A49">
        <w:rPr>
          <w:rFonts w:ascii="Book Antiqua" w:hAnsi="Book Antiqua"/>
        </w:rPr>
        <w:t>Better Integrate the retail level utility load management programs with current and evolving ERCOT wholesale market programs</w:t>
      </w:r>
      <w:r w:rsidR="004E42CA">
        <w:rPr>
          <w:rFonts w:ascii="Book Antiqua" w:hAnsi="Book Antiqua"/>
        </w:rPr>
        <w:t xml:space="preserve"> and expand load under management</w:t>
      </w:r>
      <w:r w:rsidR="00E32A49">
        <w:rPr>
          <w:rFonts w:ascii="Book Antiqua" w:hAnsi="Book Antiqua"/>
        </w:rPr>
        <w:t xml:space="preserve">.  </w:t>
      </w:r>
      <w:r w:rsidR="00882D7F">
        <w:rPr>
          <w:rFonts w:ascii="Book Antiqua" w:hAnsi="Book Antiqua"/>
        </w:rPr>
        <w:t xml:space="preserve"> Utilities are already trying to determine how to improve the value of LM programs for local distribution systems support, which would complement ERCOT wholesale programs.  It was also suggested that utility LM programs could be called at the time of local system peaks.  </w:t>
      </w:r>
      <w:r w:rsidR="00906551">
        <w:rPr>
          <w:rFonts w:ascii="Book Antiqua" w:hAnsi="Book Antiqua"/>
        </w:rPr>
        <w:t xml:space="preserve">Similar measures are being taken by ERCOT and non-ERCOT utilities today.  </w:t>
      </w:r>
      <w:r w:rsidR="00644C1E">
        <w:rPr>
          <w:rFonts w:ascii="Book Antiqua" w:hAnsi="Book Antiqua"/>
        </w:rPr>
        <w:t>These programs could be expanded to encompass additional load, including residential load</w:t>
      </w:r>
      <w:r w:rsidR="00A6308E">
        <w:rPr>
          <w:rFonts w:ascii="Book Antiqua" w:hAnsi="Book Antiqua"/>
        </w:rPr>
        <w:t xml:space="preserve">, while adding value to ERCOT </w:t>
      </w:r>
      <w:r w:rsidR="00906551">
        <w:rPr>
          <w:rFonts w:ascii="Book Antiqua" w:hAnsi="Book Antiqua"/>
        </w:rPr>
        <w:t>and</w:t>
      </w:r>
      <w:r w:rsidR="00A6308E">
        <w:rPr>
          <w:rFonts w:ascii="Book Antiqua" w:hAnsi="Book Antiqua"/>
        </w:rPr>
        <w:t xml:space="preserve"> reducing local TDU costs</w:t>
      </w:r>
      <w:r w:rsidR="00644C1E">
        <w:rPr>
          <w:rFonts w:ascii="Book Antiqua" w:hAnsi="Book Antiqua"/>
        </w:rPr>
        <w:t xml:space="preserve">.  </w:t>
      </w:r>
    </w:p>
    <w:p w:rsidR="00A9259E" w:rsidRDefault="00A9259E">
      <w:pPr>
        <w:rPr>
          <w:rFonts w:ascii="Book Antiqua" w:hAnsi="Book Antiqua"/>
        </w:rPr>
      </w:pPr>
      <w:r w:rsidRPr="00C2632C">
        <w:rPr>
          <w:rFonts w:ascii="Book Antiqua" w:hAnsi="Book Antiqua"/>
          <w:u w:val="single"/>
        </w:rPr>
        <w:t>Option 3:</w:t>
      </w:r>
      <w:r w:rsidRPr="00DD34AA">
        <w:rPr>
          <w:rFonts w:ascii="Book Antiqua" w:hAnsi="Book Antiqua"/>
        </w:rPr>
        <w:t xml:space="preserve">  </w:t>
      </w:r>
      <w:r w:rsidR="00644C1E">
        <w:rPr>
          <w:rFonts w:ascii="Book Antiqua" w:hAnsi="Book Antiqua"/>
        </w:rPr>
        <w:t>Require the Load Factor calculation used to establish the kWh reduction goal to be applied to total load reduction (kW reduction), including kW reductions above the utility’s goal.  (Consumer groups favored doing more efficiency</w:t>
      </w:r>
      <w:r w:rsidR="004E42CA">
        <w:rPr>
          <w:rFonts w:ascii="Book Antiqua" w:hAnsi="Book Antiqua"/>
        </w:rPr>
        <w:t xml:space="preserve"> generally</w:t>
      </w:r>
      <w:r w:rsidR="00644C1E">
        <w:rPr>
          <w:rFonts w:ascii="Book Antiqua" w:hAnsi="Book Antiqua"/>
        </w:rPr>
        <w:t>, by either increasing the load factor calculation constant above the current 20%, or applying it to the total kW reduction</w:t>
      </w:r>
      <w:r w:rsidR="004E42CA">
        <w:rPr>
          <w:rFonts w:ascii="Book Antiqua" w:hAnsi="Book Antiqua"/>
        </w:rPr>
        <w:t xml:space="preserve"> achieved</w:t>
      </w:r>
      <w:r w:rsidR="00863EBF">
        <w:rPr>
          <w:rFonts w:ascii="Book Antiqua" w:hAnsi="Book Antiqua"/>
        </w:rPr>
        <w:t xml:space="preserve"> each year.</w:t>
      </w:r>
      <w:r w:rsidR="00644C1E">
        <w:rPr>
          <w:rFonts w:ascii="Book Antiqua" w:hAnsi="Book Antiqua"/>
        </w:rPr>
        <w:t>)</w:t>
      </w:r>
    </w:p>
    <w:p w:rsidR="004B26F5" w:rsidRDefault="00644C1E" w:rsidP="004B26F5">
      <w:pPr>
        <w:rPr>
          <w:rFonts w:ascii="Book Antiqua" w:hAnsi="Book Antiqua"/>
        </w:rPr>
      </w:pPr>
      <w:r w:rsidRPr="00A6308E">
        <w:rPr>
          <w:rFonts w:ascii="Book Antiqua" w:hAnsi="Book Antiqua"/>
          <w:u w:val="single"/>
        </w:rPr>
        <w:t>Option 4:</w:t>
      </w:r>
      <w:r>
        <w:rPr>
          <w:rFonts w:ascii="Book Antiqua" w:hAnsi="Book Antiqua"/>
        </w:rPr>
        <w:t xml:space="preserve">  </w:t>
      </w:r>
      <w:r w:rsidR="00A6308E">
        <w:rPr>
          <w:rFonts w:ascii="Book Antiqua" w:hAnsi="Book Antiqua"/>
        </w:rPr>
        <w:t>Convert</w:t>
      </w:r>
      <w:r>
        <w:rPr>
          <w:rFonts w:ascii="Book Antiqua" w:hAnsi="Book Antiqua"/>
        </w:rPr>
        <w:t xml:space="preserve"> Load Management </w:t>
      </w:r>
      <w:r w:rsidR="00A6308E">
        <w:rPr>
          <w:rFonts w:ascii="Book Antiqua" w:hAnsi="Book Antiqua"/>
        </w:rPr>
        <w:t xml:space="preserve">to </w:t>
      </w:r>
      <w:r>
        <w:rPr>
          <w:rFonts w:ascii="Book Antiqua" w:hAnsi="Book Antiqua"/>
        </w:rPr>
        <w:t xml:space="preserve">a Market Transformation Program.  </w:t>
      </w:r>
      <w:r w:rsidR="00A6308E">
        <w:rPr>
          <w:rFonts w:ascii="Book Antiqua" w:hAnsi="Book Antiqua"/>
        </w:rPr>
        <w:t>U</w:t>
      </w:r>
      <w:r>
        <w:rPr>
          <w:rFonts w:ascii="Book Antiqua" w:hAnsi="Book Antiqua"/>
        </w:rPr>
        <w:t xml:space="preserve">tilities </w:t>
      </w:r>
      <w:r w:rsidR="00C729DA">
        <w:rPr>
          <w:rFonts w:ascii="Book Antiqua" w:hAnsi="Book Antiqua"/>
        </w:rPr>
        <w:t>c</w:t>
      </w:r>
      <w:r>
        <w:rPr>
          <w:rFonts w:ascii="Book Antiqua" w:hAnsi="Book Antiqua"/>
        </w:rPr>
        <w:t xml:space="preserve">ould give incentive payments to REPs and ESCOs (DR aggregators), for each customer that signs onto </w:t>
      </w:r>
      <w:r w:rsidR="00A6308E">
        <w:rPr>
          <w:rFonts w:ascii="Book Antiqua" w:hAnsi="Book Antiqua"/>
        </w:rPr>
        <w:t>a demand response</w:t>
      </w:r>
      <w:r>
        <w:rPr>
          <w:rFonts w:ascii="Book Antiqua" w:hAnsi="Book Antiqua"/>
        </w:rPr>
        <w:t xml:space="preserve"> program</w:t>
      </w:r>
      <w:r w:rsidR="00A6308E">
        <w:rPr>
          <w:rFonts w:ascii="Book Antiqua" w:hAnsi="Book Antiqua"/>
        </w:rPr>
        <w:t xml:space="preserve"> for a minimum period of time—either the utility’s, a REP internal</w:t>
      </w:r>
      <w:r w:rsidR="004E42CA">
        <w:rPr>
          <w:rFonts w:ascii="Book Antiqua" w:hAnsi="Book Antiqua"/>
        </w:rPr>
        <w:t xml:space="preserve"> </w:t>
      </w:r>
      <w:r w:rsidR="00C729DA">
        <w:rPr>
          <w:rFonts w:ascii="Book Antiqua" w:hAnsi="Book Antiqua"/>
        </w:rPr>
        <w:t xml:space="preserve">portfolio </w:t>
      </w:r>
      <w:r w:rsidR="004E42CA">
        <w:rPr>
          <w:rFonts w:ascii="Book Antiqua" w:hAnsi="Book Antiqua"/>
        </w:rPr>
        <w:t>program</w:t>
      </w:r>
      <w:r w:rsidR="00C729DA">
        <w:rPr>
          <w:rFonts w:ascii="Book Antiqua" w:hAnsi="Book Antiqua"/>
        </w:rPr>
        <w:t>,</w:t>
      </w:r>
      <w:r w:rsidR="004E42CA">
        <w:rPr>
          <w:rFonts w:ascii="Book Antiqua" w:hAnsi="Book Antiqua"/>
        </w:rPr>
        <w:t xml:space="preserve"> or an ERCOT program.  </w:t>
      </w:r>
      <w:r w:rsidR="00A6308E">
        <w:rPr>
          <w:rFonts w:ascii="Book Antiqua" w:hAnsi="Book Antiqua"/>
        </w:rPr>
        <w:t xml:space="preserve">This would help overcome the initial cost barrier for installing </w:t>
      </w:r>
      <w:r w:rsidR="00C729DA">
        <w:rPr>
          <w:rFonts w:ascii="Book Antiqua" w:hAnsi="Book Antiqua"/>
        </w:rPr>
        <w:t xml:space="preserve">the </w:t>
      </w:r>
      <w:r w:rsidR="00A6308E">
        <w:rPr>
          <w:rFonts w:ascii="Book Antiqua" w:hAnsi="Book Antiqua"/>
        </w:rPr>
        <w:t>equipment a residential or commercial customer needs to participate in demand response programs</w:t>
      </w:r>
      <w:r w:rsidR="004E42CA">
        <w:rPr>
          <w:rFonts w:ascii="Book Antiqua" w:hAnsi="Book Antiqua"/>
        </w:rPr>
        <w:t>, and it would assure that customers receive a permanent value in the form of on-site controls</w:t>
      </w:r>
      <w:r w:rsidR="00A6308E">
        <w:rPr>
          <w:rFonts w:ascii="Book Antiqua" w:hAnsi="Book Antiqua"/>
        </w:rPr>
        <w:t xml:space="preserve">.  </w:t>
      </w:r>
      <w:r w:rsidR="00906551">
        <w:rPr>
          <w:rFonts w:ascii="Book Antiqua" w:hAnsi="Book Antiqua"/>
        </w:rPr>
        <w:t>T</w:t>
      </w:r>
      <w:r w:rsidR="00A6308E">
        <w:rPr>
          <w:rFonts w:ascii="Book Antiqua" w:hAnsi="Book Antiqua"/>
        </w:rPr>
        <w:t xml:space="preserve">he utilities could get credit for having transformed the market if </w:t>
      </w:r>
      <w:r w:rsidR="00906551">
        <w:rPr>
          <w:rFonts w:ascii="Book Antiqua" w:hAnsi="Book Antiqua"/>
        </w:rPr>
        <w:t>market participation of load continued to grow after each program</w:t>
      </w:r>
      <w:r w:rsidR="00A6308E">
        <w:rPr>
          <w:rFonts w:ascii="Book Antiqua" w:hAnsi="Book Antiqua"/>
        </w:rPr>
        <w:t xml:space="preserve">.  </w:t>
      </w:r>
    </w:p>
    <w:p w:rsidR="004B26F5" w:rsidRDefault="00A6308E" w:rsidP="004B26F5">
      <w:pPr>
        <w:rPr>
          <w:rFonts w:ascii="Book Antiqua" w:hAnsi="Book Antiqua"/>
        </w:rPr>
      </w:pPr>
      <w:r w:rsidRPr="00A6308E">
        <w:rPr>
          <w:rFonts w:ascii="Book Antiqua" w:hAnsi="Book Antiqua"/>
          <w:u w:val="single"/>
        </w:rPr>
        <w:t>Option 5:</w:t>
      </w:r>
      <w:r>
        <w:rPr>
          <w:rFonts w:ascii="Book Antiqua" w:hAnsi="Book Antiqua"/>
        </w:rPr>
        <w:t xml:space="preserve"> </w:t>
      </w:r>
      <w:r w:rsidR="00863EBF">
        <w:rPr>
          <w:rFonts w:ascii="Book Antiqua" w:hAnsi="Book Antiqua"/>
        </w:rPr>
        <w:t>Limit</w:t>
      </w:r>
      <w:r>
        <w:rPr>
          <w:rFonts w:ascii="Book Antiqua" w:hAnsi="Book Antiqua"/>
        </w:rPr>
        <w:t xml:space="preserve"> the total amount of Load Management acquired, or </w:t>
      </w:r>
      <w:proofErr w:type="gramStart"/>
      <w:r w:rsidR="006C6912">
        <w:rPr>
          <w:rFonts w:ascii="Book Antiqua" w:hAnsi="Book Antiqua"/>
        </w:rPr>
        <w:t>prohibit</w:t>
      </w:r>
      <w:proofErr w:type="gramEnd"/>
      <w:r>
        <w:rPr>
          <w:rFonts w:ascii="Book Antiqua" w:hAnsi="Book Antiqua"/>
        </w:rPr>
        <w:t xml:space="preserve"> </w:t>
      </w:r>
      <w:r w:rsidR="00863EBF">
        <w:rPr>
          <w:rFonts w:ascii="Book Antiqua" w:hAnsi="Book Antiqua"/>
        </w:rPr>
        <w:t>load management</w:t>
      </w:r>
      <w:r>
        <w:rPr>
          <w:rFonts w:ascii="Book Antiqua" w:hAnsi="Book Antiqua"/>
        </w:rPr>
        <w:t xml:space="preserve"> from counting toward calculation of the utility incentive.  </w:t>
      </w:r>
      <w:r w:rsidR="004B26F5">
        <w:rPr>
          <w:rFonts w:ascii="Book Antiqua" w:hAnsi="Book Antiqua"/>
        </w:rPr>
        <w:t xml:space="preserve">This could be accomplished in several ways.  The simplest way would be to cap the amount of Load Management and Demand Response at some percentage of the total demand goal as in past versions of the energy efficiency rules where load </w:t>
      </w:r>
      <w:bookmarkStart w:id="0" w:name="_GoBack"/>
      <w:bookmarkEnd w:id="0"/>
      <w:r w:rsidR="004B26F5">
        <w:rPr>
          <w:rFonts w:ascii="Book Antiqua" w:hAnsi="Book Antiqua"/>
        </w:rPr>
        <w:t xml:space="preserve">management was capped at 15%.  Another way to limit the amount of Load Management and Demand Response would be to increase the capacity factor and/or broaden the application of the capacity factor to all savings.  Today the capacity factor is applied only to those saving achieved to reach the savings goal.  All savings can be applied to the performance bonus calculation.  Thus, the consumers argue the </w:t>
      </w:r>
      <w:r w:rsidR="004B26F5" w:rsidRPr="009D5C75">
        <w:rPr>
          <w:rFonts w:ascii="Book Antiqua" w:hAnsi="Book Antiqua"/>
        </w:rPr>
        <w:t xml:space="preserve">capacity factor </w:t>
      </w:r>
      <w:r w:rsidR="004B26F5">
        <w:rPr>
          <w:rFonts w:ascii="Book Antiqua" w:hAnsi="Book Antiqua"/>
        </w:rPr>
        <w:t xml:space="preserve">should apply to all </w:t>
      </w:r>
      <w:r w:rsidR="004B26F5" w:rsidRPr="009D5C75">
        <w:rPr>
          <w:rFonts w:ascii="Book Antiqua" w:hAnsi="Book Antiqua"/>
        </w:rPr>
        <w:t>program</w:t>
      </w:r>
      <w:r w:rsidR="004B26F5">
        <w:rPr>
          <w:rFonts w:ascii="Book Antiqua" w:hAnsi="Book Antiqua"/>
        </w:rPr>
        <w:t xml:space="preserve"> </w:t>
      </w:r>
      <w:r w:rsidR="004B26F5" w:rsidRPr="009D5C75">
        <w:rPr>
          <w:rFonts w:ascii="Book Antiqua" w:hAnsi="Book Antiqua"/>
        </w:rPr>
        <w:t>s</w:t>
      </w:r>
      <w:r w:rsidR="004B26F5">
        <w:rPr>
          <w:rFonts w:ascii="Book Antiqua" w:hAnsi="Book Antiqua"/>
        </w:rPr>
        <w:t xml:space="preserve">avings including those used to calculate the bonus after the </w:t>
      </w:r>
      <w:r w:rsidR="004B26F5" w:rsidRPr="009D5C75">
        <w:rPr>
          <w:rFonts w:ascii="Book Antiqua" w:hAnsi="Book Antiqua"/>
        </w:rPr>
        <w:t>goal is reached</w:t>
      </w:r>
      <w:r w:rsidR="004B26F5">
        <w:rPr>
          <w:rFonts w:ascii="Book Antiqua" w:hAnsi="Book Antiqua"/>
        </w:rPr>
        <w:t xml:space="preserve">.  Another option is to continue using the capacity factor as it is currently applied in the rule and </w:t>
      </w:r>
      <w:r w:rsidR="004B26F5">
        <w:rPr>
          <w:rFonts w:ascii="Book Antiqua" w:hAnsi="Book Antiqua"/>
        </w:rPr>
        <w:lastRenderedPageBreak/>
        <w:t xml:space="preserve">prohibit Load Management and Demand Response savings from counting toward calculation of the performance bonus.  </w:t>
      </w:r>
    </w:p>
    <w:p w:rsidR="00A6308E" w:rsidRDefault="00A6308E">
      <w:pPr>
        <w:rPr>
          <w:rFonts w:ascii="Book Antiqua" w:hAnsi="Book Antiqua"/>
        </w:rPr>
      </w:pPr>
    </w:p>
    <w:p w:rsidR="00A6308E" w:rsidRDefault="00A6308E">
      <w:pPr>
        <w:rPr>
          <w:rFonts w:ascii="Book Antiqua" w:hAnsi="Book Antiqua"/>
        </w:rPr>
      </w:pPr>
    </w:p>
    <w:p w:rsidR="00882D7F" w:rsidRPr="00DD34AA" w:rsidRDefault="00882D7F">
      <w:pPr>
        <w:rPr>
          <w:rFonts w:ascii="Book Antiqua" w:hAnsi="Book Antiqua"/>
        </w:rPr>
      </w:pPr>
    </w:p>
    <w:sectPr w:rsidR="00882D7F" w:rsidRPr="00DD34AA" w:rsidSect="007F30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807A1"/>
    <w:rsid w:val="00002776"/>
    <w:rsid w:val="00076031"/>
    <w:rsid w:val="00254386"/>
    <w:rsid w:val="002807A1"/>
    <w:rsid w:val="002C1201"/>
    <w:rsid w:val="002F09B6"/>
    <w:rsid w:val="00396A06"/>
    <w:rsid w:val="003E58B5"/>
    <w:rsid w:val="004645E6"/>
    <w:rsid w:val="004B26F5"/>
    <w:rsid w:val="004E42CA"/>
    <w:rsid w:val="005F7380"/>
    <w:rsid w:val="006430EE"/>
    <w:rsid w:val="00644C1E"/>
    <w:rsid w:val="006537A1"/>
    <w:rsid w:val="006573BD"/>
    <w:rsid w:val="00685F52"/>
    <w:rsid w:val="006A14BC"/>
    <w:rsid w:val="006C6912"/>
    <w:rsid w:val="00760F38"/>
    <w:rsid w:val="007F3029"/>
    <w:rsid w:val="00863EBF"/>
    <w:rsid w:val="00866031"/>
    <w:rsid w:val="00882D7F"/>
    <w:rsid w:val="008A6B6D"/>
    <w:rsid w:val="009023A8"/>
    <w:rsid w:val="00906551"/>
    <w:rsid w:val="009236F7"/>
    <w:rsid w:val="00927E16"/>
    <w:rsid w:val="009439EF"/>
    <w:rsid w:val="00A6308E"/>
    <w:rsid w:val="00A9259E"/>
    <w:rsid w:val="00BB3DFA"/>
    <w:rsid w:val="00C2632C"/>
    <w:rsid w:val="00C729DA"/>
    <w:rsid w:val="00D61613"/>
    <w:rsid w:val="00DD34AA"/>
    <w:rsid w:val="00E32A49"/>
    <w:rsid w:val="00E466D6"/>
    <w:rsid w:val="00FF1B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0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73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73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1325</Words>
  <Characters>7557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RKing</dc:creator>
  <cp:keywords/>
  <dc:description/>
  <cp:lastModifiedBy>RKing</cp:lastModifiedBy>
  <cp:revision>4</cp:revision>
  <cp:lastPrinted>2011-10-20T20:41:00Z</cp:lastPrinted>
  <dcterms:created xsi:type="dcterms:W3CDTF">2011-10-25T15:33:00Z</dcterms:created>
  <dcterms:modified xsi:type="dcterms:W3CDTF">2011-10-25T15:47:00Z</dcterms:modified>
</cp:coreProperties>
</file>