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552" w:rsidRDefault="00C22552" w:rsidP="008A015C">
      <w:pPr>
        <w:pStyle w:val="Title"/>
        <w:jc w:val="center"/>
        <w:rPr>
          <w:noProof/>
          <w:webHidden/>
        </w:rPr>
      </w:pPr>
      <w:smartTag w:uri="urn:schemas-microsoft-com:office:smarttags" w:element="place">
        <w:smartTag w:uri="urn:schemas-microsoft-com:office:smarttags" w:element="PlaceName">
          <w:r>
            <w:rPr>
              <w:noProof/>
              <w:webHidden/>
            </w:rPr>
            <w:t>SSWG</w:t>
          </w:r>
        </w:smartTag>
        <w:r>
          <w:rPr>
            <w:noProof/>
            <w:webHidden/>
          </w:rPr>
          <w:t xml:space="preserve"> </w:t>
        </w:r>
        <w:smartTag w:uri="urn:schemas-microsoft-com:office:smarttags" w:element="PlaceName">
          <w:r>
            <w:rPr>
              <w:noProof/>
              <w:webHidden/>
            </w:rPr>
            <w:t>Case</w:t>
          </w:r>
        </w:smartTag>
        <w:r>
          <w:rPr>
            <w:noProof/>
            <w:webHidden/>
          </w:rPr>
          <w:t xml:space="preserve"> </w:t>
        </w:r>
        <w:smartTag w:uri="urn:schemas-microsoft-com:office:smarttags" w:element="PlaceType">
          <w:r>
            <w:rPr>
              <w:noProof/>
              <w:webHidden/>
            </w:rPr>
            <w:t>Building</w:t>
          </w:r>
        </w:smartTag>
      </w:smartTag>
      <w:r>
        <w:rPr>
          <w:noProof/>
          <w:webHidden/>
        </w:rPr>
        <w:t xml:space="preserve"> Procedure Supplement</w:t>
      </w:r>
    </w:p>
    <w:p w:rsidR="00F71A70" w:rsidRDefault="00356C8A">
      <w:pPr>
        <w:rPr>
          <w:rFonts w:ascii="Cambria" w:hAnsi="Cambria"/>
          <w:i/>
          <w:iCs/>
          <w:noProof/>
          <w:webHidden/>
          <w:spacing w:val="15"/>
          <w:sz w:val="24"/>
          <w:szCs w:val="24"/>
        </w:rPr>
      </w:pPr>
      <w:r>
        <w:rPr>
          <w:noProof/>
          <w:webHidden/>
        </w:rPr>
        <w:t xml:space="preserve">This supplement is an addition </w:t>
      </w:r>
      <w:r w:rsidR="00C22552">
        <w:rPr>
          <w:noProof/>
          <w:webHidden/>
        </w:rPr>
        <w:t>to Section Two of</w:t>
      </w:r>
      <w:r w:rsidR="00C22552" w:rsidRPr="008A015C">
        <w:rPr>
          <w:noProof/>
          <w:webHidden/>
        </w:rPr>
        <w:t xml:space="preserve"> ERCOT Steady State Working Group</w:t>
      </w:r>
      <w:r w:rsidR="00C22552">
        <w:rPr>
          <w:noProof/>
          <w:webHidden/>
        </w:rPr>
        <w:t xml:space="preserve"> (SSWG)</w:t>
      </w:r>
      <w:r w:rsidR="00C22552" w:rsidRPr="008A015C">
        <w:rPr>
          <w:noProof/>
          <w:webHidden/>
        </w:rPr>
        <w:t xml:space="preserve"> Procedure Manual</w:t>
      </w:r>
      <w:r>
        <w:rPr>
          <w:noProof/>
          <w:webHidden/>
        </w:rPr>
        <w:t xml:space="preserve">. It will be used to guide and direct the </w:t>
      </w:r>
      <w:r w:rsidR="00C22552" w:rsidRPr="008A015C">
        <w:rPr>
          <w:noProof/>
          <w:webHidden/>
        </w:rPr>
        <w:t xml:space="preserve">Option </w:t>
      </w:r>
      <w:r w:rsidR="00C22552">
        <w:rPr>
          <w:noProof/>
          <w:webHidden/>
        </w:rPr>
        <w:t>Two</w:t>
      </w:r>
      <w:r w:rsidR="00C22552" w:rsidRPr="008A015C">
        <w:rPr>
          <w:noProof/>
          <w:webHidden/>
        </w:rPr>
        <w:t xml:space="preserve"> Case Building Process as Approved by Reliability and Operations Subcommittee</w:t>
      </w:r>
      <w:r w:rsidR="00C22552">
        <w:rPr>
          <w:noProof/>
          <w:webHidden/>
        </w:rPr>
        <w:t xml:space="preserve"> (ROS)</w:t>
      </w:r>
      <w:r w:rsidR="001369D1">
        <w:rPr>
          <w:noProof/>
          <w:webHidden/>
        </w:rPr>
        <w:t xml:space="preserve"> at their January 13, 2011 meeting and modified at the Feb 18, 2011 meeting.</w:t>
      </w:r>
      <w:r w:rsidR="00F71A70">
        <w:rPr>
          <w:noProof/>
          <w:webHidden/>
        </w:rPr>
        <w:br w:type="page"/>
      </w:r>
    </w:p>
    <w:p w:rsidR="00F71A70" w:rsidRPr="00235CDB" w:rsidRDefault="00F71A70" w:rsidP="00F71A70">
      <w:pPr>
        <w:pStyle w:val="Title"/>
        <w:jc w:val="center"/>
        <w:rPr>
          <w:sz w:val="20"/>
          <w:szCs w:val="20"/>
        </w:rPr>
      </w:pPr>
      <w:bookmarkStart w:id="0" w:name="_Toc285577597"/>
      <w:bookmarkStart w:id="1" w:name="_Toc286238322"/>
      <w:r w:rsidRPr="00235CDB">
        <w:rPr>
          <w:szCs w:val="20"/>
        </w:rPr>
        <w:lastRenderedPageBreak/>
        <w:t>Revision</w:t>
      </w:r>
      <w:r w:rsidRPr="00235CDB">
        <w:t xml:space="preserve"> </w:t>
      </w:r>
      <w:r w:rsidRPr="00F71A70">
        <w:t>History</w:t>
      </w:r>
      <w:bookmarkEnd w:id="0"/>
      <w:bookmarkEnd w:id="1"/>
    </w:p>
    <w:tbl>
      <w:tblPr>
        <w:tblW w:w="8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4488"/>
        <w:gridCol w:w="1260"/>
        <w:gridCol w:w="1453"/>
      </w:tblGrid>
      <w:tr w:rsidR="00F71A70" w:rsidRPr="00676B36" w:rsidTr="00E461A4">
        <w:trPr>
          <w:trHeight w:val="295"/>
        </w:trPr>
        <w:tc>
          <w:tcPr>
            <w:tcW w:w="1560" w:type="dxa"/>
            <w:shd w:val="clear" w:color="auto" w:fill="B3B3B3"/>
          </w:tcPr>
          <w:p w:rsidR="00F71A70" w:rsidRPr="00676B36" w:rsidRDefault="00107E64" w:rsidP="00E461A4">
            <w:pPr>
              <w:rPr>
                <w:b/>
              </w:rPr>
            </w:pPr>
            <w:r>
              <w:rPr>
                <w:b/>
              </w:rPr>
              <w:t>Version</w:t>
            </w:r>
          </w:p>
        </w:tc>
        <w:tc>
          <w:tcPr>
            <w:tcW w:w="4488" w:type="dxa"/>
            <w:shd w:val="clear" w:color="auto" w:fill="B3B3B3"/>
          </w:tcPr>
          <w:p w:rsidR="00F71A70" w:rsidRPr="00676B36" w:rsidRDefault="00F71A70" w:rsidP="00E461A4">
            <w:pPr>
              <w:rPr>
                <w:b/>
              </w:rPr>
            </w:pPr>
            <w:r w:rsidRPr="00676B36">
              <w:rPr>
                <w:b/>
              </w:rPr>
              <w:t>Comments</w:t>
            </w:r>
          </w:p>
        </w:tc>
        <w:tc>
          <w:tcPr>
            <w:tcW w:w="1260" w:type="dxa"/>
            <w:shd w:val="clear" w:color="auto" w:fill="B3B3B3"/>
          </w:tcPr>
          <w:p w:rsidR="00F71A70" w:rsidRPr="00676B36" w:rsidRDefault="00F71A70" w:rsidP="00E461A4">
            <w:pPr>
              <w:rPr>
                <w:b/>
              </w:rPr>
            </w:pPr>
            <w:r w:rsidRPr="00676B36">
              <w:rPr>
                <w:b/>
              </w:rPr>
              <w:t>Date</w:t>
            </w:r>
          </w:p>
        </w:tc>
        <w:tc>
          <w:tcPr>
            <w:tcW w:w="1453" w:type="dxa"/>
            <w:shd w:val="clear" w:color="auto" w:fill="B3B3B3"/>
          </w:tcPr>
          <w:p w:rsidR="00F71A70" w:rsidRPr="00676B36" w:rsidRDefault="00F71A70" w:rsidP="00E461A4">
            <w:pPr>
              <w:rPr>
                <w:b/>
              </w:rPr>
            </w:pPr>
            <w:r w:rsidRPr="00676B36">
              <w:rPr>
                <w:b/>
              </w:rPr>
              <w:t>Author</w:t>
            </w:r>
          </w:p>
        </w:tc>
      </w:tr>
      <w:tr w:rsidR="00F71A70" w:rsidRPr="00676B36" w:rsidTr="00E461A4">
        <w:trPr>
          <w:trHeight w:val="244"/>
        </w:trPr>
        <w:tc>
          <w:tcPr>
            <w:tcW w:w="1560" w:type="dxa"/>
          </w:tcPr>
          <w:p w:rsidR="00F71A70" w:rsidRPr="00676B36" w:rsidRDefault="00F71A70" w:rsidP="00E461A4">
            <w:pPr>
              <w:rPr>
                <w:sz w:val="16"/>
                <w:szCs w:val="16"/>
              </w:rPr>
            </w:pPr>
            <w:r w:rsidRPr="00676B36">
              <w:rPr>
                <w:sz w:val="16"/>
                <w:szCs w:val="16"/>
              </w:rPr>
              <w:t>1.0</w:t>
            </w:r>
          </w:p>
        </w:tc>
        <w:tc>
          <w:tcPr>
            <w:tcW w:w="4488" w:type="dxa"/>
          </w:tcPr>
          <w:p w:rsidR="00F71A70" w:rsidRPr="00676B36" w:rsidRDefault="00F71A70" w:rsidP="00E461A4">
            <w:pPr>
              <w:rPr>
                <w:sz w:val="16"/>
                <w:szCs w:val="16"/>
              </w:rPr>
            </w:pPr>
            <w:r w:rsidRPr="00676B36">
              <w:rPr>
                <w:sz w:val="16"/>
                <w:szCs w:val="16"/>
              </w:rPr>
              <w:t>Initial Version</w:t>
            </w:r>
          </w:p>
        </w:tc>
        <w:tc>
          <w:tcPr>
            <w:tcW w:w="1260" w:type="dxa"/>
          </w:tcPr>
          <w:p w:rsidR="00F71A70" w:rsidRPr="00676B36" w:rsidRDefault="00107E64" w:rsidP="00E461A4">
            <w:pPr>
              <w:rPr>
                <w:sz w:val="16"/>
                <w:szCs w:val="16"/>
              </w:rPr>
            </w:pPr>
            <w:r>
              <w:rPr>
                <w:sz w:val="16"/>
                <w:szCs w:val="16"/>
              </w:rPr>
              <w:t>3/1</w:t>
            </w:r>
            <w:r w:rsidR="00F71A70" w:rsidRPr="00676B36">
              <w:rPr>
                <w:sz w:val="16"/>
                <w:szCs w:val="16"/>
              </w:rPr>
              <w:t>/2011</w:t>
            </w:r>
          </w:p>
        </w:tc>
        <w:tc>
          <w:tcPr>
            <w:tcW w:w="1453" w:type="dxa"/>
          </w:tcPr>
          <w:p w:rsidR="00F71A70" w:rsidRPr="00676B36" w:rsidRDefault="00107E64" w:rsidP="00E461A4">
            <w:pPr>
              <w:rPr>
                <w:sz w:val="16"/>
                <w:szCs w:val="16"/>
              </w:rPr>
            </w:pPr>
            <w:r>
              <w:rPr>
                <w:sz w:val="16"/>
                <w:szCs w:val="16"/>
              </w:rPr>
              <w:t>SSWG</w:t>
            </w:r>
          </w:p>
        </w:tc>
      </w:tr>
      <w:tr w:rsidR="00F71A70" w:rsidRPr="00676B36" w:rsidTr="00E461A4">
        <w:trPr>
          <w:trHeight w:val="244"/>
        </w:trPr>
        <w:tc>
          <w:tcPr>
            <w:tcW w:w="1560" w:type="dxa"/>
          </w:tcPr>
          <w:p w:rsidR="00F71A70" w:rsidRPr="00676B36" w:rsidRDefault="00F71A70" w:rsidP="00E461A4">
            <w:pPr>
              <w:rPr>
                <w:sz w:val="16"/>
                <w:szCs w:val="16"/>
              </w:rPr>
            </w:pPr>
          </w:p>
        </w:tc>
        <w:tc>
          <w:tcPr>
            <w:tcW w:w="4488" w:type="dxa"/>
          </w:tcPr>
          <w:p w:rsidR="00F71A70" w:rsidRPr="00676B36" w:rsidRDefault="00F71A70" w:rsidP="00E461A4">
            <w:pPr>
              <w:rPr>
                <w:sz w:val="16"/>
                <w:szCs w:val="16"/>
              </w:rPr>
            </w:pPr>
          </w:p>
        </w:tc>
        <w:tc>
          <w:tcPr>
            <w:tcW w:w="1260" w:type="dxa"/>
          </w:tcPr>
          <w:p w:rsidR="00F71A70" w:rsidRPr="00676B36" w:rsidRDefault="00F71A70" w:rsidP="00E461A4">
            <w:pPr>
              <w:rPr>
                <w:sz w:val="16"/>
                <w:szCs w:val="16"/>
              </w:rPr>
            </w:pPr>
          </w:p>
        </w:tc>
        <w:tc>
          <w:tcPr>
            <w:tcW w:w="1453" w:type="dxa"/>
          </w:tcPr>
          <w:p w:rsidR="00F71A70" w:rsidRPr="00676B36" w:rsidRDefault="00F71A70" w:rsidP="00E461A4">
            <w:pPr>
              <w:rPr>
                <w:sz w:val="16"/>
                <w:szCs w:val="16"/>
              </w:rPr>
            </w:pPr>
          </w:p>
        </w:tc>
      </w:tr>
      <w:tr w:rsidR="00F71A70" w:rsidRPr="00676B36" w:rsidTr="00E461A4">
        <w:trPr>
          <w:trHeight w:val="244"/>
        </w:trPr>
        <w:tc>
          <w:tcPr>
            <w:tcW w:w="1560" w:type="dxa"/>
          </w:tcPr>
          <w:p w:rsidR="00F71A70" w:rsidRPr="00676B36" w:rsidRDefault="00F71A70" w:rsidP="00E461A4">
            <w:pPr>
              <w:rPr>
                <w:sz w:val="16"/>
                <w:szCs w:val="16"/>
              </w:rPr>
            </w:pPr>
          </w:p>
        </w:tc>
        <w:tc>
          <w:tcPr>
            <w:tcW w:w="4488" w:type="dxa"/>
          </w:tcPr>
          <w:p w:rsidR="00F71A70" w:rsidRPr="00676B36" w:rsidRDefault="00F71A70" w:rsidP="00E461A4">
            <w:pPr>
              <w:rPr>
                <w:sz w:val="16"/>
                <w:szCs w:val="16"/>
              </w:rPr>
            </w:pPr>
          </w:p>
        </w:tc>
        <w:tc>
          <w:tcPr>
            <w:tcW w:w="1260" w:type="dxa"/>
          </w:tcPr>
          <w:p w:rsidR="00F71A70" w:rsidRPr="00676B36" w:rsidRDefault="00F71A70" w:rsidP="00E461A4">
            <w:pPr>
              <w:rPr>
                <w:sz w:val="16"/>
                <w:szCs w:val="16"/>
              </w:rPr>
            </w:pPr>
          </w:p>
        </w:tc>
        <w:tc>
          <w:tcPr>
            <w:tcW w:w="1453" w:type="dxa"/>
          </w:tcPr>
          <w:p w:rsidR="00F71A70" w:rsidRPr="00676B36" w:rsidRDefault="00F71A70" w:rsidP="00E461A4">
            <w:pPr>
              <w:rPr>
                <w:sz w:val="16"/>
                <w:szCs w:val="16"/>
              </w:rPr>
            </w:pPr>
          </w:p>
        </w:tc>
      </w:tr>
      <w:tr w:rsidR="00F71A70" w:rsidRPr="00676B36" w:rsidTr="00E461A4">
        <w:trPr>
          <w:trHeight w:val="244"/>
        </w:trPr>
        <w:tc>
          <w:tcPr>
            <w:tcW w:w="1560" w:type="dxa"/>
          </w:tcPr>
          <w:p w:rsidR="00F71A70" w:rsidRPr="00676B36" w:rsidRDefault="00F71A70" w:rsidP="00E461A4">
            <w:pPr>
              <w:rPr>
                <w:sz w:val="16"/>
                <w:szCs w:val="16"/>
              </w:rPr>
            </w:pPr>
          </w:p>
        </w:tc>
        <w:tc>
          <w:tcPr>
            <w:tcW w:w="4488" w:type="dxa"/>
          </w:tcPr>
          <w:p w:rsidR="00F71A70" w:rsidRPr="00676B36" w:rsidRDefault="00F71A70" w:rsidP="00E461A4">
            <w:pPr>
              <w:rPr>
                <w:sz w:val="16"/>
                <w:szCs w:val="16"/>
              </w:rPr>
            </w:pPr>
          </w:p>
        </w:tc>
        <w:tc>
          <w:tcPr>
            <w:tcW w:w="1260" w:type="dxa"/>
          </w:tcPr>
          <w:p w:rsidR="00F71A70" w:rsidRPr="00676B36" w:rsidRDefault="00F71A70" w:rsidP="00E461A4">
            <w:pPr>
              <w:rPr>
                <w:sz w:val="16"/>
                <w:szCs w:val="16"/>
              </w:rPr>
            </w:pPr>
          </w:p>
        </w:tc>
        <w:tc>
          <w:tcPr>
            <w:tcW w:w="1453" w:type="dxa"/>
          </w:tcPr>
          <w:p w:rsidR="00F71A70" w:rsidRPr="00676B36" w:rsidRDefault="00F71A70" w:rsidP="00E461A4">
            <w:pPr>
              <w:rPr>
                <w:sz w:val="16"/>
                <w:szCs w:val="16"/>
              </w:rPr>
            </w:pPr>
          </w:p>
        </w:tc>
      </w:tr>
    </w:tbl>
    <w:p w:rsidR="00F71A70" w:rsidRDefault="00F71A70" w:rsidP="00F71A70"/>
    <w:p w:rsidR="00C22552" w:rsidRPr="008A015C" w:rsidRDefault="00C22552" w:rsidP="008A015C">
      <w:pPr>
        <w:pStyle w:val="Subtitle"/>
        <w:jc w:val="center"/>
        <w:rPr>
          <w:noProof/>
          <w:webHidden/>
          <w:color w:val="auto"/>
        </w:rPr>
      </w:pPr>
      <w:r w:rsidRPr="008A015C">
        <w:rPr>
          <w:noProof/>
          <w:webHidden/>
          <w:color w:val="auto"/>
        </w:rPr>
        <w:br w:type="page"/>
      </w:r>
    </w:p>
    <w:p w:rsidR="00C22552" w:rsidRDefault="00C22552">
      <w:pPr>
        <w:pStyle w:val="TOCHeading"/>
      </w:pPr>
      <w:r>
        <w:lastRenderedPageBreak/>
        <w:t>Table of Contents</w:t>
      </w:r>
    </w:p>
    <w:p w:rsidR="00BB6874" w:rsidRDefault="00E862A4">
      <w:pPr>
        <w:pStyle w:val="TOC2"/>
        <w:tabs>
          <w:tab w:val="left" w:pos="880"/>
          <w:tab w:val="right" w:leader="dot" w:pos="9350"/>
        </w:tabs>
        <w:rPr>
          <w:rFonts w:asciiTheme="minorHAnsi" w:eastAsiaTheme="minorEastAsia" w:hAnsiTheme="minorHAnsi" w:cstheme="minorBidi"/>
          <w:noProof/>
          <w:sz w:val="22"/>
          <w:szCs w:val="22"/>
        </w:rPr>
      </w:pPr>
      <w:r>
        <w:fldChar w:fldCharType="begin"/>
      </w:r>
      <w:r w:rsidR="00C22552">
        <w:instrText xml:space="preserve"> TOC \o "1-3" \h \z \u </w:instrText>
      </w:r>
      <w:r>
        <w:fldChar w:fldCharType="separate"/>
      </w:r>
      <w:hyperlink w:anchor="_Toc286726258" w:history="1">
        <w:r w:rsidR="00BB6874" w:rsidRPr="00FB031A">
          <w:rPr>
            <w:rStyle w:val="Hyperlink"/>
            <w:noProof/>
          </w:rPr>
          <w:t>2.1.</w:t>
        </w:r>
        <w:r w:rsidR="00BB6874">
          <w:rPr>
            <w:rFonts w:asciiTheme="minorHAnsi" w:eastAsiaTheme="minorEastAsia" w:hAnsiTheme="minorHAnsi" w:cstheme="minorBidi"/>
            <w:noProof/>
            <w:sz w:val="22"/>
            <w:szCs w:val="22"/>
          </w:rPr>
          <w:tab/>
        </w:r>
        <w:r w:rsidR="00BB6874" w:rsidRPr="00FB031A">
          <w:rPr>
            <w:rStyle w:val="Hyperlink"/>
            <w:noProof/>
          </w:rPr>
          <w:t>Overview</w:t>
        </w:r>
        <w:r w:rsidR="00BB6874">
          <w:rPr>
            <w:noProof/>
            <w:webHidden/>
          </w:rPr>
          <w:tab/>
        </w:r>
        <w:r w:rsidR="00BB6874">
          <w:rPr>
            <w:noProof/>
            <w:webHidden/>
          </w:rPr>
          <w:fldChar w:fldCharType="begin"/>
        </w:r>
        <w:r w:rsidR="00BB6874">
          <w:rPr>
            <w:noProof/>
            <w:webHidden/>
          </w:rPr>
          <w:instrText xml:space="preserve"> PAGEREF _Toc286726258 \h </w:instrText>
        </w:r>
        <w:r w:rsidR="00BB6874">
          <w:rPr>
            <w:noProof/>
            <w:webHidden/>
          </w:rPr>
        </w:r>
        <w:r w:rsidR="00BB6874">
          <w:rPr>
            <w:noProof/>
            <w:webHidden/>
          </w:rPr>
          <w:fldChar w:fldCharType="separate"/>
        </w:r>
        <w:r w:rsidR="00BB6874">
          <w:rPr>
            <w:noProof/>
            <w:webHidden/>
          </w:rPr>
          <w:t>4</w:t>
        </w:r>
        <w:r w:rsidR="00BB6874">
          <w:rPr>
            <w:noProof/>
            <w:webHidden/>
          </w:rPr>
          <w:fldChar w:fldCharType="end"/>
        </w:r>
      </w:hyperlink>
    </w:p>
    <w:p w:rsidR="00BB6874" w:rsidRDefault="00BB6874">
      <w:pPr>
        <w:pStyle w:val="TOC2"/>
        <w:tabs>
          <w:tab w:val="left" w:pos="880"/>
          <w:tab w:val="right" w:leader="dot" w:pos="9350"/>
        </w:tabs>
        <w:rPr>
          <w:rFonts w:asciiTheme="minorHAnsi" w:eastAsiaTheme="minorEastAsia" w:hAnsiTheme="minorHAnsi" w:cstheme="minorBidi"/>
          <w:noProof/>
          <w:sz w:val="22"/>
          <w:szCs w:val="22"/>
        </w:rPr>
      </w:pPr>
      <w:hyperlink w:anchor="_Toc286726259" w:history="1">
        <w:r w:rsidRPr="00FB031A">
          <w:rPr>
            <w:rStyle w:val="Hyperlink"/>
            <w:noProof/>
          </w:rPr>
          <w:t>2.2.</w:t>
        </w:r>
        <w:r>
          <w:rPr>
            <w:rFonts w:asciiTheme="minorHAnsi" w:eastAsiaTheme="minorEastAsia" w:hAnsiTheme="minorHAnsi" w:cstheme="minorBidi"/>
            <w:noProof/>
            <w:sz w:val="22"/>
            <w:szCs w:val="22"/>
          </w:rPr>
          <w:tab/>
        </w:r>
        <w:r w:rsidRPr="00FB031A">
          <w:rPr>
            <w:rStyle w:val="Hyperlink"/>
            <w:noProof/>
          </w:rPr>
          <w:t>Definitions and Acronyms</w:t>
        </w:r>
        <w:r>
          <w:rPr>
            <w:noProof/>
            <w:webHidden/>
          </w:rPr>
          <w:tab/>
        </w:r>
        <w:r>
          <w:rPr>
            <w:noProof/>
            <w:webHidden/>
          </w:rPr>
          <w:fldChar w:fldCharType="begin"/>
        </w:r>
        <w:r>
          <w:rPr>
            <w:noProof/>
            <w:webHidden/>
          </w:rPr>
          <w:instrText xml:space="preserve"> PAGEREF _Toc286726259 \h </w:instrText>
        </w:r>
        <w:r>
          <w:rPr>
            <w:noProof/>
            <w:webHidden/>
          </w:rPr>
        </w:r>
        <w:r>
          <w:rPr>
            <w:noProof/>
            <w:webHidden/>
          </w:rPr>
          <w:fldChar w:fldCharType="separate"/>
        </w:r>
        <w:r>
          <w:rPr>
            <w:noProof/>
            <w:webHidden/>
          </w:rPr>
          <w:t>4</w:t>
        </w:r>
        <w:r>
          <w:rPr>
            <w:noProof/>
            <w:webHidden/>
          </w:rPr>
          <w:fldChar w:fldCharType="end"/>
        </w:r>
      </w:hyperlink>
    </w:p>
    <w:p w:rsidR="00BB6874" w:rsidRDefault="00BB6874">
      <w:pPr>
        <w:pStyle w:val="TOC3"/>
        <w:tabs>
          <w:tab w:val="left" w:pos="1100"/>
          <w:tab w:val="right" w:leader="dot" w:pos="9350"/>
        </w:tabs>
        <w:rPr>
          <w:rFonts w:asciiTheme="minorHAnsi" w:eastAsiaTheme="minorEastAsia" w:hAnsiTheme="minorHAnsi" w:cstheme="minorBidi"/>
          <w:noProof/>
          <w:sz w:val="22"/>
          <w:szCs w:val="22"/>
        </w:rPr>
      </w:pPr>
      <w:hyperlink w:anchor="_Toc286726260" w:history="1">
        <w:r w:rsidRPr="00FB031A">
          <w:rPr>
            <w:rStyle w:val="Hyperlink"/>
            <w:noProof/>
          </w:rPr>
          <w:t>2.2.1.</w:t>
        </w:r>
        <w:r>
          <w:rPr>
            <w:rFonts w:asciiTheme="minorHAnsi" w:eastAsiaTheme="minorEastAsia" w:hAnsiTheme="minorHAnsi" w:cstheme="minorBidi"/>
            <w:noProof/>
            <w:sz w:val="22"/>
            <w:szCs w:val="22"/>
          </w:rPr>
          <w:tab/>
        </w:r>
        <w:r w:rsidRPr="00FB031A">
          <w:rPr>
            <w:rStyle w:val="Hyperlink"/>
            <w:noProof/>
          </w:rPr>
          <w:t>Definitions</w:t>
        </w:r>
        <w:r>
          <w:rPr>
            <w:noProof/>
            <w:webHidden/>
          </w:rPr>
          <w:tab/>
        </w:r>
        <w:r>
          <w:rPr>
            <w:noProof/>
            <w:webHidden/>
          </w:rPr>
          <w:fldChar w:fldCharType="begin"/>
        </w:r>
        <w:r>
          <w:rPr>
            <w:noProof/>
            <w:webHidden/>
          </w:rPr>
          <w:instrText xml:space="preserve"> PAGEREF _Toc286726260 \h </w:instrText>
        </w:r>
        <w:r>
          <w:rPr>
            <w:noProof/>
            <w:webHidden/>
          </w:rPr>
        </w:r>
        <w:r>
          <w:rPr>
            <w:noProof/>
            <w:webHidden/>
          </w:rPr>
          <w:fldChar w:fldCharType="separate"/>
        </w:r>
        <w:r>
          <w:rPr>
            <w:noProof/>
            <w:webHidden/>
          </w:rPr>
          <w:t>4</w:t>
        </w:r>
        <w:r>
          <w:rPr>
            <w:noProof/>
            <w:webHidden/>
          </w:rPr>
          <w:fldChar w:fldCharType="end"/>
        </w:r>
      </w:hyperlink>
    </w:p>
    <w:p w:rsidR="00BB6874" w:rsidRDefault="00BB6874">
      <w:pPr>
        <w:pStyle w:val="TOC3"/>
        <w:tabs>
          <w:tab w:val="left" w:pos="1100"/>
          <w:tab w:val="right" w:leader="dot" w:pos="9350"/>
        </w:tabs>
        <w:rPr>
          <w:rFonts w:asciiTheme="minorHAnsi" w:eastAsiaTheme="minorEastAsia" w:hAnsiTheme="minorHAnsi" w:cstheme="minorBidi"/>
          <w:noProof/>
          <w:sz w:val="22"/>
          <w:szCs w:val="22"/>
        </w:rPr>
      </w:pPr>
      <w:hyperlink w:anchor="_Toc286726261" w:history="1">
        <w:r w:rsidRPr="00FB031A">
          <w:rPr>
            <w:rStyle w:val="Hyperlink"/>
            <w:noProof/>
          </w:rPr>
          <w:t>2.2.2.</w:t>
        </w:r>
        <w:r>
          <w:rPr>
            <w:rFonts w:asciiTheme="minorHAnsi" w:eastAsiaTheme="minorEastAsia" w:hAnsiTheme="minorHAnsi" w:cstheme="minorBidi"/>
            <w:noProof/>
            <w:sz w:val="22"/>
            <w:szCs w:val="22"/>
          </w:rPr>
          <w:tab/>
        </w:r>
        <w:r w:rsidRPr="00FB031A">
          <w:rPr>
            <w:rStyle w:val="Hyperlink"/>
            <w:noProof/>
          </w:rPr>
          <w:t>Acronyms</w:t>
        </w:r>
        <w:r>
          <w:rPr>
            <w:noProof/>
            <w:webHidden/>
          </w:rPr>
          <w:tab/>
        </w:r>
        <w:r>
          <w:rPr>
            <w:noProof/>
            <w:webHidden/>
          </w:rPr>
          <w:fldChar w:fldCharType="begin"/>
        </w:r>
        <w:r>
          <w:rPr>
            <w:noProof/>
            <w:webHidden/>
          </w:rPr>
          <w:instrText xml:space="preserve"> PAGEREF _Toc286726261 \h </w:instrText>
        </w:r>
        <w:r>
          <w:rPr>
            <w:noProof/>
            <w:webHidden/>
          </w:rPr>
        </w:r>
        <w:r>
          <w:rPr>
            <w:noProof/>
            <w:webHidden/>
          </w:rPr>
          <w:fldChar w:fldCharType="separate"/>
        </w:r>
        <w:r>
          <w:rPr>
            <w:noProof/>
            <w:webHidden/>
          </w:rPr>
          <w:t>5</w:t>
        </w:r>
        <w:r>
          <w:rPr>
            <w:noProof/>
            <w:webHidden/>
          </w:rPr>
          <w:fldChar w:fldCharType="end"/>
        </w:r>
      </w:hyperlink>
    </w:p>
    <w:p w:rsidR="00BB6874" w:rsidRDefault="00BB6874">
      <w:pPr>
        <w:pStyle w:val="TOC2"/>
        <w:tabs>
          <w:tab w:val="left" w:pos="880"/>
          <w:tab w:val="right" w:leader="dot" w:pos="9350"/>
        </w:tabs>
        <w:rPr>
          <w:rFonts w:asciiTheme="minorHAnsi" w:eastAsiaTheme="minorEastAsia" w:hAnsiTheme="minorHAnsi" w:cstheme="minorBidi"/>
          <w:noProof/>
          <w:sz w:val="22"/>
          <w:szCs w:val="22"/>
        </w:rPr>
      </w:pPr>
      <w:hyperlink w:anchor="_Toc286726262" w:history="1">
        <w:r w:rsidRPr="00FB031A">
          <w:rPr>
            <w:rStyle w:val="Hyperlink"/>
            <w:noProof/>
          </w:rPr>
          <w:t>2.3.</w:t>
        </w:r>
        <w:r>
          <w:rPr>
            <w:rFonts w:asciiTheme="minorHAnsi" w:eastAsiaTheme="minorEastAsia" w:hAnsiTheme="minorHAnsi" w:cstheme="minorBidi"/>
            <w:noProof/>
            <w:sz w:val="22"/>
            <w:szCs w:val="22"/>
          </w:rPr>
          <w:tab/>
        </w:r>
        <w:r w:rsidRPr="00FB031A">
          <w:rPr>
            <w:rStyle w:val="Hyperlink"/>
            <w:noProof/>
          </w:rPr>
          <w:t>TP-Mirror Case Development</w:t>
        </w:r>
        <w:r>
          <w:rPr>
            <w:noProof/>
            <w:webHidden/>
          </w:rPr>
          <w:tab/>
        </w:r>
        <w:r>
          <w:rPr>
            <w:noProof/>
            <w:webHidden/>
          </w:rPr>
          <w:fldChar w:fldCharType="begin"/>
        </w:r>
        <w:r>
          <w:rPr>
            <w:noProof/>
            <w:webHidden/>
          </w:rPr>
          <w:instrText xml:space="preserve"> PAGEREF _Toc286726262 \h </w:instrText>
        </w:r>
        <w:r>
          <w:rPr>
            <w:noProof/>
            <w:webHidden/>
          </w:rPr>
        </w:r>
        <w:r>
          <w:rPr>
            <w:noProof/>
            <w:webHidden/>
          </w:rPr>
          <w:fldChar w:fldCharType="separate"/>
        </w:r>
        <w:r>
          <w:rPr>
            <w:noProof/>
            <w:webHidden/>
          </w:rPr>
          <w:t>6</w:t>
        </w:r>
        <w:r>
          <w:rPr>
            <w:noProof/>
            <w:webHidden/>
          </w:rPr>
          <w:fldChar w:fldCharType="end"/>
        </w:r>
      </w:hyperlink>
    </w:p>
    <w:p w:rsidR="00BB6874" w:rsidRDefault="00BB6874">
      <w:pPr>
        <w:pStyle w:val="TOC2"/>
        <w:tabs>
          <w:tab w:val="left" w:pos="880"/>
          <w:tab w:val="right" w:leader="dot" w:pos="9350"/>
        </w:tabs>
        <w:rPr>
          <w:rFonts w:asciiTheme="minorHAnsi" w:eastAsiaTheme="minorEastAsia" w:hAnsiTheme="minorHAnsi" w:cstheme="minorBidi"/>
          <w:noProof/>
          <w:sz w:val="22"/>
          <w:szCs w:val="22"/>
        </w:rPr>
      </w:pPr>
      <w:hyperlink w:anchor="_Toc286726263" w:history="1">
        <w:r w:rsidRPr="00FB031A">
          <w:rPr>
            <w:rStyle w:val="Hyperlink"/>
            <w:noProof/>
          </w:rPr>
          <w:t>2.4.</w:t>
        </w:r>
        <w:r>
          <w:rPr>
            <w:rFonts w:asciiTheme="minorHAnsi" w:eastAsiaTheme="minorEastAsia" w:hAnsiTheme="minorHAnsi" w:cstheme="minorBidi"/>
            <w:noProof/>
            <w:sz w:val="22"/>
            <w:szCs w:val="22"/>
          </w:rPr>
          <w:tab/>
        </w:r>
        <w:r w:rsidRPr="00FB031A">
          <w:rPr>
            <w:rStyle w:val="Hyperlink"/>
            <w:noProof/>
          </w:rPr>
          <w:t>Consistency Validation</w:t>
        </w:r>
        <w:r>
          <w:rPr>
            <w:noProof/>
            <w:webHidden/>
          </w:rPr>
          <w:tab/>
        </w:r>
        <w:r>
          <w:rPr>
            <w:noProof/>
            <w:webHidden/>
          </w:rPr>
          <w:fldChar w:fldCharType="begin"/>
        </w:r>
        <w:r>
          <w:rPr>
            <w:noProof/>
            <w:webHidden/>
          </w:rPr>
          <w:instrText xml:space="preserve"> PAGEREF _Toc286726263 \h </w:instrText>
        </w:r>
        <w:r>
          <w:rPr>
            <w:noProof/>
            <w:webHidden/>
          </w:rPr>
        </w:r>
        <w:r>
          <w:rPr>
            <w:noProof/>
            <w:webHidden/>
          </w:rPr>
          <w:fldChar w:fldCharType="separate"/>
        </w:r>
        <w:r>
          <w:rPr>
            <w:noProof/>
            <w:webHidden/>
          </w:rPr>
          <w:t>7</w:t>
        </w:r>
        <w:r>
          <w:rPr>
            <w:noProof/>
            <w:webHidden/>
          </w:rPr>
          <w:fldChar w:fldCharType="end"/>
        </w:r>
      </w:hyperlink>
    </w:p>
    <w:p w:rsidR="00BB6874" w:rsidRDefault="00BB6874">
      <w:pPr>
        <w:pStyle w:val="TOC3"/>
        <w:tabs>
          <w:tab w:val="left" w:pos="1100"/>
          <w:tab w:val="right" w:leader="dot" w:pos="9350"/>
        </w:tabs>
        <w:rPr>
          <w:rFonts w:asciiTheme="minorHAnsi" w:eastAsiaTheme="minorEastAsia" w:hAnsiTheme="minorHAnsi" w:cstheme="minorBidi"/>
          <w:noProof/>
          <w:sz w:val="22"/>
          <w:szCs w:val="22"/>
        </w:rPr>
      </w:pPr>
      <w:hyperlink w:anchor="_Toc286726264" w:history="1">
        <w:r w:rsidRPr="00FB031A">
          <w:rPr>
            <w:rStyle w:val="Hyperlink"/>
            <w:noProof/>
          </w:rPr>
          <w:t>2.4.1.</w:t>
        </w:r>
        <w:r>
          <w:rPr>
            <w:rFonts w:asciiTheme="minorHAnsi" w:eastAsiaTheme="minorEastAsia" w:hAnsiTheme="minorHAnsi" w:cstheme="minorBidi"/>
            <w:noProof/>
            <w:sz w:val="22"/>
            <w:szCs w:val="22"/>
          </w:rPr>
          <w:tab/>
        </w:r>
        <w:r w:rsidRPr="00FB031A">
          <w:rPr>
            <w:rStyle w:val="Hyperlink"/>
            <w:noProof/>
          </w:rPr>
          <w:t>Reporting Metrics</w:t>
        </w:r>
        <w:r>
          <w:rPr>
            <w:noProof/>
            <w:webHidden/>
          </w:rPr>
          <w:tab/>
        </w:r>
        <w:r>
          <w:rPr>
            <w:noProof/>
            <w:webHidden/>
          </w:rPr>
          <w:fldChar w:fldCharType="begin"/>
        </w:r>
        <w:r>
          <w:rPr>
            <w:noProof/>
            <w:webHidden/>
          </w:rPr>
          <w:instrText xml:space="preserve"> PAGEREF _Toc286726264 \h </w:instrText>
        </w:r>
        <w:r>
          <w:rPr>
            <w:noProof/>
            <w:webHidden/>
          </w:rPr>
        </w:r>
        <w:r>
          <w:rPr>
            <w:noProof/>
            <w:webHidden/>
          </w:rPr>
          <w:fldChar w:fldCharType="separate"/>
        </w:r>
        <w:r>
          <w:rPr>
            <w:noProof/>
            <w:webHidden/>
          </w:rPr>
          <w:t>7</w:t>
        </w:r>
        <w:r>
          <w:rPr>
            <w:noProof/>
            <w:webHidden/>
          </w:rPr>
          <w:fldChar w:fldCharType="end"/>
        </w:r>
      </w:hyperlink>
    </w:p>
    <w:p w:rsidR="00BB6874" w:rsidRDefault="00BB6874">
      <w:pPr>
        <w:pStyle w:val="TOC3"/>
        <w:tabs>
          <w:tab w:val="left" w:pos="1100"/>
          <w:tab w:val="right" w:leader="dot" w:pos="9350"/>
        </w:tabs>
        <w:rPr>
          <w:rFonts w:asciiTheme="minorHAnsi" w:eastAsiaTheme="minorEastAsia" w:hAnsiTheme="minorHAnsi" w:cstheme="minorBidi"/>
          <w:noProof/>
          <w:sz w:val="22"/>
          <w:szCs w:val="22"/>
        </w:rPr>
      </w:pPr>
      <w:hyperlink w:anchor="_Toc286726265" w:history="1">
        <w:r w:rsidRPr="00FB031A">
          <w:rPr>
            <w:rStyle w:val="Hyperlink"/>
            <w:noProof/>
          </w:rPr>
          <w:t>2.4.2.</w:t>
        </w:r>
        <w:r>
          <w:rPr>
            <w:rFonts w:asciiTheme="minorHAnsi" w:eastAsiaTheme="minorEastAsia" w:hAnsiTheme="minorHAnsi" w:cstheme="minorBidi"/>
            <w:noProof/>
            <w:sz w:val="22"/>
            <w:szCs w:val="22"/>
          </w:rPr>
          <w:tab/>
        </w:r>
        <w:r w:rsidRPr="00FB031A">
          <w:rPr>
            <w:rStyle w:val="Hyperlink"/>
            <w:noProof/>
          </w:rPr>
          <w:t>Consistency Validation Process</w:t>
        </w:r>
        <w:r>
          <w:rPr>
            <w:noProof/>
            <w:webHidden/>
          </w:rPr>
          <w:tab/>
        </w:r>
        <w:r>
          <w:rPr>
            <w:noProof/>
            <w:webHidden/>
          </w:rPr>
          <w:fldChar w:fldCharType="begin"/>
        </w:r>
        <w:r>
          <w:rPr>
            <w:noProof/>
            <w:webHidden/>
          </w:rPr>
          <w:instrText xml:space="preserve"> PAGEREF _Toc286726265 \h </w:instrText>
        </w:r>
        <w:r>
          <w:rPr>
            <w:noProof/>
            <w:webHidden/>
          </w:rPr>
        </w:r>
        <w:r>
          <w:rPr>
            <w:noProof/>
            <w:webHidden/>
          </w:rPr>
          <w:fldChar w:fldCharType="separate"/>
        </w:r>
        <w:r>
          <w:rPr>
            <w:noProof/>
            <w:webHidden/>
          </w:rPr>
          <w:t>8</w:t>
        </w:r>
        <w:r>
          <w:rPr>
            <w:noProof/>
            <w:webHidden/>
          </w:rPr>
          <w:fldChar w:fldCharType="end"/>
        </w:r>
      </w:hyperlink>
    </w:p>
    <w:p w:rsidR="00BB6874" w:rsidRDefault="00BB6874">
      <w:pPr>
        <w:pStyle w:val="TOC3"/>
        <w:tabs>
          <w:tab w:val="left" w:pos="1100"/>
          <w:tab w:val="right" w:leader="dot" w:pos="9350"/>
        </w:tabs>
        <w:rPr>
          <w:rFonts w:asciiTheme="minorHAnsi" w:eastAsiaTheme="minorEastAsia" w:hAnsiTheme="minorHAnsi" w:cstheme="minorBidi"/>
          <w:noProof/>
          <w:sz w:val="22"/>
          <w:szCs w:val="22"/>
        </w:rPr>
      </w:pPr>
      <w:hyperlink w:anchor="_Toc286726266" w:history="1">
        <w:r w:rsidRPr="00FB031A">
          <w:rPr>
            <w:rStyle w:val="Hyperlink"/>
            <w:noProof/>
          </w:rPr>
          <w:t>2.4.3.</w:t>
        </w:r>
        <w:r>
          <w:rPr>
            <w:rFonts w:asciiTheme="minorHAnsi" w:eastAsiaTheme="minorEastAsia" w:hAnsiTheme="minorHAnsi" w:cstheme="minorBidi"/>
            <w:noProof/>
            <w:sz w:val="22"/>
            <w:szCs w:val="22"/>
          </w:rPr>
          <w:tab/>
        </w:r>
        <w:r w:rsidRPr="00FB031A">
          <w:rPr>
            <w:rStyle w:val="Hyperlink"/>
            <w:noProof/>
          </w:rPr>
          <w:t>Consistency Validation Spreadsheet</w:t>
        </w:r>
        <w:r>
          <w:rPr>
            <w:noProof/>
            <w:webHidden/>
          </w:rPr>
          <w:tab/>
        </w:r>
        <w:r>
          <w:rPr>
            <w:noProof/>
            <w:webHidden/>
          </w:rPr>
          <w:fldChar w:fldCharType="begin"/>
        </w:r>
        <w:r>
          <w:rPr>
            <w:noProof/>
            <w:webHidden/>
          </w:rPr>
          <w:instrText xml:space="preserve"> PAGEREF _Toc286726266 \h </w:instrText>
        </w:r>
        <w:r>
          <w:rPr>
            <w:noProof/>
            <w:webHidden/>
          </w:rPr>
        </w:r>
        <w:r>
          <w:rPr>
            <w:noProof/>
            <w:webHidden/>
          </w:rPr>
          <w:fldChar w:fldCharType="separate"/>
        </w:r>
        <w:r>
          <w:rPr>
            <w:noProof/>
            <w:webHidden/>
          </w:rPr>
          <w:t>9</w:t>
        </w:r>
        <w:r>
          <w:rPr>
            <w:noProof/>
            <w:webHidden/>
          </w:rPr>
          <w:fldChar w:fldCharType="end"/>
        </w:r>
      </w:hyperlink>
    </w:p>
    <w:p w:rsidR="00BB6874" w:rsidRDefault="00BB6874">
      <w:pPr>
        <w:pStyle w:val="TOC3"/>
        <w:tabs>
          <w:tab w:val="left" w:pos="1100"/>
          <w:tab w:val="right" w:leader="dot" w:pos="9350"/>
        </w:tabs>
        <w:rPr>
          <w:rFonts w:asciiTheme="minorHAnsi" w:eastAsiaTheme="minorEastAsia" w:hAnsiTheme="minorHAnsi" w:cstheme="minorBidi"/>
          <w:noProof/>
          <w:sz w:val="22"/>
          <w:szCs w:val="22"/>
        </w:rPr>
      </w:pPr>
      <w:hyperlink w:anchor="_Toc286726267" w:history="1">
        <w:r w:rsidRPr="00FB031A">
          <w:rPr>
            <w:rStyle w:val="Hyperlink"/>
            <w:noProof/>
          </w:rPr>
          <w:t>2.4.4.</w:t>
        </w:r>
        <w:r>
          <w:rPr>
            <w:rFonts w:asciiTheme="minorHAnsi" w:eastAsiaTheme="minorEastAsia" w:hAnsiTheme="minorHAnsi" w:cstheme="minorBidi"/>
            <w:noProof/>
            <w:sz w:val="22"/>
            <w:szCs w:val="22"/>
          </w:rPr>
          <w:tab/>
        </w:r>
        <w:r w:rsidRPr="00FB031A">
          <w:rPr>
            <w:rStyle w:val="Hyperlink"/>
            <w:noProof/>
          </w:rPr>
          <w:t>Explanation of Differences</w:t>
        </w:r>
        <w:r>
          <w:rPr>
            <w:noProof/>
            <w:webHidden/>
          </w:rPr>
          <w:tab/>
        </w:r>
        <w:r>
          <w:rPr>
            <w:noProof/>
            <w:webHidden/>
          </w:rPr>
          <w:fldChar w:fldCharType="begin"/>
        </w:r>
        <w:r>
          <w:rPr>
            <w:noProof/>
            <w:webHidden/>
          </w:rPr>
          <w:instrText xml:space="preserve"> PAGEREF _Toc286726267 \h </w:instrText>
        </w:r>
        <w:r>
          <w:rPr>
            <w:noProof/>
            <w:webHidden/>
          </w:rPr>
        </w:r>
        <w:r>
          <w:rPr>
            <w:noProof/>
            <w:webHidden/>
          </w:rPr>
          <w:fldChar w:fldCharType="separate"/>
        </w:r>
        <w:r>
          <w:rPr>
            <w:noProof/>
            <w:webHidden/>
          </w:rPr>
          <w:t>10</w:t>
        </w:r>
        <w:r>
          <w:rPr>
            <w:noProof/>
            <w:webHidden/>
          </w:rPr>
          <w:fldChar w:fldCharType="end"/>
        </w:r>
      </w:hyperlink>
    </w:p>
    <w:p w:rsidR="00BB6874" w:rsidRDefault="00BB6874">
      <w:pPr>
        <w:pStyle w:val="TOC2"/>
        <w:tabs>
          <w:tab w:val="left" w:pos="880"/>
          <w:tab w:val="right" w:leader="dot" w:pos="9350"/>
        </w:tabs>
        <w:rPr>
          <w:rFonts w:asciiTheme="minorHAnsi" w:eastAsiaTheme="minorEastAsia" w:hAnsiTheme="minorHAnsi" w:cstheme="minorBidi"/>
          <w:noProof/>
          <w:sz w:val="22"/>
          <w:szCs w:val="22"/>
        </w:rPr>
      </w:pPr>
      <w:hyperlink w:anchor="_Toc286726268" w:history="1">
        <w:r w:rsidRPr="00FB031A">
          <w:rPr>
            <w:rStyle w:val="Hyperlink"/>
            <w:noProof/>
          </w:rPr>
          <w:t>2.5.</w:t>
        </w:r>
        <w:r>
          <w:rPr>
            <w:rFonts w:asciiTheme="minorHAnsi" w:eastAsiaTheme="minorEastAsia" w:hAnsiTheme="minorHAnsi" w:cstheme="minorBidi"/>
            <w:noProof/>
            <w:sz w:val="22"/>
            <w:szCs w:val="22"/>
          </w:rPr>
          <w:tab/>
        </w:r>
        <w:r w:rsidRPr="00FB031A">
          <w:rPr>
            <w:rStyle w:val="Hyperlink"/>
            <w:noProof/>
          </w:rPr>
          <w:t>Case Building Process:</w:t>
        </w:r>
        <w:r>
          <w:rPr>
            <w:noProof/>
            <w:webHidden/>
          </w:rPr>
          <w:tab/>
        </w:r>
        <w:r>
          <w:rPr>
            <w:noProof/>
            <w:webHidden/>
          </w:rPr>
          <w:fldChar w:fldCharType="begin"/>
        </w:r>
        <w:r>
          <w:rPr>
            <w:noProof/>
            <w:webHidden/>
          </w:rPr>
          <w:instrText xml:space="preserve"> PAGEREF _Toc286726268 \h </w:instrText>
        </w:r>
        <w:r>
          <w:rPr>
            <w:noProof/>
            <w:webHidden/>
          </w:rPr>
        </w:r>
        <w:r>
          <w:rPr>
            <w:noProof/>
            <w:webHidden/>
          </w:rPr>
          <w:fldChar w:fldCharType="separate"/>
        </w:r>
        <w:r>
          <w:rPr>
            <w:noProof/>
            <w:webHidden/>
          </w:rPr>
          <w:t>10</w:t>
        </w:r>
        <w:r>
          <w:rPr>
            <w:noProof/>
            <w:webHidden/>
          </w:rPr>
          <w:fldChar w:fldCharType="end"/>
        </w:r>
      </w:hyperlink>
    </w:p>
    <w:p w:rsidR="00BB6874" w:rsidRDefault="00BB6874">
      <w:pPr>
        <w:pStyle w:val="TOC3"/>
        <w:tabs>
          <w:tab w:val="left" w:pos="1100"/>
          <w:tab w:val="right" w:leader="dot" w:pos="9350"/>
        </w:tabs>
        <w:rPr>
          <w:rFonts w:asciiTheme="minorHAnsi" w:eastAsiaTheme="minorEastAsia" w:hAnsiTheme="minorHAnsi" w:cstheme="minorBidi"/>
          <w:noProof/>
          <w:sz w:val="22"/>
          <w:szCs w:val="22"/>
        </w:rPr>
      </w:pPr>
      <w:hyperlink w:anchor="_Toc286726269" w:history="1">
        <w:r w:rsidRPr="00FB031A">
          <w:rPr>
            <w:rStyle w:val="Hyperlink"/>
            <w:noProof/>
          </w:rPr>
          <w:t>2.5.1.</w:t>
        </w:r>
        <w:r>
          <w:rPr>
            <w:rFonts w:asciiTheme="minorHAnsi" w:eastAsiaTheme="minorEastAsia" w:hAnsiTheme="minorHAnsi" w:cstheme="minorBidi"/>
            <w:noProof/>
            <w:sz w:val="22"/>
            <w:szCs w:val="22"/>
          </w:rPr>
          <w:tab/>
        </w:r>
        <w:r w:rsidRPr="00FB031A">
          <w:rPr>
            <w:rStyle w:val="Hyperlink"/>
            <w:noProof/>
          </w:rPr>
          <w:t>Case Definitions</w:t>
        </w:r>
        <w:r>
          <w:rPr>
            <w:noProof/>
            <w:webHidden/>
          </w:rPr>
          <w:tab/>
        </w:r>
        <w:r>
          <w:rPr>
            <w:noProof/>
            <w:webHidden/>
          </w:rPr>
          <w:fldChar w:fldCharType="begin"/>
        </w:r>
        <w:r>
          <w:rPr>
            <w:noProof/>
            <w:webHidden/>
          </w:rPr>
          <w:instrText xml:space="preserve"> PAGEREF _Toc286726269 \h </w:instrText>
        </w:r>
        <w:r>
          <w:rPr>
            <w:noProof/>
            <w:webHidden/>
          </w:rPr>
        </w:r>
        <w:r>
          <w:rPr>
            <w:noProof/>
            <w:webHidden/>
          </w:rPr>
          <w:fldChar w:fldCharType="separate"/>
        </w:r>
        <w:r>
          <w:rPr>
            <w:noProof/>
            <w:webHidden/>
          </w:rPr>
          <w:t>10</w:t>
        </w:r>
        <w:r>
          <w:rPr>
            <w:noProof/>
            <w:webHidden/>
          </w:rPr>
          <w:fldChar w:fldCharType="end"/>
        </w:r>
      </w:hyperlink>
    </w:p>
    <w:p w:rsidR="00BB6874" w:rsidRDefault="00BB6874">
      <w:pPr>
        <w:pStyle w:val="TOC3"/>
        <w:tabs>
          <w:tab w:val="left" w:pos="1100"/>
          <w:tab w:val="right" w:leader="dot" w:pos="9350"/>
        </w:tabs>
        <w:rPr>
          <w:rFonts w:asciiTheme="minorHAnsi" w:eastAsiaTheme="minorEastAsia" w:hAnsiTheme="minorHAnsi" w:cstheme="minorBidi"/>
          <w:noProof/>
          <w:sz w:val="22"/>
          <w:szCs w:val="22"/>
        </w:rPr>
      </w:pPr>
      <w:hyperlink w:anchor="_Toc286726270" w:history="1">
        <w:r w:rsidRPr="00FB031A">
          <w:rPr>
            <w:rStyle w:val="Hyperlink"/>
            <w:noProof/>
          </w:rPr>
          <w:t>2.5.2.</w:t>
        </w:r>
        <w:r>
          <w:rPr>
            <w:rFonts w:asciiTheme="minorHAnsi" w:eastAsiaTheme="minorEastAsia" w:hAnsiTheme="minorHAnsi" w:cstheme="minorBidi"/>
            <w:noProof/>
            <w:sz w:val="22"/>
            <w:szCs w:val="22"/>
          </w:rPr>
          <w:tab/>
        </w:r>
        <w:r w:rsidRPr="00FB031A">
          <w:rPr>
            <w:rStyle w:val="Hyperlink"/>
            <w:noProof/>
          </w:rPr>
          <w:t>Entity Responsibilities</w:t>
        </w:r>
        <w:r>
          <w:rPr>
            <w:noProof/>
            <w:webHidden/>
          </w:rPr>
          <w:tab/>
        </w:r>
        <w:r>
          <w:rPr>
            <w:noProof/>
            <w:webHidden/>
          </w:rPr>
          <w:fldChar w:fldCharType="begin"/>
        </w:r>
        <w:r>
          <w:rPr>
            <w:noProof/>
            <w:webHidden/>
          </w:rPr>
          <w:instrText xml:space="preserve"> PAGEREF _Toc286726270 \h </w:instrText>
        </w:r>
        <w:r>
          <w:rPr>
            <w:noProof/>
            <w:webHidden/>
          </w:rPr>
        </w:r>
        <w:r>
          <w:rPr>
            <w:noProof/>
            <w:webHidden/>
          </w:rPr>
          <w:fldChar w:fldCharType="separate"/>
        </w:r>
        <w:r>
          <w:rPr>
            <w:noProof/>
            <w:webHidden/>
          </w:rPr>
          <w:t>11</w:t>
        </w:r>
        <w:r>
          <w:rPr>
            <w:noProof/>
            <w:webHidden/>
          </w:rPr>
          <w:fldChar w:fldCharType="end"/>
        </w:r>
      </w:hyperlink>
    </w:p>
    <w:p w:rsidR="00BB6874" w:rsidRDefault="00BB6874">
      <w:pPr>
        <w:pStyle w:val="TOC3"/>
        <w:tabs>
          <w:tab w:val="left" w:pos="1100"/>
          <w:tab w:val="right" w:leader="dot" w:pos="9350"/>
        </w:tabs>
        <w:rPr>
          <w:rFonts w:asciiTheme="minorHAnsi" w:eastAsiaTheme="minorEastAsia" w:hAnsiTheme="minorHAnsi" w:cstheme="minorBidi"/>
          <w:noProof/>
          <w:sz w:val="22"/>
          <w:szCs w:val="22"/>
        </w:rPr>
      </w:pPr>
      <w:hyperlink w:anchor="_Toc286726271" w:history="1">
        <w:r w:rsidRPr="00FB031A">
          <w:rPr>
            <w:rStyle w:val="Hyperlink"/>
            <w:noProof/>
          </w:rPr>
          <w:t>2.5.3.</w:t>
        </w:r>
        <w:r>
          <w:rPr>
            <w:rFonts w:asciiTheme="minorHAnsi" w:eastAsiaTheme="minorEastAsia" w:hAnsiTheme="minorHAnsi" w:cstheme="minorBidi"/>
            <w:noProof/>
            <w:sz w:val="22"/>
            <w:szCs w:val="22"/>
          </w:rPr>
          <w:tab/>
        </w:r>
        <w:r w:rsidRPr="00FB031A">
          <w:rPr>
            <w:rStyle w:val="Hyperlink"/>
            <w:noProof/>
          </w:rPr>
          <w:t>Data Set A</w:t>
        </w:r>
        <w:r>
          <w:rPr>
            <w:noProof/>
            <w:webHidden/>
          </w:rPr>
          <w:tab/>
        </w:r>
        <w:r>
          <w:rPr>
            <w:noProof/>
            <w:webHidden/>
          </w:rPr>
          <w:fldChar w:fldCharType="begin"/>
        </w:r>
        <w:r>
          <w:rPr>
            <w:noProof/>
            <w:webHidden/>
          </w:rPr>
          <w:instrText xml:space="preserve"> PAGEREF _Toc286726271 \h </w:instrText>
        </w:r>
        <w:r>
          <w:rPr>
            <w:noProof/>
            <w:webHidden/>
          </w:rPr>
        </w:r>
        <w:r>
          <w:rPr>
            <w:noProof/>
            <w:webHidden/>
          </w:rPr>
          <w:fldChar w:fldCharType="separate"/>
        </w:r>
        <w:r>
          <w:rPr>
            <w:noProof/>
            <w:webHidden/>
          </w:rPr>
          <w:t>14</w:t>
        </w:r>
        <w:r>
          <w:rPr>
            <w:noProof/>
            <w:webHidden/>
          </w:rPr>
          <w:fldChar w:fldCharType="end"/>
        </w:r>
      </w:hyperlink>
    </w:p>
    <w:p w:rsidR="00BB6874" w:rsidRDefault="00BB6874">
      <w:pPr>
        <w:pStyle w:val="TOC3"/>
        <w:tabs>
          <w:tab w:val="left" w:pos="1100"/>
          <w:tab w:val="right" w:leader="dot" w:pos="9350"/>
        </w:tabs>
        <w:rPr>
          <w:rFonts w:asciiTheme="minorHAnsi" w:eastAsiaTheme="minorEastAsia" w:hAnsiTheme="minorHAnsi" w:cstheme="minorBidi"/>
          <w:noProof/>
          <w:sz w:val="22"/>
          <w:szCs w:val="22"/>
        </w:rPr>
      </w:pPr>
      <w:hyperlink w:anchor="_Toc286726272" w:history="1">
        <w:r w:rsidRPr="00FB031A">
          <w:rPr>
            <w:rStyle w:val="Hyperlink"/>
            <w:noProof/>
          </w:rPr>
          <w:t>2.5.4.</w:t>
        </w:r>
        <w:r>
          <w:rPr>
            <w:rFonts w:asciiTheme="minorHAnsi" w:eastAsiaTheme="minorEastAsia" w:hAnsiTheme="minorHAnsi" w:cstheme="minorBidi"/>
            <w:noProof/>
            <w:sz w:val="22"/>
            <w:szCs w:val="22"/>
          </w:rPr>
          <w:tab/>
        </w:r>
        <w:r w:rsidRPr="00FB031A">
          <w:rPr>
            <w:rStyle w:val="Hyperlink"/>
            <w:noProof/>
          </w:rPr>
          <w:t>Data Set B</w:t>
        </w:r>
        <w:r>
          <w:rPr>
            <w:noProof/>
            <w:webHidden/>
          </w:rPr>
          <w:tab/>
        </w:r>
        <w:r>
          <w:rPr>
            <w:noProof/>
            <w:webHidden/>
          </w:rPr>
          <w:fldChar w:fldCharType="begin"/>
        </w:r>
        <w:r>
          <w:rPr>
            <w:noProof/>
            <w:webHidden/>
          </w:rPr>
          <w:instrText xml:space="preserve"> PAGEREF _Toc286726272 \h </w:instrText>
        </w:r>
        <w:r>
          <w:rPr>
            <w:noProof/>
            <w:webHidden/>
          </w:rPr>
        </w:r>
        <w:r>
          <w:rPr>
            <w:noProof/>
            <w:webHidden/>
          </w:rPr>
          <w:fldChar w:fldCharType="separate"/>
        </w:r>
        <w:r>
          <w:rPr>
            <w:noProof/>
            <w:webHidden/>
          </w:rPr>
          <w:t>16</w:t>
        </w:r>
        <w:r>
          <w:rPr>
            <w:noProof/>
            <w:webHidden/>
          </w:rPr>
          <w:fldChar w:fldCharType="end"/>
        </w:r>
      </w:hyperlink>
    </w:p>
    <w:p w:rsidR="00BB6874" w:rsidRDefault="00BB6874">
      <w:pPr>
        <w:pStyle w:val="TOC3"/>
        <w:tabs>
          <w:tab w:val="left" w:pos="1100"/>
          <w:tab w:val="right" w:leader="dot" w:pos="9350"/>
        </w:tabs>
        <w:rPr>
          <w:rFonts w:asciiTheme="minorHAnsi" w:eastAsiaTheme="minorEastAsia" w:hAnsiTheme="minorHAnsi" w:cstheme="minorBidi"/>
          <w:noProof/>
          <w:sz w:val="22"/>
          <w:szCs w:val="22"/>
        </w:rPr>
      </w:pPr>
      <w:hyperlink w:anchor="_Toc286726273" w:history="1">
        <w:r w:rsidRPr="00FB031A">
          <w:rPr>
            <w:rStyle w:val="Hyperlink"/>
            <w:noProof/>
          </w:rPr>
          <w:t>2.5.5.</w:t>
        </w:r>
        <w:r>
          <w:rPr>
            <w:rFonts w:asciiTheme="minorHAnsi" w:eastAsiaTheme="minorEastAsia" w:hAnsiTheme="minorHAnsi" w:cstheme="minorBidi"/>
            <w:noProof/>
            <w:sz w:val="22"/>
            <w:szCs w:val="22"/>
          </w:rPr>
          <w:tab/>
        </w:r>
        <w:r w:rsidRPr="00FB031A">
          <w:rPr>
            <w:rStyle w:val="Hyperlink"/>
            <w:noProof/>
          </w:rPr>
          <w:t>Transition from Completed Build to Next Case Build</w:t>
        </w:r>
        <w:r>
          <w:rPr>
            <w:noProof/>
            <w:webHidden/>
          </w:rPr>
          <w:tab/>
        </w:r>
        <w:r>
          <w:rPr>
            <w:noProof/>
            <w:webHidden/>
          </w:rPr>
          <w:fldChar w:fldCharType="begin"/>
        </w:r>
        <w:r>
          <w:rPr>
            <w:noProof/>
            <w:webHidden/>
          </w:rPr>
          <w:instrText xml:space="preserve"> PAGEREF _Toc286726273 \h </w:instrText>
        </w:r>
        <w:r>
          <w:rPr>
            <w:noProof/>
            <w:webHidden/>
          </w:rPr>
        </w:r>
        <w:r>
          <w:rPr>
            <w:noProof/>
            <w:webHidden/>
          </w:rPr>
          <w:fldChar w:fldCharType="separate"/>
        </w:r>
        <w:r>
          <w:rPr>
            <w:noProof/>
            <w:webHidden/>
          </w:rPr>
          <w:t>18</w:t>
        </w:r>
        <w:r>
          <w:rPr>
            <w:noProof/>
            <w:webHidden/>
          </w:rPr>
          <w:fldChar w:fldCharType="end"/>
        </w:r>
      </w:hyperlink>
    </w:p>
    <w:p w:rsidR="00BB6874" w:rsidRDefault="00BB6874">
      <w:pPr>
        <w:pStyle w:val="TOC3"/>
        <w:tabs>
          <w:tab w:val="left" w:pos="1100"/>
          <w:tab w:val="right" w:leader="dot" w:pos="9350"/>
        </w:tabs>
        <w:rPr>
          <w:rFonts w:asciiTheme="minorHAnsi" w:eastAsiaTheme="minorEastAsia" w:hAnsiTheme="minorHAnsi" w:cstheme="minorBidi"/>
          <w:noProof/>
          <w:sz w:val="22"/>
          <w:szCs w:val="22"/>
        </w:rPr>
      </w:pPr>
      <w:hyperlink w:anchor="_Toc286726274" w:history="1">
        <w:r w:rsidRPr="00FB031A">
          <w:rPr>
            <w:rStyle w:val="Hyperlink"/>
            <w:noProof/>
          </w:rPr>
          <w:t>2.5.6.</w:t>
        </w:r>
        <w:r>
          <w:rPr>
            <w:rFonts w:asciiTheme="minorHAnsi" w:eastAsiaTheme="minorEastAsia" w:hAnsiTheme="minorHAnsi" w:cstheme="minorBidi"/>
            <w:noProof/>
            <w:sz w:val="22"/>
            <w:szCs w:val="22"/>
          </w:rPr>
          <w:tab/>
        </w:r>
        <w:r w:rsidRPr="00FB031A">
          <w:rPr>
            <w:rStyle w:val="Hyperlink"/>
            <w:noProof/>
          </w:rPr>
          <w:t>TPIT Updates to Cases Created Outside MOD</w:t>
        </w:r>
        <w:r>
          <w:rPr>
            <w:noProof/>
            <w:webHidden/>
          </w:rPr>
          <w:tab/>
        </w:r>
        <w:r>
          <w:rPr>
            <w:noProof/>
            <w:webHidden/>
          </w:rPr>
          <w:fldChar w:fldCharType="begin"/>
        </w:r>
        <w:r>
          <w:rPr>
            <w:noProof/>
            <w:webHidden/>
          </w:rPr>
          <w:instrText xml:space="preserve"> PAGEREF _Toc286726274 \h </w:instrText>
        </w:r>
        <w:r>
          <w:rPr>
            <w:noProof/>
            <w:webHidden/>
          </w:rPr>
        </w:r>
        <w:r>
          <w:rPr>
            <w:noProof/>
            <w:webHidden/>
          </w:rPr>
          <w:fldChar w:fldCharType="separate"/>
        </w:r>
        <w:r>
          <w:rPr>
            <w:noProof/>
            <w:webHidden/>
          </w:rPr>
          <w:t>19</w:t>
        </w:r>
        <w:r>
          <w:rPr>
            <w:noProof/>
            <w:webHidden/>
          </w:rPr>
          <w:fldChar w:fldCharType="end"/>
        </w:r>
      </w:hyperlink>
    </w:p>
    <w:p w:rsidR="00C22552" w:rsidRDefault="00E862A4">
      <w:r>
        <w:fldChar w:fldCharType="end"/>
      </w:r>
    </w:p>
    <w:p w:rsidR="00C22552" w:rsidRDefault="00C22552">
      <w:pPr>
        <w:spacing w:after="200" w:line="276" w:lineRule="auto"/>
        <w:rPr>
          <w:rStyle w:val="BookTitle"/>
          <w:rFonts w:ascii="Arial" w:eastAsia="Times New Roman" w:hAnsi="Arial" w:cs="Arial"/>
          <w:kern w:val="28"/>
          <w:sz w:val="28"/>
          <w:szCs w:val="52"/>
        </w:rPr>
      </w:pPr>
      <w:r>
        <w:rPr>
          <w:rStyle w:val="BookTitle"/>
          <w:rFonts w:ascii="Arial" w:hAnsi="Arial" w:cs="Arial"/>
        </w:rPr>
        <w:br w:type="page"/>
      </w:r>
    </w:p>
    <w:p w:rsidR="00C22552" w:rsidRPr="00B32826" w:rsidRDefault="00C22552" w:rsidP="00695135">
      <w:pPr>
        <w:pStyle w:val="Title"/>
        <w:rPr>
          <w:rFonts w:ascii="Arial" w:hAnsi="Arial" w:cs="Arial"/>
        </w:rPr>
      </w:pPr>
      <w:r w:rsidRPr="00B32826">
        <w:rPr>
          <w:rStyle w:val="BookTitle"/>
          <w:rFonts w:ascii="Arial" w:hAnsi="Arial" w:cs="Arial"/>
        </w:rPr>
        <w:lastRenderedPageBreak/>
        <w:t>SECTION</w:t>
      </w:r>
      <w:r w:rsidRPr="00B32826">
        <w:rPr>
          <w:rFonts w:ascii="Arial" w:hAnsi="Arial" w:cs="Arial"/>
        </w:rPr>
        <w:t xml:space="preserve"> 2.0 – </w:t>
      </w:r>
      <w:smartTag w:uri="urn:schemas-microsoft-com:office:smarttags" w:element="place">
        <w:smartTag w:uri="urn:schemas-microsoft-com:office:smarttags" w:element="PlaceName">
          <w:r w:rsidRPr="00B32826">
            <w:rPr>
              <w:rFonts w:ascii="Arial" w:hAnsi="Arial" w:cs="Arial"/>
            </w:rPr>
            <w:t>SSWG</w:t>
          </w:r>
        </w:smartTag>
        <w:r w:rsidRPr="00B32826">
          <w:rPr>
            <w:rFonts w:ascii="Arial" w:hAnsi="Arial" w:cs="Arial"/>
          </w:rPr>
          <w:t xml:space="preserve"> </w:t>
        </w:r>
        <w:smartTag w:uri="urn:schemas-microsoft-com:office:smarttags" w:element="PlaceName">
          <w:r w:rsidRPr="00B32826">
            <w:rPr>
              <w:rFonts w:ascii="Arial" w:hAnsi="Arial" w:cs="Arial"/>
            </w:rPr>
            <w:t>Case</w:t>
          </w:r>
        </w:smartTag>
        <w:r w:rsidRPr="00B32826">
          <w:rPr>
            <w:rFonts w:ascii="Arial" w:hAnsi="Arial" w:cs="Arial"/>
          </w:rPr>
          <w:t xml:space="preserve"> </w:t>
        </w:r>
        <w:smartTag w:uri="urn:schemas-microsoft-com:office:smarttags" w:element="PlaceType">
          <w:r w:rsidRPr="00B32826">
            <w:rPr>
              <w:rFonts w:ascii="Arial" w:hAnsi="Arial" w:cs="Arial"/>
            </w:rPr>
            <w:t>Building</w:t>
          </w:r>
        </w:smartTag>
      </w:smartTag>
      <w:r w:rsidRPr="00B32826">
        <w:rPr>
          <w:rFonts w:ascii="Arial" w:hAnsi="Arial" w:cs="Arial"/>
        </w:rPr>
        <w:t xml:space="preserve"> Procedures and Schedules</w:t>
      </w:r>
    </w:p>
    <w:p w:rsidR="00C22552" w:rsidRPr="00B32826" w:rsidRDefault="00C22552" w:rsidP="009D07F9">
      <w:pPr>
        <w:pStyle w:val="Heading2"/>
      </w:pPr>
      <w:bookmarkStart w:id="2" w:name="_Toc286726258"/>
      <w:r>
        <w:t>O</w:t>
      </w:r>
      <w:r w:rsidRPr="009D07F9">
        <w:t>v</w:t>
      </w:r>
      <w:r>
        <w:t>erview</w:t>
      </w:r>
      <w:bookmarkEnd w:id="2"/>
    </w:p>
    <w:p w:rsidR="001D10B7" w:rsidRDefault="00C22552" w:rsidP="00F173DB">
      <w:pPr>
        <w:pStyle w:val="BodyText2"/>
      </w:pPr>
      <w:r w:rsidRPr="00F173DB">
        <w:t>SSWG</w:t>
      </w:r>
      <w:r w:rsidRPr="00351EFD">
        <w:t xml:space="preserve"> will create a seed-case for the April 2011 case build</w:t>
      </w:r>
      <w:r>
        <w:t>ing</w:t>
      </w:r>
      <w:r w:rsidRPr="00351EFD">
        <w:t xml:space="preserve"> process</w:t>
      </w:r>
      <w:r w:rsidR="001D10B7">
        <w:t xml:space="preserve"> called the Topology Processor Mirror Case</w:t>
      </w:r>
      <w:r w:rsidRPr="00351EFD">
        <w:t xml:space="preserve"> </w:t>
      </w:r>
      <w:r w:rsidR="00B96ADB">
        <w:t>and name</w:t>
      </w:r>
      <w:r w:rsidR="001D10B7">
        <w:t>d and defined as</w:t>
      </w:r>
      <w:r w:rsidR="002E208E">
        <w:t xml:space="preserve"> </w:t>
      </w:r>
      <w:r w:rsidRPr="00351EFD">
        <w:t>the “TP-Mirror Case”</w:t>
      </w:r>
      <w:r w:rsidR="00B96ADB">
        <w:t>.</w:t>
      </w:r>
      <w:r w:rsidRPr="00351EFD">
        <w:t xml:space="preserve"> The initial TP-Mirror Case will be created by modifying </w:t>
      </w:r>
      <w:r w:rsidR="00B96ADB">
        <w:t xml:space="preserve">line impedances, ratings, bus and branches in </w:t>
      </w:r>
      <w:r w:rsidRPr="00351EFD">
        <w:t>the 11DSA Spring SSWG basecase</w:t>
      </w:r>
      <w:r w:rsidR="00B96ADB">
        <w:t>.</w:t>
      </w:r>
      <w:r w:rsidR="001D10B7">
        <w:t xml:space="preserve"> These are the majority of the items that are expected to be modified, but modification of the SSWG basecase is not limited to these items.</w:t>
      </w:r>
      <w:r w:rsidR="00B96ADB">
        <w:t xml:space="preserve"> These modifications should help</w:t>
      </w:r>
      <w:r w:rsidRPr="00351EFD">
        <w:t xml:space="preserve"> to reconcile the modeling differences that </w:t>
      </w:r>
      <w:r w:rsidR="00B96ADB">
        <w:t xml:space="preserve">are expected to </w:t>
      </w:r>
      <w:r w:rsidRPr="00351EFD">
        <w:t>exist between the Topology Processor (TP) case and the SSWG base</w:t>
      </w:r>
      <w:r>
        <w:t xml:space="preserve"> </w:t>
      </w:r>
      <w:r w:rsidRPr="00351EFD">
        <w:t>cases</w:t>
      </w:r>
      <w:r w:rsidR="00B96ADB">
        <w:t>.</w:t>
      </w:r>
    </w:p>
    <w:p w:rsidR="00C22552" w:rsidRDefault="00C22552" w:rsidP="00F173DB">
      <w:pPr>
        <w:pStyle w:val="BodyText2"/>
      </w:pPr>
      <w:r w:rsidRPr="00351EFD">
        <w:t xml:space="preserve"> </w:t>
      </w:r>
      <w:r w:rsidR="00B96ADB">
        <w:t>A Consistency Validation Process will be defined</w:t>
      </w:r>
      <w:r w:rsidR="001D10B7">
        <w:t xml:space="preserve"> in this supplement</w:t>
      </w:r>
      <w:r w:rsidR="00B96ADB">
        <w:t xml:space="preserve"> and implemented</w:t>
      </w:r>
      <w:r w:rsidR="001D10B7">
        <w:t xml:space="preserve"> by SSWG and </w:t>
      </w:r>
      <w:r w:rsidR="00333A69">
        <w:t>ERCOT staff</w:t>
      </w:r>
      <w:r w:rsidR="00B96ADB">
        <w:t xml:space="preserve">. This </w:t>
      </w:r>
      <w:r w:rsidR="001D10B7">
        <w:t xml:space="preserve">validation </w:t>
      </w:r>
      <w:r w:rsidR="00B96ADB">
        <w:t>process will help to maintain consistency between the TP-Mirror case and the TP case.</w:t>
      </w:r>
      <w:r w:rsidRPr="00351EFD">
        <w:t xml:space="preserve"> SSWG members </w:t>
      </w:r>
      <w:r w:rsidR="00B96ADB">
        <w:t xml:space="preserve">will have the opportunity </w:t>
      </w:r>
      <w:r w:rsidR="001D10B7">
        <w:t xml:space="preserve">to use this process </w:t>
      </w:r>
      <w:r w:rsidRPr="00351EFD">
        <w:t>to view and resolve differences between the cases.</w:t>
      </w:r>
      <w:r w:rsidR="00B96ADB" w:rsidRPr="00B96ADB">
        <w:t xml:space="preserve"> </w:t>
      </w:r>
      <w:r w:rsidR="001D10B7">
        <w:t>Once modifications are completed, t</w:t>
      </w:r>
      <w:r w:rsidR="00B96ADB" w:rsidRPr="00351EFD">
        <w:t>h</w:t>
      </w:r>
      <w:r w:rsidR="00B96ADB">
        <w:t>e</w:t>
      </w:r>
      <w:r w:rsidR="00B96ADB" w:rsidRPr="00351EFD">
        <w:t xml:space="preserve"> TP-Mirror case will </w:t>
      </w:r>
      <w:r w:rsidR="001D10B7">
        <w:t xml:space="preserve">then </w:t>
      </w:r>
      <w:r w:rsidR="00B96ADB" w:rsidRPr="00351EFD">
        <w:t xml:space="preserve">become the seed-case </w:t>
      </w:r>
      <w:r w:rsidR="001D10B7">
        <w:t xml:space="preserve">and </w:t>
      </w:r>
      <w:r w:rsidR="00B96ADB" w:rsidRPr="00351EFD">
        <w:t xml:space="preserve">continue to be the seed-case for future case builds until this process </w:t>
      </w:r>
      <w:r w:rsidR="00B96ADB">
        <w:t xml:space="preserve">as described in this supplement </w:t>
      </w:r>
      <w:r w:rsidR="00333A69">
        <w:t>is superseded.</w:t>
      </w:r>
    </w:p>
    <w:p w:rsidR="000F6D1A" w:rsidRDefault="000F6D1A" w:rsidP="00F173DB">
      <w:pPr>
        <w:pStyle w:val="BodyText2"/>
      </w:pPr>
      <w:r>
        <w:t>This supplement also define</w:t>
      </w:r>
      <w:r w:rsidR="00151E6B">
        <w:t>s</w:t>
      </w:r>
      <w:r>
        <w:t xml:space="preserve"> a Case Building </w:t>
      </w:r>
      <w:r w:rsidR="00151E6B">
        <w:t>P</w:t>
      </w:r>
      <w:r>
        <w:t>rocess for Data</w:t>
      </w:r>
      <w:r w:rsidR="00762045">
        <w:t xml:space="preserve"> S</w:t>
      </w:r>
      <w:r>
        <w:t>et</w:t>
      </w:r>
      <w:r w:rsidR="00762045">
        <w:t xml:space="preserve"> </w:t>
      </w:r>
      <w:r>
        <w:t>A, Data</w:t>
      </w:r>
      <w:r w:rsidR="00762045">
        <w:t xml:space="preserve"> S</w:t>
      </w:r>
      <w:r>
        <w:t>et</w:t>
      </w:r>
      <w:r w:rsidR="00762045">
        <w:t xml:space="preserve"> </w:t>
      </w:r>
      <w:r>
        <w:t>B</w:t>
      </w:r>
      <w:r w:rsidR="00762045">
        <w:t>,</w:t>
      </w:r>
      <w:r>
        <w:t xml:space="preserve"> and TPIT case</w:t>
      </w:r>
      <w:r w:rsidR="00151E6B">
        <w:t xml:space="preserve"> updates</w:t>
      </w:r>
      <w:r>
        <w:t>. The role and usefulness of the TP Mirror case in the case creation process will be described</w:t>
      </w:r>
      <w:r w:rsidR="00151E6B">
        <w:t>. The handling of differences caused by interim-update NOMCRS and the period of time between the TP-Mirror Case creation and Data</w:t>
      </w:r>
      <w:r w:rsidR="00762045">
        <w:t xml:space="preserve"> S</w:t>
      </w:r>
      <w:r w:rsidR="00151E6B">
        <w:t xml:space="preserve">et A posting will also be addressed. Lastly, the transitioning from </w:t>
      </w:r>
      <w:r w:rsidR="00762045">
        <w:t>D</w:t>
      </w:r>
      <w:r w:rsidR="00151E6B">
        <w:t>ata</w:t>
      </w:r>
      <w:r w:rsidR="00762045">
        <w:t xml:space="preserve"> S</w:t>
      </w:r>
      <w:r w:rsidR="00151E6B">
        <w:t xml:space="preserve">et A to </w:t>
      </w:r>
      <w:r w:rsidR="00762045">
        <w:t>D</w:t>
      </w:r>
      <w:r w:rsidR="00151E6B">
        <w:t>ata</w:t>
      </w:r>
      <w:r w:rsidR="00762045">
        <w:t xml:space="preserve"> S</w:t>
      </w:r>
      <w:r w:rsidR="00151E6B">
        <w:t>et B case creation and the transitioning from Data</w:t>
      </w:r>
      <w:r w:rsidR="00762045">
        <w:t xml:space="preserve"> S</w:t>
      </w:r>
      <w:r w:rsidR="00151E6B">
        <w:t>et B to TPIT update case build will be described in this supplement.</w:t>
      </w:r>
    </w:p>
    <w:p w:rsidR="003D1946" w:rsidRPr="00351EFD" w:rsidRDefault="003D1946" w:rsidP="00F173DB">
      <w:pPr>
        <w:pStyle w:val="BodyText2"/>
      </w:pPr>
      <w:r>
        <w:t>The primary tools/software that will be used by this supplement will be Model on Demand</w:t>
      </w:r>
      <w:r w:rsidR="00762045">
        <w:t xml:space="preserve"> </w:t>
      </w:r>
      <w:r>
        <w:t xml:space="preserve">(MOD), MODFileBuilder and PSS/E. MOD is a web base application maintained by ERCOT. TDSPs will use this tool to access the TP-Mirror case and to submit modifications to the case(s). </w:t>
      </w:r>
      <w:r w:rsidR="0013706A">
        <w:t>The modifications will be put into a project file format using MODFileBuilder</w:t>
      </w:r>
      <w:r w:rsidR="00762045">
        <w:t xml:space="preserve"> which </w:t>
      </w:r>
      <w:r w:rsidR="0013706A">
        <w:t>is a new tool to most SSWG members. SSWG members will need to consult the ERCOT MOD Procedures Manual for further information. PSS/E will continue to be used in the same manner SSWG members are familiar with.</w:t>
      </w:r>
    </w:p>
    <w:p w:rsidR="00C22552" w:rsidRPr="00B32826" w:rsidRDefault="00C22552" w:rsidP="009D07F9">
      <w:pPr>
        <w:pStyle w:val="Heading2"/>
      </w:pPr>
      <w:bookmarkStart w:id="3" w:name="_Toc285577600"/>
      <w:bookmarkStart w:id="4" w:name="_Toc286726259"/>
      <w:r w:rsidRPr="00B32826">
        <w:t>Definitions and Acronyms</w:t>
      </w:r>
      <w:bookmarkEnd w:id="3"/>
      <w:bookmarkEnd w:id="4"/>
    </w:p>
    <w:p w:rsidR="00C22552" w:rsidRPr="00B32826" w:rsidRDefault="00C22552" w:rsidP="009D07F9">
      <w:pPr>
        <w:pStyle w:val="Heading3"/>
      </w:pPr>
      <w:bookmarkStart w:id="5" w:name="_Toc285577601"/>
      <w:bookmarkStart w:id="6" w:name="_Toc286726260"/>
      <w:r w:rsidRPr="009D07F9">
        <w:t>Definitions</w:t>
      </w:r>
      <w:bookmarkEnd w:id="5"/>
      <w:bookmarkEnd w:id="6"/>
    </w:p>
    <w:p w:rsidR="00C22552" w:rsidRDefault="00C22552" w:rsidP="00B807F6">
      <w:pPr>
        <w:pStyle w:val="BodyTextIndent3"/>
        <w:ind w:left="2880"/>
      </w:pPr>
      <w:r>
        <w:t>TP-Mirror</w:t>
      </w:r>
      <w:r w:rsidRPr="00B32826">
        <w:t>:</w:t>
      </w:r>
      <w:r w:rsidRPr="00B32826">
        <w:tab/>
        <w:t xml:space="preserve">Topology Processor Mirror case. The TP-Mirror case will be developed by SSWG by modifying the 11DSA Spring case to, where reasonable, </w:t>
      </w:r>
      <w:r>
        <w:t>resembles</w:t>
      </w:r>
      <w:r w:rsidRPr="00B32826">
        <w:t xml:space="preserve"> the topology, ratings, and impedance of the Topology </w:t>
      </w:r>
      <w:r w:rsidRPr="00B32826">
        <w:lastRenderedPageBreak/>
        <w:t>Processor output case. The TP-Mirror case will be the seed case for all MOD work using the Option 2 method. This case will not include any generation, load or device control profiles.</w:t>
      </w:r>
    </w:p>
    <w:p w:rsidR="00C22552" w:rsidRDefault="00C22552" w:rsidP="00B807F6">
      <w:pPr>
        <w:pStyle w:val="BodyTextIndent3"/>
        <w:ind w:left="2880"/>
      </w:pPr>
      <w:r w:rsidRPr="00B32826">
        <w:t>Consistency PMCR:</w:t>
      </w:r>
      <w:r w:rsidRPr="00B32826">
        <w:tab/>
        <w:t>A planning model change submitted through MOD that is to be applied to the TP-Mirror case to improve the consistency of the TP-Mirror case versu</w:t>
      </w:r>
      <w:r>
        <w:t>s the Topology Processor case.</w:t>
      </w:r>
    </w:p>
    <w:p w:rsidR="00C97EE1" w:rsidRDefault="00333A69" w:rsidP="00C97EE1">
      <w:pPr>
        <w:pStyle w:val="BodyTextIndent3"/>
        <w:ind w:left="2880"/>
      </w:pPr>
      <w:r>
        <w:t>ERCOT MOD Manual:</w:t>
      </w:r>
      <w:r>
        <w:tab/>
      </w:r>
      <w:r w:rsidR="00C97EE1">
        <w:t>Also known as Planning Mode Design Guidelines &amp; Expecta</w:t>
      </w:r>
      <w:r w:rsidR="002E208E">
        <w:t>t</w:t>
      </w:r>
      <w:r w:rsidR="00C97EE1">
        <w:t>ions. Manual that describes Model on Demand</w:t>
      </w:r>
      <w:r w:rsidR="00762045">
        <w:t xml:space="preserve"> </w:t>
      </w:r>
      <w:r w:rsidR="00C97EE1">
        <w:t>(MOD), MODFileBuilder and naming conventions for cases.</w:t>
      </w:r>
    </w:p>
    <w:p w:rsidR="00C22552" w:rsidRDefault="00C22552" w:rsidP="00B807F6">
      <w:pPr>
        <w:pStyle w:val="BodyTextIndent3"/>
        <w:ind w:left="2880"/>
      </w:pPr>
      <w:r>
        <w:t>PROFILE:</w:t>
      </w:r>
      <w:r>
        <w:tab/>
      </w:r>
      <w:r w:rsidRPr="00B32826">
        <w:t xml:space="preserve">Information submitted by TSPs </w:t>
      </w:r>
      <w:r>
        <w:t xml:space="preserve">in a RAWD format in order to build cases.  Such profiles include </w:t>
      </w:r>
      <w:r w:rsidR="00762045">
        <w:t>“L</w:t>
      </w:r>
      <w:r>
        <w:t xml:space="preserve">oad </w:t>
      </w:r>
      <w:r w:rsidR="00762045">
        <w:t>G</w:t>
      </w:r>
      <w:r>
        <w:t>eneration</w:t>
      </w:r>
      <w:r w:rsidR="00762045">
        <w:t>”</w:t>
      </w:r>
      <w:r>
        <w:t xml:space="preserve"> and </w:t>
      </w:r>
      <w:r w:rsidR="00762045">
        <w:t>“D</w:t>
      </w:r>
      <w:r>
        <w:t xml:space="preserve">evice </w:t>
      </w:r>
      <w:r w:rsidR="00762045">
        <w:t>C</w:t>
      </w:r>
      <w:r>
        <w:t>ontrol</w:t>
      </w:r>
      <w:r w:rsidR="00762045">
        <w:t>” and are described more fully in the ERCOT MOD Manual</w:t>
      </w:r>
      <w:r>
        <w:t>.</w:t>
      </w:r>
    </w:p>
    <w:p w:rsidR="00C22552" w:rsidRPr="00B32826" w:rsidRDefault="00C22552" w:rsidP="00B807F6">
      <w:pPr>
        <w:pStyle w:val="BodyTextIndent3"/>
        <w:ind w:left="2880"/>
      </w:pPr>
      <w:r w:rsidRPr="00B32826">
        <w:t>STD_PMCR</w:t>
      </w:r>
      <w:r>
        <w:t>:</w:t>
      </w:r>
      <w:r w:rsidRPr="00B32826">
        <w:tab/>
        <w:t>PMCRs created to add elements that are not being processed correctly through the Topology Processor</w:t>
      </w:r>
      <w:r>
        <w:t>.</w:t>
      </w:r>
    </w:p>
    <w:p w:rsidR="00C22552" w:rsidRPr="00B32826" w:rsidRDefault="00C22552" w:rsidP="00B807F6">
      <w:pPr>
        <w:pStyle w:val="BodyTextIndent3"/>
        <w:ind w:left="2880"/>
      </w:pPr>
      <w:r w:rsidRPr="00B32826">
        <w:t>TOPOLOGY</w:t>
      </w:r>
      <w:r>
        <w:t>:</w:t>
      </w:r>
      <w:r w:rsidRPr="00B32826">
        <w:tab/>
        <w:t>The arrangement of the network, such as busses and lines</w:t>
      </w:r>
      <w:r>
        <w:t>.</w:t>
      </w:r>
    </w:p>
    <w:p w:rsidR="00C22552" w:rsidRDefault="00C22552" w:rsidP="00B807F6">
      <w:pPr>
        <w:pStyle w:val="BodyTextIndent3"/>
        <w:ind w:left="2880"/>
      </w:pPr>
      <w:r w:rsidRPr="00B32826">
        <w:t>TPMCR</w:t>
      </w:r>
      <w:r>
        <w:t>:</w:t>
      </w:r>
      <w:r w:rsidRPr="00B32826">
        <w:tab/>
        <w:t>A planning model change submitted through MOD that is to be applied to the 11DSA Spring case to create the TP-Mirror case.</w:t>
      </w:r>
      <w:bookmarkStart w:id="7" w:name="_Toc285577602"/>
    </w:p>
    <w:p w:rsidR="0013706A" w:rsidRDefault="0026081B" w:rsidP="00B807F6">
      <w:pPr>
        <w:pStyle w:val="BodyTextIndent3"/>
        <w:ind w:left="2880"/>
      </w:pPr>
      <w:r>
        <w:t xml:space="preserve">TP </w:t>
      </w:r>
      <w:r w:rsidR="002E208E">
        <w:t>CASE (</w:t>
      </w:r>
      <w:r>
        <w:t>TP):</w:t>
      </w:r>
      <w:r>
        <w:tab/>
      </w:r>
      <w:r w:rsidR="005B4E5C">
        <w:t>Topology Processor</w:t>
      </w:r>
      <w:r w:rsidR="0013706A">
        <w:t xml:space="preserve"> case. Case that is produced by </w:t>
      </w:r>
      <w:r w:rsidR="00333A69">
        <w:t>ERCOT staff</w:t>
      </w:r>
      <w:r w:rsidR="0013706A">
        <w:t xml:space="preserve"> which contains data that represents the ERCOT network operations model</w:t>
      </w:r>
    </w:p>
    <w:p w:rsidR="00C97EE1" w:rsidRPr="005B4E5C" w:rsidRDefault="0026081B" w:rsidP="00B807F6">
      <w:pPr>
        <w:pStyle w:val="BodyTextIndent3"/>
        <w:ind w:left="2880"/>
      </w:pPr>
      <w:r>
        <w:t>TRANSMISSION IN-SERVICE DATE:</w:t>
      </w:r>
      <w:r>
        <w:tab/>
      </w:r>
      <w:r w:rsidR="008C521D" w:rsidRPr="008C521D">
        <w:t>Date project will be energized will be used as the phase date when creating PMCRs.</w:t>
      </w:r>
    </w:p>
    <w:p w:rsidR="00C22552" w:rsidRPr="00B32826" w:rsidRDefault="00C22552" w:rsidP="00B807F6">
      <w:pPr>
        <w:pStyle w:val="Heading3"/>
      </w:pPr>
      <w:bookmarkStart w:id="8" w:name="_Toc286726261"/>
      <w:r w:rsidRPr="00B32826">
        <w:t>Acronyms</w:t>
      </w:r>
      <w:bookmarkEnd w:id="7"/>
      <w:bookmarkEnd w:id="8"/>
    </w:p>
    <w:p w:rsidR="00C22552" w:rsidRPr="00B32826" w:rsidRDefault="00C22552" w:rsidP="00B807F6">
      <w:pPr>
        <w:pStyle w:val="BodyTextIndent3"/>
        <w:ind w:left="2880"/>
      </w:pPr>
      <w:r>
        <w:t>ALDR</w:t>
      </w:r>
      <w:r>
        <w:tab/>
      </w:r>
      <w:r>
        <w:tab/>
      </w:r>
      <w:r w:rsidRPr="00B32826">
        <w:t>Annual Load Data Request</w:t>
      </w:r>
    </w:p>
    <w:p w:rsidR="00C22552" w:rsidRPr="00B32826" w:rsidRDefault="00C22552" w:rsidP="00B807F6">
      <w:pPr>
        <w:pStyle w:val="BodyTextIndent3"/>
        <w:ind w:left="2880"/>
      </w:pPr>
      <w:r w:rsidRPr="00B32826">
        <w:t>CPMCR</w:t>
      </w:r>
      <w:r>
        <w:tab/>
      </w:r>
      <w:r w:rsidR="00333A69">
        <w:tab/>
      </w:r>
      <w:r w:rsidRPr="00B32826">
        <w:t>Consistency PMCR</w:t>
      </w:r>
    </w:p>
    <w:p w:rsidR="00C22552" w:rsidRPr="00B32826" w:rsidRDefault="00C22552" w:rsidP="00B807F6">
      <w:pPr>
        <w:pStyle w:val="BodyTextIndent3"/>
        <w:ind w:left="2880"/>
      </w:pPr>
      <w:r w:rsidRPr="00B32826">
        <w:t>DSA</w:t>
      </w:r>
      <w:r w:rsidRPr="00B32826">
        <w:tab/>
      </w:r>
      <w:r>
        <w:tab/>
      </w:r>
      <w:r w:rsidRPr="00B32826">
        <w:t>Data Set A</w:t>
      </w:r>
    </w:p>
    <w:p w:rsidR="00C22552" w:rsidRPr="00B32826" w:rsidRDefault="00C22552" w:rsidP="00B807F6">
      <w:pPr>
        <w:pStyle w:val="BodyTextIndent3"/>
        <w:ind w:left="2880"/>
      </w:pPr>
      <w:r w:rsidRPr="00B32826">
        <w:t>DSB</w:t>
      </w:r>
      <w:r>
        <w:tab/>
      </w:r>
      <w:r w:rsidRPr="00B32826">
        <w:tab/>
        <w:t>Data Set B</w:t>
      </w:r>
    </w:p>
    <w:p w:rsidR="00C22552" w:rsidRPr="00B32826" w:rsidRDefault="00C22552" w:rsidP="00B807F6">
      <w:pPr>
        <w:pStyle w:val="BodyTextIndent3"/>
        <w:ind w:left="2880"/>
      </w:pPr>
      <w:r w:rsidRPr="00B32826">
        <w:t>GR</w:t>
      </w:r>
      <w:r w:rsidRPr="00B32826">
        <w:tab/>
      </w:r>
      <w:r>
        <w:tab/>
      </w:r>
      <w:r w:rsidRPr="00B32826">
        <w:t>Generation Resource</w:t>
      </w:r>
    </w:p>
    <w:p w:rsidR="00C22552" w:rsidRDefault="00C22552" w:rsidP="00B807F6">
      <w:pPr>
        <w:pStyle w:val="BodyTextIndent3"/>
        <w:ind w:left="2880"/>
      </w:pPr>
      <w:r w:rsidRPr="00B32826">
        <w:t>IMM</w:t>
      </w:r>
      <w:r w:rsidRPr="00B32826">
        <w:tab/>
      </w:r>
      <w:r>
        <w:tab/>
      </w:r>
      <w:r w:rsidRPr="00B32826">
        <w:t>Information Model Manager</w:t>
      </w:r>
    </w:p>
    <w:p w:rsidR="00C22552" w:rsidRPr="00B32826" w:rsidRDefault="00C22552" w:rsidP="00B807F6">
      <w:pPr>
        <w:pStyle w:val="BodyTextIndent3"/>
        <w:ind w:left="2880"/>
      </w:pPr>
      <w:r w:rsidRPr="00B32826">
        <w:t>MOD</w:t>
      </w:r>
      <w:r w:rsidRPr="00B32826">
        <w:tab/>
      </w:r>
      <w:r>
        <w:tab/>
      </w:r>
      <w:r w:rsidRPr="00B32826">
        <w:t>Model on Demand</w:t>
      </w:r>
    </w:p>
    <w:p w:rsidR="00C22552" w:rsidRPr="00B32826" w:rsidRDefault="00C22552" w:rsidP="00B807F6">
      <w:pPr>
        <w:pStyle w:val="BodyTextIndent3"/>
        <w:ind w:left="2880"/>
      </w:pPr>
      <w:r w:rsidRPr="00B32826">
        <w:t>NERC</w:t>
      </w:r>
      <w:r w:rsidRPr="00B32826">
        <w:tab/>
      </w:r>
      <w:r>
        <w:tab/>
      </w:r>
      <w:r w:rsidRPr="00B32826">
        <w:t xml:space="preserve">North American Electric Reliability Corporation </w:t>
      </w:r>
    </w:p>
    <w:p w:rsidR="00C22552" w:rsidRPr="00B32826" w:rsidRDefault="00C22552" w:rsidP="00B807F6">
      <w:pPr>
        <w:pStyle w:val="BodyTextIndent3"/>
        <w:ind w:left="2880"/>
      </w:pPr>
      <w:r w:rsidRPr="00B32826">
        <w:t>NMMS</w:t>
      </w:r>
      <w:r w:rsidRPr="00B32826">
        <w:tab/>
      </w:r>
      <w:r>
        <w:tab/>
      </w:r>
      <w:r w:rsidRPr="00B32826">
        <w:t>Network Model Management System</w:t>
      </w:r>
    </w:p>
    <w:p w:rsidR="00C22552" w:rsidRPr="00B32826" w:rsidRDefault="00C22552" w:rsidP="00B807F6">
      <w:pPr>
        <w:pStyle w:val="BodyTextIndent3"/>
        <w:ind w:left="2880"/>
      </w:pPr>
      <w:r w:rsidRPr="00B32826">
        <w:lastRenderedPageBreak/>
        <w:t>NOIE</w:t>
      </w:r>
      <w:r w:rsidRPr="00B32826">
        <w:tab/>
      </w:r>
      <w:r>
        <w:tab/>
      </w:r>
      <w:r w:rsidRPr="00B32826">
        <w:t>Non Opt In Entity</w:t>
      </w:r>
    </w:p>
    <w:p w:rsidR="00C22552" w:rsidRPr="00B32826" w:rsidRDefault="00C22552" w:rsidP="00B807F6">
      <w:pPr>
        <w:pStyle w:val="BodyTextIndent3"/>
        <w:ind w:left="2880"/>
      </w:pPr>
      <w:r>
        <w:t>NOMCR</w:t>
      </w:r>
      <w:r>
        <w:tab/>
      </w:r>
      <w:r w:rsidR="00333A69">
        <w:tab/>
      </w:r>
      <w:r w:rsidRPr="00B32826">
        <w:t>Network Operations Model Change Request</w:t>
      </w:r>
    </w:p>
    <w:p w:rsidR="00C22552" w:rsidRPr="00B32826" w:rsidRDefault="00C22552" w:rsidP="00B807F6">
      <w:pPr>
        <w:pStyle w:val="BodyTextIndent3"/>
        <w:ind w:left="2880"/>
      </w:pPr>
      <w:r w:rsidRPr="00B32826">
        <w:t>PLWG</w:t>
      </w:r>
      <w:r w:rsidRPr="00B32826">
        <w:tab/>
      </w:r>
      <w:r>
        <w:tab/>
      </w:r>
      <w:r w:rsidRPr="00B32826">
        <w:t>Planning Working Group</w:t>
      </w:r>
    </w:p>
    <w:p w:rsidR="00C22552" w:rsidRPr="00B32826" w:rsidRDefault="00C22552" w:rsidP="00B807F6">
      <w:pPr>
        <w:pStyle w:val="BodyTextIndent3"/>
        <w:ind w:left="2880"/>
      </w:pPr>
      <w:r w:rsidRPr="00B32826">
        <w:t>PMCR</w:t>
      </w:r>
      <w:r w:rsidRPr="00B32826">
        <w:tab/>
      </w:r>
      <w:r>
        <w:tab/>
      </w:r>
      <w:r w:rsidRPr="00B32826">
        <w:t>Planning Model Change Request</w:t>
      </w:r>
    </w:p>
    <w:p w:rsidR="00C22552" w:rsidRPr="00B32826" w:rsidRDefault="00C22552" w:rsidP="00B807F6">
      <w:pPr>
        <w:pStyle w:val="BodyTextIndent3"/>
        <w:ind w:left="2880"/>
      </w:pPr>
      <w:r w:rsidRPr="00B32826">
        <w:t>PSS</w:t>
      </w:r>
      <w:r>
        <w:t>/</w:t>
      </w:r>
      <w:r w:rsidRPr="00B32826">
        <w:t>E</w:t>
      </w:r>
      <w:r w:rsidRPr="00B32826">
        <w:tab/>
      </w:r>
      <w:r>
        <w:tab/>
      </w:r>
      <w:r w:rsidRPr="00B32826">
        <w:t>Power System Simulator for Engineering</w:t>
      </w:r>
    </w:p>
    <w:p w:rsidR="00C22552" w:rsidRPr="00B32826" w:rsidRDefault="00C22552" w:rsidP="00B807F6">
      <w:pPr>
        <w:pStyle w:val="BodyTextIndent3"/>
        <w:ind w:left="2880"/>
      </w:pPr>
      <w:r w:rsidRPr="00B32826">
        <w:t>PUN</w:t>
      </w:r>
      <w:r w:rsidRPr="00B32826">
        <w:tab/>
      </w:r>
      <w:r>
        <w:tab/>
      </w:r>
      <w:r w:rsidRPr="00B32826">
        <w:t>Private Utility Network</w:t>
      </w:r>
    </w:p>
    <w:p w:rsidR="00C22552" w:rsidRPr="00B32826" w:rsidRDefault="00C22552" w:rsidP="00B807F6">
      <w:pPr>
        <w:pStyle w:val="BodyTextIndent3"/>
        <w:ind w:left="2880"/>
      </w:pPr>
      <w:r w:rsidRPr="00B32826">
        <w:t>RARF</w:t>
      </w:r>
      <w:r w:rsidRPr="00B32826">
        <w:tab/>
      </w:r>
      <w:r>
        <w:tab/>
      </w:r>
      <w:r w:rsidRPr="00B32826">
        <w:t>Resource Asset Registration Form</w:t>
      </w:r>
    </w:p>
    <w:p w:rsidR="00C22552" w:rsidRPr="00B32826" w:rsidRDefault="00C22552" w:rsidP="00B807F6">
      <w:pPr>
        <w:pStyle w:val="BodyTextIndent3"/>
        <w:ind w:left="2880"/>
      </w:pPr>
      <w:r w:rsidRPr="00B32826">
        <w:t>RAWD</w:t>
      </w:r>
      <w:r w:rsidRPr="00B32826">
        <w:tab/>
      </w:r>
      <w:r>
        <w:tab/>
      </w:r>
      <w:r w:rsidRPr="00B32826">
        <w:t>Raw Data</w:t>
      </w:r>
    </w:p>
    <w:p w:rsidR="00C22552" w:rsidRPr="00B32826" w:rsidRDefault="00C22552" w:rsidP="00B807F6">
      <w:pPr>
        <w:pStyle w:val="BodyTextIndent3"/>
        <w:ind w:left="2880"/>
      </w:pPr>
      <w:r w:rsidRPr="00B32826">
        <w:t>SSWG</w:t>
      </w:r>
      <w:r w:rsidRPr="00B32826">
        <w:tab/>
      </w:r>
      <w:r>
        <w:tab/>
      </w:r>
      <w:r w:rsidRPr="00B32826">
        <w:t>Steady-State Working Group</w:t>
      </w:r>
    </w:p>
    <w:p w:rsidR="00C22552" w:rsidRPr="00B32826" w:rsidRDefault="00C22552" w:rsidP="00B807F6">
      <w:pPr>
        <w:pStyle w:val="BodyTextIndent3"/>
        <w:ind w:left="2880"/>
      </w:pPr>
      <w:r w:rsidRPr="00B32826">
        <w:t xml:space="preserve">TP </w:t>
      </w:r>
      <w:r w:rsidRPr="00B32826">
        <w:tab/>
      </w:r>
      <w:r>
        <w:tab/>
      </w:r>
      <w:r w:rsidRPr="00B32826">
        <w:t>Topology Processor</w:t>
      </w:r>
    </w:p>
    <w:p w:rsidR="00C22552" w:rsidRPr="00B32826" w:rsidRDefault="00C22552" w:rsidP="00B807F6">
      <w:pPr>
        <w:pStyle w:val="BodyTextIndent3"/>
        <w:ind w:left="2880"/>
      </w:pPr>
      <w:r w:rsidRPr="00B32826">
        <w:t>TPMCR</w:t>
      </w:r>
      <w:r w:rsidRPr="00B32826">
        <w:tab/>
      </w:r>
      <w:r>
        <w:tab/>
      </w:r>
      <w:r w:rsidRPr="00B32826">
        <w:t>Topology Processor Mirror Change Request</w:t>
      </w:r>
    </w:p>
    <w:p w:rsidR="00C22552" w:rsidRPr="00B32826" w:rsidRDefault="00C22552" w:rsidP="00B807F6">
      <w:pPr>
        <w:pStyle w:val="BodyTextIndent3"/>
        <w:ind w:left="2880"/>
      </w:pPr>
      <w:r w:rsidRPr="00B32826">
        <w:t xml:space="preserve">TSP </w:t>
      </w:r>
      <w:r w:rsidRPr="00B32826">
        <w:tab/>
      </w:r>
      <w:r>
        <w:tab/>
      </w:r>
      <w:r w:rsidRPr="00B32826">
        <w:t>Transmission Service Provider</w:t>
      </w:r>
    </w:p>
    <w:p w:rsidR="00C22552" w:rsidRPr="00B32826" w:rsidRDefault="00C22552" w:rsidP="00B807F6">
      <w:pPr>
        <w:pStyle w:val="BodyTextIndent3"/>
        <w:ind w:left="2880"/>
      </w:pPr>
      <w:r w:rsidRPr="00B32826">
        <w:t>WGR</w:t>
      </w:r>
      <w:r w:rsidRPr="00B32826">
        <w:tab/>
      </w:r>
      <w:r>
        <w:tab/>
      </w:r>
      <w:r w:rsidRPr="00B32826">
        <w:t>Wind Generation Resource</w:t>
      </w:r>
    </w:p>
    <w:p w:rsidR="00C22552" w:rsidRPr="00B32826" w:rsidRDefault="00C22552" w:rsidP="00E36007">
      <w:pPr>
        <w:pStyle w:val="Heading2"/>
      </w:pPr>
      <w:bookmarkStart w:id="9" w:name="_Toc286726262"/>
      <w:r w:rsidRPr="00B32826">
        <w:t>TP-Mirror Case Development</w:t>
      </w:r>
      <w:bookmarkEnd w:id="9"/>
    </w:p>
    <w:p w:rsidR="005E4A6A" w:rsidRDefault="00C22552" w:rsidP="00F173DB">
      <w:pPr>
        <w:pStyle w:val="BodyText2"/>
      </w:pPr>
      <w:r w:rsidRPr="00351EFD">
        <w:t>The TP-Mirror case will initially be created by SSWG by modifying the 11SPG1 case posted 2/7/2011</w:t>
      </w:r>
      <w:r w:rsidR="001D5D18">
        <w:t>, which contains all future planned projects to be energized by April 1, 2011. The TP case contains all projects with an energization date of April 1, 201</w:t>
      </w:r>
      <w:r w:rsidR="00174B51">
        <w:t>1</w:t>
      </w:r>
      <w:r w:rsidR="001D5D18">
        <w:t xml:space="preserve">. Any NOMCR </w:t>
      </w:r>
      <w:r w:rsidR="000844AC">
        <w:t>submitted</w:t>
      </w:r>
      <w:r w:rsidR="00333A69">
        <w:t xml:space="preserve"> </w:t>
      </w:r>
      <w:r w:rsidR="001D5D18">
        <w:t xml:space="preserve">after </w:t>
      </w:r>
      <w:r w:rsidR="000844AC">
        <w:t>TP case download, but with an energization date</w:t>
      </w:r>
      <w:r w:rsidR="001D5D18">
        <w:t xml:space="preserve"> </w:t>
      </w:r>
      <w:r w:rsidR="000844AC">
        <w:t xml:space="preserve">prior to April 1, 2011 </w:t>
      </w:r>
      <w:r w:rsidR="001D5D18">
        <w:t xml:space="preserve">is not included in the TP case. </w:t>
      </w:r>
      <w:r w:rsidR="005E4A6A">
        <w:t xml:space="preserve"> </w:t>
      </w:r>
      <w:r w:rsidR="000844AC">
        <w:t>The timing of these NOMCRs could cause</w:t>
      </w:r>
      <w:r w:rsidR="005E4A6A">
        <w:t xml:space="preserve"> </w:t>
      </w:r>
      <w:r w:rsidRPr="00351EFD">
        <w:t>modeling differences between the 11DSA spring case and the TP case</w:t>
      </w:r>
      <w:r w:rsidR="005E4A6A">
        <w:t xml:space="preserve">. These differences will need to be corrected during the case building process. </w:t>
      </w:r>
    </w:p>
    <w:p w:rsidR="00C22552" w:rsidRPr="00351EFD" w:rsidRDefault="009E4E4F" w:rsidP="00F173DB">
      <w:pPr>
        <w:pStyle w:val="BodyText2"/>
      </w:pPr>
      <w:r>
        <w:t xml:space="preserve">The TP-Mirror Case is created by having the </w:t>
      </w:r>
      <w:r w:rsidR="005E4A6A">
        <w:t>TSPs modify the existing 11SPG1 case</w:t>
      </w:r>
      <w:r>
        <w:t xml:space="preserve"> with TP-Mirror </w:t>
      </w:r>
      <w:r w:rsidR="005E4A6A">
        <w:t>Change Requests</w:t>
      </w:r>
      <w:r w:rsidR="00675189">
        <w:t xml:space="preserve"> </w:t>
      </w:r>
      <w:r w:rsidR="005E4A6A">
        <w:t xml:space="preserve">(TPMCR). </w:t>
      </w:r>
      <w:r>
        <w:t xml:space="preserve">These TPMCR applied to the 11SPG1 case are the modifications that create the TP-Mirror case. </w:t>
      </w:r>
      <w:r w:rsidR="00C22552" w:rsidRPr="00351EFD">
        <w:t xml:space="preserve"> The following </w:t>
      </w:r>
      <w:r w:rsidR="000844AC" w:rsidRPr="00351EFD">
        <w:t>changes</w:t>
      </w:r>
      <w:r w:rsidR="000844AC">
        <w:t>, some</w:t>
      </w:r>
      <w:r>
        <w:t xml:space="preserve"> of which </w:t>
      </w:r>
      <w:r w:rsidR="000844AC">
        <w:t>require</w:t>
      </w:r>
      <w:r>
        <w:t xml:space="preserve"> TPMCRs</w:t>
      </w:r>
      <w:r w:rsidR="00174B51">
        <w:t>,</w:t>
      </w:r>
      <w:r w:rsidR="00C22552" w:rsidRPr="00351EFD">
        <w:t xml:space="preserve"> only need to be done once in the initial TP-Mirror build.</w:t>
      </w:r>
    </w:p>
    <w:p w:rsidR="00C22552" w:rsidRPr="00351EFD" w:rsidRDefault="00C22552" w:rsidP="00DB6FC1">
      <w:pPr>
        <w:pStyle w:val="BodyTextIndent"/>
      </w:pPr>
      <w:r>
        <w:t>Convert 11DSA SPG1</w:t>
      </w:r>
      <w:r w:rsidRPr="00351EFD">
        <w:t xml:space="preserve"> case and TP case to PSS</w:t>
      </w:r>
      <w:r>
        <w:t>/</w:t>
      </w:r>
      <w:r w:rsidRPr="00351EFD">
        <w:t>E v32</w:t>
      </w:r>
      <w:r w:rsidR="0026081B">
        <w:t>.</w:t>
      </w:r>
    </w:p>
    <w:p w:rsidR="00C22552" w:rsidRDefault="00C22552" w:rsidP="00DB6FC1">
      <w:pPr>
        <w:pStyle w:val="BodyTextIndent"/>
      </w:pPr>
      <w:r w:rsidRPr="00DB6FC1">
        <w:t>TSPs add in extra busses that are in the TP case due to ownership and other issues</w:t>
      </w:r>
      <w:r w:rsidR="0026081B">
        <w:t>.</w:t>
      </w:r>
    </w:p>
    <w:p w:rsidR="00675189" w:rsidRDefault="00675189" w:rsidP="00DB6FC1">
      <w:pPr>
        <w:pStyle w:val="BodyTextIndent"/>
      </w:pPr>
      <w:r>
        <w:rPr>
          <w:rFonts w:cs="Arial"/>
        </w:rPr>
        <w:t>TSPs resolve Load ID mismatches by producing TPMCRs to match the TP case or by submitting NOMCRs to match the SSWG seed case.</w:t>
      </w:r>
      <w:r>
        <w:t xml:space="preserve"> </w:t>
      </w:r>
    </w:p>
    <w:p w:rsidR="00675189" w:rsidRDefault="00675189" w:rsidP="00DB6FC1">
      <w:pPr>
        <w:pStyle w:val="BodyTextIndent"/>
      </w:pPr>
      <w:r>
        <w:rPr>
          <w:rFonts w:cs="Arial"/>
        </w:rPr>
        <w:t>TSPs resolve Transformer model and ID mismatches by producing TPMCRs to match the TP case or by submitting NOMCRs to match the SSWG seed case.</w:t>
      </w:r>
      <w:r>
        <w:t xml:space="preserve"> </w:t>
      </w:r>
    </w:p>
    <w:p w:rsidR="00675189" w:rsidRDefault="00675189" w:rsidP="00DB6FC1">
      <w:pPr>
        <w:pStyle w:val="BodyTextIndent"/>
      </w:pPr>
      <w:r>
        <w:rPr>
          <w:rFonts w:cs="Arial"/>
        </w:rPr>
        <w:lastRenderedPageBreak/>
        <w:t>TSPs resolve ratings / impedances mismatches, using approved tolerances, by producing TPMCRs to match the TP case or by submitting NOMCRs to match the SSWG seed case.  Lower ratings can be used in planning as documented.</w:t>
      </w:r>
      <w:r>
        <w:t xml:space="preserve"> </w:t>
      </w:r>
    </w:p>
    <w:p w:rsidR="00675189" w:rsidRPr="00DB6FC1" w:rsidRDefault="00675189" w:rsidP="00DB6FC1">
      <w:pPr>
        <w:pStyle w:val="BodyTextIndent"/>
      </w:pPr>
      <w:r>
        <w:rPr>
          <w:rFonts w:cs="Arial"/>
        </w:rPr>
        <w:t>TSPs resolve circuit IDs mismatches by producing TPMCRs to match the TP case or by submitting NOMCRs to match the SSWG seed case.</w:t>
      </w:r>
      <w:r>
        <w:t xml:space="preserve"> </w:t>
      </w:r>
    </w:p>
    <w:p w:rsidR="00C22552" w:rsidRPr="00DB6FC1" w:rsidRDefault="00C22552" w:rsidP="00DB6FC1">
      <w:pPr>
        <w:pStyle w:val="BodyTextIndent"/>
      </w:pPr>
      <w:r w:rsidRPr="00DB6FC1">
        <w:t>T</w:t>
      </w:r>
      <w:r w:rsidR="0026081B">
        <w:t xml:space="preserve">SPs do not need to model BC/BO </w:t>
      </w:r>
      <w:r w:rsidRPr="00DB6FC1">
        <w:t>branch IDs in TP-Mirror case</w:t>
      </w:r>
      <w:r w:rsidR="0026081B">
        <w:t>.</w:t>
      </w:r>
    </w:p>
    <w:p w:rsidR="00C22552" w:rsidRPr="00DB6FC1" w:rsidRDefault="00333A69" w:rsidP="00DB6FC1">
      <w:pPr>
        <w:pStyle w:val="BodyTextIndent"/>
      </w:pPr>
      <w:r>
        <w:t>ERCOT staff</w:t>
      </w:r>
      <w:r w:rsidR="00C22552" w:rsidRPr="00DB6FC1">
        <w:t xml:space="preserve"> will resolve any GR data discrepancies identified and notify the connected TSP of the changes</w:t>
      </w:r>
      <w:r w:rsidR="0026081B">
        <w:t>.</w:t>
      </w:r>
    </w:p>
    <w:p w:rsidR="00C22552" w:rsidRPr="00DB6FC1" w:rsidRDefault="00333A69" w:rsidP="00DB6FC1">
      <w:pPr>
        <w:pStyle w:val="BodyTextIndent"/>
      </w:pPr>
      <w:r>
        <w:t>ERCOT staff</w:t>
      </w:r>
      <w:r w:rsidR="00C22552" w:rsidRPr="00DB6FC1">
        <w:t xml:space="preserve"> will resolve any PUN data discrepancies identified and notify the connected TSP of the changes</w:t>
      </w:r>
      <w:r w:rsidR="0026081B">
        <w:t>.</w:t>
      </w:r>
    </w:p>
    <w:p w:rsidR="00C22552" w:rsidRPr="00DB6FC1" w:rsidRDefault="00C22552" w:rsidP="00DB6FC1">
      <w:pPr>
        <w:pStyle w:val="BodyTextIndent"/>
      </w:pPr>
      <w:r w:rsidRPr="00DB6FC1">
        <w:t>All the TPMCRs will be applied and the case output to a raw file.  This is the TP-Mirror case</w:t>
      </w:r>
      <w:r w:rsidR="0026081B">
        <w:t>.</w:t>
      </w:r>
    </w:p>
    <w:p w:rsidR="00C22552" w:rsidRPr="00DB6FC1" w:rsidRDefault="00C22552" w:rsidP="00DB6FC1">
      <w:pPr>
        <w:pStyle w:val="BodyTextIndent"/>
      </w:pPr>
      <w:r w:rsidRPr="00DB6FC1">
        <w:t>Once the TP-Mirror Case is created, it will be the seed case for 12DSA case building.</w:t>
      </w:r>
    </w:p>
    <w:p w:rsidR="00C22552" w:rsidRPr="00B32826" w:rsidRDefault="00C22552" w:rsidP="00CE0767">
      <w:pPr>
        <w:pStyle w:val="Heading2"/>
      </w:pPr>
      <w:bookmarkStart w:id="10" w:name="_Toc286726263"/>
      <w:r w:rsidRPr="00B32826">
        <w:t>Consistency Validation</w:t>
      </w:r>
      <w:bookmarkEnd w:id="10"/>
    </w:p>
    <w:p w:rsidR="00C22552" w:rsidRPr="00351EFD" w:rsidRDefault="000844AC" w:rsidP="00DB6FC1">
      <w:pPr>
        <w:pStyle w:val="BodyText2"/>
      </w:pPr>
      <w:r>
        <w:t xml:space="preserve"> A </w:t>
      </w:r>
      <w:r w:rsidR="00C22552" w:rsidRPr="00351EFD">
        <w:t xml:space="preserve">comparison will be made of the </w:t>
      </w:r>
      <w:r w:rsidR="00C22552">
        <w:t>topology</w:t>
      </w:r>
      <w:r w:rsidR="00C22552" w:rsidRPr="00351EFD">
        <w:t xml:space="preserve">, impedance, and </w:t>
      </w:r>
      <w:r w:rsidR="00C22552">
        <w:t>ratings</w:t>
      </w:r>
      <w:r w:rsidR="00C22552" w:rsidRPr="00351EFD">
        <w:t xml:space="preserve"> of the TP</w:t>
      </w:r>
      <w:r w:rsidR="00C22552">
        <w:t>-Mirror</w:t>
      </w:r>
      <w:r w:rsidR="00C22552" w:rsidRPr="00351EFD">
        <w:t xml:space="preserve"> case vs. the TP case developed by the SSWG. </w:t>
      </w:r>
    </w:p>
    <w:p w:rsidR="00C22552" w:rsidRDefault="00C22552" w:rsidP="008B2BFD">
      <w:pPr>
        <w:pStyle w:val="Heading3"/>
      </w:pPr>
      <w:r>
        <w:t xml:space="preserve"> </w:t>
      </w:r>
      <w:bookmarkStart w:id="11" w:name="_Toc286726264"/>
      <w:r>
        <w:t>Reporting Metrics</w:t>
      </w:r>
      <w:bookmarkEnd w:id="11"/>
    </w:p>
    <w:p w:rsidR="00C22552" w:rsidRPr="00B32826" w:rsidRDefault="00C22552" w:rsidP="00AB1C80">
      <w:pPr>
        <w:pStyle w:val="Heading4"/>
      </w:pPr>
      <w:r w:rsidRPr="00B32826">
        <w:t>Topology</w:t>
      </w:r>
    </w:p>
    <w:p w:rsidR="00C22552" w:rsidRDefault="00C22552" w:rsidP="00AE0017">
      <w:pPr>
        <w:pStyle w:val="BodyText4"/>
        <w:numPr>
          <w:ilvl w:val="0"/>
          <w:numId w:val="10"/>
        </w:numPr>
      </w:pPr>
      <w:r>
        <w:t>Buses and branches in the TP-Mirror case that do not have corresponding buses and branches in the TP case will be reported.</w:t>
      </w:r>
    </w:p>
    <w:p w:rsidR="00C22552" w:rsidRPr="00351EFD" w:rsidRDefault="00C22552" w:rsidP="00AE0017">
      <w:pPr>
        <w:pStyle w:val="BodyText4"/>
        <w:numPr>
          <w:ilvl w:val="0"/>
          <w:numId w:val="10"/>
        </w:numPr>
      </w:pPr>
      <w:r>
        <w:t xml:space="preserve">Buses and branches in the TP case that do not have corresponding buses and branches in the TP-Mirror case will be noted but not reported as part of the consistency validation process.  TSPs will work with </w:t>
      </w:r>
      <w:r w:rsidR="00333A69">
        <w:t>ERCOT staff</w:t>
      </w:r>
      <w:r>
        <w:t xml:space="preserve"> to resolve these differences.</w:t>
      </w:r>
    </w:p>
    <w:p w:rsidR="00C22552" w:rsidRDefault="00C22552" w:rsidP="00AB1C80">
      <w:pPr>
        <w:pStyle w:val="Heading4"/>
      </w:pPr>
      <w:r w:rsidRPr="00B32826">
        <w:t>Impedances</w:t>
      </w:r>
    </w:p>
    <w:p w:rsidR="00C22552" w:rsidRPr="00292A3C" w:rsidRDefault="00C22552" w:rsidP="00F403A4">
      <w:pPr>
        <w:pStyle w:val="BodyText4"/>
      </w:pPr>
      <w:r>
        <w:t>For branches that match in both cases, the following metrics will be used for reporting as part of the consistency validation process.</w:t>
      </w:r>
    </w:p>
    <w:p w:rsidR="00C22552" w:rsidRPr="00C6440E" w:rsidRDefault="00C22552" w:rsidP="00AE0017">
      <w:pPr>
        <w:pStyle w:val="BodyText4"/>
        <w:numPr>
          <w:ilvl w:val="0"/>
          <w:numId w:val="11"/>
        </w:numPr>
      </w:pPr>
      <w:r w:rsidRPr="00C6440E">
        <w:t>Exclude zero impendence/short branches</w:t>
      </w:r>
      <w:r>
        <w:t>, reactance less than or equal to 0.0005 per unit</w:t>
      </w:r>
      <w:r w:rsidR="0026081B">
        <w:t>.</w:t>
      </w:r>
    </w:p>
    <w:p w:rsidR="00C22552" w:rsidRPr="00C6440E" w:rsidRDefault="00C22552" w:rsidP="00AE0017">
      <w:pPr>
        <w:pStyle w:val="BodyText4"/>
        <w:numPr>
          <w:ilvl w:val="0"/>
          <w:numId w:val="11"/>
        </w:numPr>
      </w:pPr>
      <w:r w:rsidRPr="00C6440E">
        <w:t>Match to +/- 0.0002 per unit for R, X, and B</w:t>
      </w:r>
      <w:r w:rsidR="0026081B">
        <w:t>.</w:t>
      </w:r>
    </w:p>
    <w:p w:rsidR="00C22552" w:rsidRDefault="00C22552" w:rsidP="00AB1C80">
      <w:pPr>
        <w:pStyle w:val="Heading4"/>
      </w:pPr>
      <w:r w:rsidRPr="00B32826">
        <w:lastRenderedPageBreak/>
        <w:t>Ratings</w:t>
      </w:r>
    </w:p>
    <w:p w:rsidR="00C22552" w:rsidRPr="00C6440E" w:rsidRDefault="00C22552" w:rsidP="00AE0017">
      <w:pPr>
        <w:pStyle w:val="BodyText4"/>
        <w:numPr>
          <w:ilvl w:val="0"/>
          <w:numId w:val="12"/>
        </w:numPr>
      </w:pPr>
      <w:r>
        <w:t>For branches that match in both cases, the following metrics will be used for reporting</w:t>
      </w:r>
      <w:r w:rsidRPr="00292A3C">
        <w:t xml:space="preserve"> </w:t>
      </w:r>
      <w:r>
        <w:t xml:space="preserve">as part of the consistency validation process.  </w:t>
      </w:r>
      <w:r w:rsidRPr="00C6440E">
        <w:t>Match (+/- 1 MVA) Rate A and Rate B to static ratings from IMM</w:t>
      </w:r>
      <w:r w:rsidR="0026081B">
        <w:t>.</w:t>
      </w:r>
    </w:p>
    <w:p w:rsidR="00C22552" w:rsidRDefault="00C22552" w:rsidP="00AE0017">
      <w:pPr>
        <w:pStyle w:val="BodyText4"/>
        <w:numPr>
          <w:ilvl w:val="0"/>
          <w:numId w:val="12"/>
        </w:numPr>
      </w:pPr>
      <w:r w:rsidRPr="00C6440E">
        <w:t>Exclude Rate C from comparison</w:t>
      </w:r>
      <w:r w:rsidR="0026081B">
        <w:t>.</w:t>
      </w:r>
    </w:p>
    <w:p w:rsidR="00675189" w:rsidRDefault="00675189" w:rsidP="00675189">
      <w:pPr>
        <w:pStyle w:val="Heading4"/>
      </w:pPr>
      <w:r>
        <w:t>Exceptions</w:t>
      </w:r>
    </w:p>
    <w:p w:rsidR="00675189" w:rsidRPr="00675189" w:rsidRDefault="00675189" w:rsidP="00675189">
      <w:pPr>
        <w:pStyle w:val="BodyText4"/>
      </w:pPr>
      <w:r>
        <w:rPr>
          <w:rFonts w:cs="Arial"/>
          <w:szCs w:val="20"/>
        </w:rPr>
        <w:t>Modeling differences between the TP case and the TP-Mirror are expected for the North DC-Tie (identified as Area 14), East DC-Tie (identified as Area 16), and interconnections to Mexico (CFE System identified as Area 24).  The DC-Tie and CFE system modeling differences will be identified and explained in the Consistency Validation Spreadsheet, but shall be excluded from the Reporting Metrics.</w:t>
      </w:r>
      <w:r>
        <w:t xml:space="preserve"> </w:t>
      </w:r>
    </w:p>
    <w:p w:rsidR="00C22552" w:rsidRDefault="00C22552" w:rsidP="00AB1C80">
      <w:pPr>
        <w:pStyle w:val="Heading3"/>
      </w:pPr>
      <w:bookmarkStart w:id="12" w:name="_Toc286726265"/>
      <w:r>
        <w:t>Consistency Validation Process</w:t>
      </w:r>
      <w:bookmarkEnd w:id="12"/>
    </w:p>
    <w:p w:rsidR="00C22552" w:rsidRPr="00B32826" w:rsidRDefault="00174B51" w:rsidP="00CE0767">
      <w:pPr>
        <w:pStyle w:val="BodyText3"/>
      </w:pPr>
      <w:r>
        <w:t xml:space="preserve">The </w:t>
      </w:r>
      <w:r w:rsidR="006E0E04">
        <w:t xml:space="preserve">results from comparing the </w:t>
      </w:r>
      <w:r>
        <w:t>metrics in 2.4.</w:t>
      </w:r>
      <w:r w:rsidR="003A38C5">
        <w:t>1 will be recorded on worksheet</w:t>
      </w:r>
      <w:r w:rsidR="006E0E04">
        <w:t>s which will be combin</w:t>
      </w:r>
      <w:r w:rsidR="003A38C5">
        <w:t xml:space="preserve">ed into a workbook by </w:t>
      </w:r>
      <w:r w:rsidR="00333A69">
        <w:t>ERCOT staff</w:t>
      </w:r>
      <w:r w:rsidR="003A38C5">
        <w:t>.  Each TSP will enter their data onto worksheets using an agreed on format by TSP and ERCOT</w:t>
      </w:r>
      <w:r w:rsidR="00333A69">
        <w:t xml:space="preserve"> staff</w:t>
      </w:r>
      <w:r w:rsidR="003A38C5">
        <w:t xml:space="preserve">. </w:t>
      </w:r>
      <w:r w:rsidR="00333A69">
        <w:t xml:space="preserve"> </w:t>
      </w:r>
      <w:r w:rsidR="006E0E04">
        <w:t>Each TSP will submit their completed worksheet to ERCOT</w:t>
      </w:r>
      <w:r w:rsidR="00333A69">
        <w:t xml:space="preserve"> staff</w:t>
      </w:r>
      <w:r w:rsidR="006E0E04">
        <w:t>.</w:t>
      </w:r>
      <w:r w:rsidR="00333A69">
        <w:t xml:space="preserve"> </w:t>
      </w:r>
      <w:r w:rsidR="006E0E04">
        <w:t xml:space="preserve"> </w:t>
      </w:r>
      <w:r w:rsidR="00C22552">
        <w:t xml:space="preserve">ERCOT </w:t>
      </w:r>
      <w:r w:rsidR="00333A69">
        <w:t xml:space="preserve">staff </w:t>
      </w:r>
      <w:r w:rsidR="00C22552">
        <w:t>will combine all worksheets into a workbook and post</w:t>
      </w:r>
      <w:r w:rsidR="00333A69">
        <w:t xml:space="preserve"> </w:t>
      </w:r>
      <w:r w:rsidR="00C22552">
        <w:t>in its final form.</w:t>
      </w:r>
      <w:r w:rsidR="003A38C5">
        <w:t xml:space="preserve"> </w:t>
      </w:r>
      <w:r w:rsidR="00333A69">
        <w:t xml:space="preserve"> ERCOT staff</w:t>
      </w:r>
      <w:r w:rsidR="003A38C5">
        <w:t xml:space="preserve"> will also maintain the workbook.</w:t>
      </w:r>
    </w:p>
    <w:p w:rsidR="00C22552" w:rsidRDefault="00C22552" w:rsidP="008B2BFD">
      <w:pPr>
        <w:pStyle w:val="Heading4"/>
      </w:pPr>
      <w:r w:rsidRPr="00B32826">
        <w:t xml:space="preserve">Consistency </w:t>
      </w:r>
      <w:r>
        <w:t>V</w:t>
      </w:r>
      <w:r w:rsidRPr="00B32826">
        <w:t xml:space="preserve">alidation </w:t>
      </w:r>
      <w:r>
        <w:t>Intervals</w:t>
      </w:r>
    </w:p>
    <w:p w:rsidR="00C22552" w:rsidRDefault="0026081B" w:rsidP="00AE0017">
      <w:pPr>
        <w:pStyle w:val="BodyText4"/>
        <w:numPr>
          <w:ilvl w:val="0"/>
          <w:numId w:val="13"/>
        </w:numPr>
      </w:pPr>
      <w:r>
        <w:t>Pass 0 Comparison:</w:t>
      </w:r>
    </w:p>
    <w:p w:rsidR="00C22552" w:rsidRDefault="0026081B" w:rsidP="00AE0017">
      <w:pPr>
        <w:pStyle w:val="BodyText4"/>
        <w:numPr>
          <w:ilvl w:val="1"/>
          <w:numId w:val="13"/>
        </w:numPr>
      </w:pPr>
      <w:r>
        <w:t>TP mirror case</w:t>
      </w:r>
    </w:p>
    <w:p w:rsidR="00C22552" w:rsidRDefault="00C22552" w:rsidP="00AE0017">
      <w:pPr>
        <w:pStyle w:val="BodyText4"/>
        <w:numPr>
          <w:ilvl w:val="1"/>
          <w:numId w:val="13"/>
        </w:numPr>
      </w:pPr>
      <w:r>
        <w:t>TP case with energization date corresponding to the scheduled start of the case creation or update.</w:t>
      </w:r>
      <w:r w:rsidR="001424A1">
        <w:t xml:space="preserve"> </w:t>
      </w:r>
      <w:r w:rsidR="001369D1">
        <w:t>(Example: 12DSA work begins approximately April 1, 2011,</w:t>
      </w:r>
      <w:r w:rsidR="001424A1">
        <w:t xml:space="preserve"> </w:t>
      </w:r>
      <w:r w:rsidR="001369D1">
        <w:t>create</w:t>
      </w:r>
      <w:r w:rsidR="001424A1">
        <w:t xml:space="preserve"> TP case with project energization date of April 1, 2011</w:t>
      </w:r>
      <w:r w:rsidR="001369D1">
        <w:t>.)</w:t>
      </w:r>
    </w:p>
    <w:p w:rsidR="00C22552" w:rsidRDefault="00C22552" w:rsidP="00AE0017">
      <w:pPr>
        <w:pStyle w:val="BodyText4"/>
        <w:numPr>
          <w:ilvl w:val="1"/>
          <w:numId w:val="13"/>
        </w:numPr>
      </w:pPr>
      <w:r>
        <w:t>Comparison will not be posted by ERCOT</w:t>
      </w:r>
    </w:p>
    <w:p w:rsidR="00C22552" w:rsidRDefault="00C22552" w:rsidP="00AE0017">
      <w:pPr>
        <w:pStyle w:val="BodyText4"/>
        <w:numPr>
          <w:ilvl w:val="0"/>
          <w:numId w:val="13"/>
        </w:numPr>
      </w:pPr>
      <w:r>
        <w:t>Pass 3 Comparison:</w:t>
      </w:r>
    </w:p>
    <w:p w:rsidR="00C22552" w:rsidRDefault="00C22552" w:rsidP="00AE0017">
      <w:pPr>
        <w:pStyle w:val="BodyText4"/>
        <w:numPr>
          <w:ilvl w:val="1"/>
          <w:numId w:val="13"/>
        </w:numPr>
      </w:pPr>
      <w:r>
        <w:t>TP mirror case with Consistency PMCRs applied and future PMCRs with energization date that matches the TP case</w:t>
      </w:r>
      <w:r w:rsidR="0026081B">
        <w:t>.</w:t>
      </w:r>
    </w:p>
    <w:p w:rsidR="00C22552" w:rsidRDefault="00C22552" w:rsidP="00AE0017">
      <w:pPr>
        <w:pStyle w:val="BodyText4"/>
        <w:numPr>
          <w:ilvl w:val="1"/>
          <w:numId w:val="13"/>
        </w:numPr>
      </w:pPr>
      <w:r>
        <w:t>TP case with energization date corresponding to the scheduled start of the case creation or update plus 4 months.</w:t>
      </w:r>
      <w:r w:rsidR="001369D1">
        <w:t xml:space="preserve">  (Example: 12DSA work begins approximately April 1, 2011.  Create TP case with energization </w:t>
      </w:r>
      <w:r w:rsidR="001369D1">
        <w:lastRenderedPageBreak/>
        <w:t>date of August 1, 2011.  TP-Mirror case will include all projects with energization by August 1, 2011)</w:t>
      </w:r>
    </w:p>
    <w:p w:rsidR="00C22552" w:rsidRDefault="00C22552" w:rsidP="00AE0017">
      <w:pPr>
        <w:pStyle w:val="BodyText4"/>
        <w:numPr>
          <w:ilvl w:val="1"/>
          <w:numId w:val="13"/>
        </w:numPr>
      </w:pPr>
      <w:r>
        <w:t>Comparison will not be posted by ERCOT</w:t>
      </w:r>
      <w:r w:rsidR="002E208E">
        <w:t>.</w:t>
      </w:r>
    </w:p>
    <w:p w:rsidR="00C22552" w:rsidRDefault="00C22552" w:rsidP="00AE0017">
      <w:pPr>
        <w:pStyle w:val="BodyText4"/>
        <w:numPr>
          <w:ilvl w:val="0"/>
          <w:numId w:val="13"/>
        </w:numPr>
      </w:pPr>
      <w:r>
        <w:t>Final case comparison:</w:t>
      </w:r>
    </w:p>
    <w:p w:rsidR="00C22552" w:rsidRDefault="00C22552" w:rsidP="00AE0017">
      <w:pPr>
        <w:pStyle w:val="BodyText4"/>
        <w:numPr>
          <w:ilvl w:val="1"/>
          <w:numId w:val="13"/>
        </w:numPr>
      </w:pPr>
      <w:r>
        <w:t>TP mirror case with Consistency PMCRs applied and future PMCRs with energization date that matches the TP case</w:t>
      </w:r>
    </w:p>
    <w:p w:rsidR="00C22552" w:rsidRDefault="00C22552" w:rsidP="00AE0017">
      <w:pPr>
        <w:pStyle w:val="BodyText4"/>
        <w:numPr>
          <w:ilvl w:val="1"/>
          <w:numId w:val="13"/>
        </w:numPr>
      </w:pPr>
      <w:r>
        <w:t>TP case from Pass 3</w:t>
      </w:r>
    </w:p>
    <w:p w:rsidR="00C22552" w:rsidRDefault="00C22552" w:rsidP="00AE0017">
      <w:pPr>
        <w:pStyle w:val="BodyText4"/>
        <w:numPr>
          <w:ilvl w:val="1"/>
          <w:numId w:val="13"/>
        </w:numPr>
      </w:pPr>
      <w:r>
        <w:t>Comparison will be posted by ERCOT</w:t>
      </w:r>
      <w:r w:rsidR="002E208E">
        <w:t>.</w:t>
      </w:r>
    </w:p>
    <w:p w:rsidR="00C22552" w:rsidRDefault="00C22552" w:rsidP="001D29C2">
      <w:pPr>
        <w:pStyle w:val="Heading3"/>
      </w:pPr>
      <w:bookmarkStart w:id="13" w:name="_Toc286726266"/>
      <w:r w:rsidRPr="00B32826">
        <w:t xml:space="preserve">Consistency </w:t>
      </w:r>
      <w:r>
        <w:t>V</w:t>
      </w:r>
      <w:r w:rsidRPr="00B32826">
        <w:t xml:space="preserve">alidation </w:t>
      </w:r>
      <w:r>
        <w:t>Spreadsheet</w:t>
      </w:r>
      <w:bookmarkEnd w:id="13"/>
    </w:p>
    <w:p w:rsidR="00C22552" w:rsidRDefault="00C22552" w:rsidP="001D29C2">
      <w:pPr>
        <w:pStyle w:val="BodyText3"/>
      </w:pPr>
      <w:r>
        <w:t>The consistency validation spreadsheets will consist of the following comparisons of the TP-Mirror case and a TP case.</w:t>
      </w:r>
    </w:p>
    <w:p w:rsidR="00C22552" w:rsidRDefault="00C22552" w:rsidP="001D29C2">
      <w:pPr>
        <w:pStyle w:val="Heading4"/>
      </w:pPr>
      <w:r>
        <w:t>Topology comparison for branches</w:t>
      </w:r>
    </w:p>
    <w:p w:rsidR="00C22552" w:rsidRDefault="00C22552" w:rsidP="001D29C2">
      <w:pPr>
        <w:pStyle w:val="BodyText4"/>
      </w:pPr>
      <w:r>
        <w:t xml:space="preserve">A topology comparison spreadsheet will be created by comparing the branch topology data (To Bus, From Bus, </w:t>
      </w:r>
      <w:r w:rsidR="002E208E">
        <w:t>and Circuit</w:t>
      </w:r>
      <w:r>
        <w:t xml:space="preserve"> ID) and the transformer topology data (Winding1 Bus,</w:t>
      </w:r>
      <w:r w:rsidRPr="00493C5E">
        <w:t xml:space="preserve"> </w:t>
      </w:r>
      <w:r>
        <w:t>Winding2 Bus,</w:t>
      </w:r>
      <w:r w:rsidRPr="00493C5E">
        <w:t xml:space="preserve"> </w:t>
      </w:r>
      <w:r>
        <w:t xml:space="preserve">Winding3 Bus, </w:t>
      </w:r>
      <w:r w:rsidR="002E208E">
        <w:t>and ID</w:t>
      </w:r>
      <w:r>
        <w:t xml:space="preserve">). If the branch or transformer topology exists in the TP - Mirror case, but not the TP case, the topological element will be listed in the spreadsheet along with a column for the </w:t>
      </w:r>
      <w:r w:rsidR="00F2562A">
        <w:t>TSPs and ERCOT</w:t>
      </w:r>
      <w:r>
        <w:t xml:space="preserve"> to include comments.  An example of the topology comparison spreadsheet </w:t>
      </w:r>
      <w:r w:rsidR="00D10D43">
        <w:t xml:space="preserve">is shown </w:t>
      </w:r>
      <w:r>
        <w:t>below.</w:t>
      </w:r>
      <w:r w:rsidR="00675189">
        <w:t xml:space="preserve">  The spreadsheet will include a flag identifying RARF submitted data that ERCOT staff shall address.</w:t>
      </w:r>
    </w:p>
    <w:p w:rsidR="00C22552" w:rsidRDefault="00B46122" w:rsidP="00AB1C80">
      <w:r>
        <w:rPr>
          <w:noProof/>
        </w:rPr>
        <w:drawing>
          <wp:inline distT="0" distB="0" distL="0" distR="0">
            <wp:extent cx="5466715" cy="944245"/>
            <wp:effectExtent l="1905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466715" cy="944245"/>
                    </a:xfrm>
                    <a:prstGeom prst="rect">
                      <a:avLst/>
                    </a:prstGeom>
                    <a:noFill/>
                    <a:ln w="9525">
                      <a:noFill/>
                      <a:miter lim="800000"/>
                      <a:headEnd/>
                      <a:tailEnd/>
                    </a:ln>
                  </pic:spPr>
                </pic:pic>
              </a:graphicData>
            </a:graphic>
          </wp:inline>
        </w:drawing>
      </w:r>
    </w:p>
    <w:p w:rsidR="00C22552" w:rsidRDefault="00C22552" w:rsidP="00350671">
      <w:pPr>
        <w:pStyle w:val="Heading4"/>
      </w:pPr>
      <w:r>
        <w:t>Ratings comparison for branches</w:t>
      </w:r>
    </w:p>
    <w:p w:rsidR="00675189" w:rsidRDefault="00C22552" w:rsidP="00675189">
      <w:pPr>
        <w:pStyle w:val="BodyText4"/>
      </w:pPr>
      <w:r>
        <w:t xml:space="preserve">A ratings comparison spreadsheet will be created by performing the Compare&gt;Line Ratings function in PSS/E with the TP-Mirror case as the working case and the TP case as the comparison case. The output from the Compare output will be filtered using an Excel macro with tolerances defined in section </w:t>
      </w:r>
      <w:r>
        <w:rPr>
          <w:i/>
        </w:rPr>
        <w:t>2.4.2</w:t>
      </w:r>
      <w:r>
        <w:t xml:space="preserve"> above. A comment column will be updated by </w:t>
      </w:r>
      <w:r w:rsidR="00F2562A">
        <w:t>TSPs</w:t>
      </w:r>
      <w:r>
        <w:t xml:space="preserve"> and </w:t>
      </w:r>
      <w:r w:rsidR="00333A69">
        <w:t>ERCOT staff</w:t>
      </w:r>
      <w:r>
        <w:t xml:space="preserve"> to explain the differences shown. An example of the ratings comparison spreadsheet is </w:t>
      </w:r>
      <w:r w:rsidR="00D10D43">
        <w:t xml:space="preserve">shown </w:t>
      </w:r>
      <w:r>
        <w:t>below.</w:t>
      </w:r>
      <w:r w:rsidR="00675189">
        <w:t xml:space="preserve"> </w:t>
      </w:r>
      <w:r w:rsidR="00675189" w:rsidRPr="00675189">
        <w:t xml:space="preserve"> </w:t>
      </w:r>
      <w:r w:rsidR="00675189">
        <w:t>The spreadsheet will include a flag identifying RARF submitted data that ERCOT staff shall address.</w:t>
      </w:r>
    </w:p>
    <w:p w:rsidR="00C22552" w:rsidRDefault="00B46122" w:rsidP="00AB1C80">
      <w:pPr>
        <w:jc w:val="both"/>
      </w:pPr>
      <w:r>
        <w:rPr>
          <w:noProof/>
        </w:rPr>
        <w:lastRenderedPageBreak/>
        <w:drawing>
          <wp:inline distT="0" distB="0" distL="0" distR="0">
            <wp:extent cx="5426710" cy="765175"/>
            <wp:effectExtent l="1905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426710" cy="765175"/>
                    </a:xfrm>
                    <a:prstGeom prst="rect">
                      <a:avLst/>
                    </a:prstGeom>
                    <a:noFill/>
                    <a:ln w="9525">
                      <a:noFill/>
                      <a:miter lim="800000"/>
                      <a:headEnd/>
                      <a:tailEnd/>
                    </a:ln>
                  </pic:spPr>
                </pic:pic>
              </a:graphicData>
            </a:graphic>
          </wp:inline>
        </w:drawing>
      </w:r>
    </w:p>
    <w:p w:rsidR="00C22552" w:rsidRDefault="00C22552" w:rsidP="00350671">
      <w:pPr>
        <w:pStyle w:val="Heading4"/>
      </w:pPr>
      <w:r>
        <w:t>Impedance comparison for branches</w:t>
      </w:r>
    </w:p>
    <w:p w:rsidR="00675189" w:rsidRDefault="00C22552" w:rsidP="00675189">
      <w:pPr>
        <w:pStyle w:val="BodyText4"/>
      </w:pPr>
      <w:r>
        <w:t xml:space="preserve">Impedance comparison spreadsheet will be created by performing the Compare&gt;Line R, X, B function in PSS/E with the TP-Mirror case as the working case and the TP case as the comparison case.  The output from the Compare output will be filtered using an Excel macro with tolerances defined in section </w:t>
      </w:r>
      <w:r>
        <w:rPr>
          <w:i/>
        </w:rPr>
        <w:t>2.4.2</w:t>
      </w:r>
      <w:r>
        <w:t xml:space="preserve"> above. A comment column will be updated by </w:t>
      </w:r>
      <w:r w:rsidR="00F2562A">
        <w:t>TSPs</w:t>
      </w:r>
      <w:r>
        <w:t xml:space="preserve"> and </w:t>
      </w:r>
      <w:r w:rsidR="00333A69">
        <w:t>ERCOT staff</w:t>
      </w:r>
      <w:r>
        <w:t xml:space="preserve"> to explain the differences shown. An example of the impedance comparison spreadsheet is </w:t>
      </w:r>
      <w:r w:rsidR="00D10D43">
        <w:t xml:space="preserve">shown </w:t>
      </w:r>
      <w:r>
        <w:t>below.</w:t>
      </w:r>
      <w:r w:rsidR="00675189">
        <w:t xml:space="preserve">  The spreadsheet will include a flag identifying RARF submitted data that ERCOT staff shall address.</w:t>
      </w:r>
    </w:p>
    <w:p w:rsidR="00C22552" w:rsidRDefault="00B46122" w:rsidP="00AB1C80">
      <w:r>
        <w:rPr>
          <w:noProof/>
        </w:rPr>
        <w:drawing>
          <wp:inline distT="0" distB="0" distL="0" distR="0">
            <wp:extent cx="6142355" cy="73533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6142355" cy="735330"/>
                    </a:xfrm>
                    <a:prstGeom prst="rect">
                      <a:avLst/>
                    </a:prstGeom>
                    <a:noFill/>
                    <a:ln w="9525">
                      <a:noFill/>
                      <a:miter lim="800000"/>
                      <a:headEnd/>
                      <a:tailEnd/>
                    </a:ln>
                  </pic:spPr>
                </pic:pic>
              </a:graphicData>
            </a:graphic>
          </wp:inline>
        </w:drawing>
      </w:r>
    </w:p>
    <w:p w:rsidR="00C22552" w:rsidRPr="00AB1C80" w:rsidRDefault="00C22552" w:rsidP="00AB1C80">
      <w:pPr>
        <w:pStyle w:val="Heading3"/>
      </w:pPr>
      <w:bookmarkStart w:id="14" w:name="_Toc286726267"/>
      <w:r>
        <w:t>Explanation of Differences</w:t>
      </w:r>
      <w:bookmarkEnd w:id="14"/>
    </w:p>
    <w:p w:rsidR="00C22552" w:rsidRPr="00B32826" w:rsidRDefault="00C22552" w:rsidP="00350671">
      <w:pPr>
        <w:pStyle w:val="BodyText3"/>
      </w:pPr>
      <w:r w:rsidRPr="00B32826">
        <w:t xml:space="preserve">TSPs </w:t>
      </w:r>
      <w:r w:rsidR="00F2562A">
        <w:t xml:space="preserve">and ERCOT </w:t>
      </w:r>
      <w:r w:rsidRPr="00B32826">
        <w:t>will be asked to check the data in the spreadsheet and mark each of the differences as follows:</w:t>
      </w:r>
    </w:p>
    <w:p w:rsidR="00C22552" w:rsidRPr="00B32826" w:rsidRDefault="00C22552" w:rsidP="00AE0017">
      <w:pPr>
        <w:pStyle w:val="BodyText3"/>
        <w:numPr>
          <w:ilvl w:val="0"/>
          <w:numId w:val="14"/>
        </w:numPr>
      </w:pPr>
      <w:r w:rsidRPr="00B32826">
        <w:rPr>
          <w:b/>
          <w:u w:val="single"/>
        </w:rPr>
        <w:t xml:space="preserve">Change in IMM : NOMCR pending </w:t>
      </w:r>
      <w:r>
        <w:rPr>
          <w:b/>
          <w:u w:val="single"/>
        </w:rPr>
        <w:t xml:space="preserve">– </w:t>
      </w:r>
      <w:r w:rsidRPr="00B32826">
        <w:t>SSWG case data is correct, a NOMCR will be created in the future that makes a change to IMM.</w:t>
      </w:r>
    </w:p>
    <w:p w:rsidR="00C22552" w:rsidRPr="00CE0767" w:rsidRDefault="00C22552" w:rsidP="00AE0017">
      <w:pPr>
        <w:pStyle w:val="BodyText3"/>
        <w:numPr>
          <w:ilvl w:val="0"/>
          <w:numId w:val="14"/>
        </w:numPr>
        <w:rPr>
          <w:b/>
          <w:u w:val="single"/>
        </w:rPr>
      </w:pPr>
      <w:r w:rsidRPr="00CE0767">
        <w:rPr>
          <w:b/>
          <w:u w:val="single"/>
        </w:rPr>
        <w:t xml:space="preserve">Change in SSWG TP-Mirror: Consistency PMCR – </w:t>
      </w:r>
      <w:r w:rsidRPr="00B32826">
        <w:t xml:space="preserve">A </w:t>
      </w:r>
      <w:r w:rsidR="00D10D43">
        <w:t>PMCR that will be applied to</w:t>
      </w:r>
      <w:r w:rsidRPr="00B32826">
        <w:t xml:space="preserve"> the TP-Mirror case</w:t>
      </w:r>
      <w:r>
        <w:t xml:space="preserve"> (during case building process) </w:t>
      </w:r>
      <w:r w:rsidRPr="00B32826">
        <w:t>that will ma</w:t>
      </w:r>
      <w:r>
        <w:t>tch the data from the TP-Case.</w:t>
      </w:r>
    </w:p>
    <w:p w:rsidR="00C22552" w:rsidRPr="00CE0767" w:rsidRDefault="00C22552" w:rsidP="00AE0017">
      <w:pPr>
        <w:pStyle w:val="BodyText3"/>
        <w:numPr>
          <w:ilvl w:val="0"/>
          <w:numId w:val="14"/>
        </w:numPr>
        <w:rPr>
          <w:b/>
          <w:u w:val="single"/>
        </w:rPr>
      </w:pPr>
      <w:r w:rsidRPr="00CE0767">
        <w:rPr>
          <w:b/>
          <w:u w:val="single"/>
        </w:rPr>
        <w:t xml:space="preserve">Necessary difference (explain) – </w:t>
      </w:r>
      <w:r w:rsidRPr="00B32826">
        <w:t>No change will be made to the TP-Mirror case or IMM. Examples: A difference that is caused by a TP deficiency that cannot be fixed by a NOMCR, incorrect RARF data, etc.</w:t>
      </w:r>
    </w:p>
    <w:p w:rsidR="00C22552" w:rsidRDefault="00C22552" w:rsidP="00DB55D9">
      <w:pPr>
        <w:pStyle w:val="Heading2"/>
      </w:pPr>
      <w:r w:rsidRPr="00B32826">
        <w:t xml:space="preserve"> </w:t>
      </w:r>
      <w:bookmarkStart w:id="15" w:name="_Toc286726268"/>
      <w:smartTag w:uri="urn:schemas-microsoft-com:office:smarttags" w:element="place">
        <w:smartTag w:uri="urn:schemas-microsoft-com:office:smarttags" w:element="PlaceName">
          <w:r w:rsidRPr="00B32826">
            <w:t>Case</w:t>
          </w:r>
        </w:smartTag>
        <w:r w:rsidRPr="00B32826">
          <w:t xml:space="preserve"> </w:t>
        </w:r>
        <w:smartTag w:uri="urn:schemas-microsoft-com:office:smarttags" w:element="PlaceType">
          <w:r w:rsidRPr="00B32826">
            <w:t>Building</w:t>
          </w:r>
        </w:smartTag>
      </w:smartTag>
      <w:r w:rsidRPr="00B32826">
        <w:t xml:space="preserve"> Process:</w:t>
      </w:r>
      <w:bookmarkEnd w:id="15"/>
    </w:p>
    <w:p w:rsidR="00C22552" w:rsidRPr="00351EFD" w:rsidRDefault="00C22552" w:rsidP="00350671">
      <w:pPr>
        <w:pStyle w:val="Heading3"/>
      </w:pPr>
      <w:bookmarkStart w:id="16" w:name="_Toc286726269"/>
      <w:r w:rsidRPr="00351EFD">
        <w:t>Case Definitions</w:t>
      </w:r>
      <w:bookmarkEnd w:id="16"/>
    </w:p>
    <w:p w:rsidR="00C22552" w:rsidRDefault="00C22552" w:rsidP="00350671">
      <w:pPr>
        <w:pStyle w:val="BodyText3"/>
      </w:pPr>
      <w:r w:rsidRPr="00351EFD">
        <w:t>Load-flow cases produced by SSWG are to be divided into two groups.  The first group, “Data Set A,” models expected conditions for the following year’s four seasons</w:t>
      </w:r>
      <w:r w:rsidR="008A57F6">
        <w:t>,</w:t>
      </w:r>
      <w:r w:rsidR="00F2562A">
        <w:t xml:space="preserve"> </w:t>
      </w:r>
      <w:r w:rsidR="008A57F6">
        <w:t>on peak and off peak</w:t>
      </w:r>
      <w:r w:rsidRPr="00351EFD">
        <w:t xml:space="preserve"> </w:t>
      </w:r>
      <w:r w:rsidR="008A57F6">
        <w:t xml:space="preserve">for a total of </w:t>
      </w:r>
      <w:r w:rsidRPr="00351EFD">
        <w:t xml:space="preserve">eight cases.  The second group, “Data Set B,” models cases for the five-year planning horizon. </w:t>
      </w:r>
      <w:r w:rsidR="008A57F6">
        <w:t xml:space="preserve"> The schedule for </w:t>
      </w:r>
      <w:r w:rsidR="00D10D43">
        <w:t>D</w:t>
      </w:r>
      <w:r w:rsidR="008A57F6">
        <w:t xml:space="preserve">ata </w:t>
      </w:r>
      <w:r w:rsidR="00D10D43">
        <w:t>S</w:t>
      </w:r>
      <w:r w:rsidR="008A57F6">
        <w:t xml:space="preserve">et A and </w:t>
      </w:r>
      <w:r w:rsidR="00D10D43">
        <w:t>D</w:t>
      </w:r>
      <w:r w:rsidR="008A57F6">
        <w:t xml:space="preserve">ata </w:t>
      </w:r>
      <w:r w:rsidR="00D10D43">
        <w:t>S</w:t>
      </w:r>
      <w:r w:rsidR="008A57F6">
        <w:t>et B should be consulted for the appropriate project transmission in</w:t>
      </w:r>
      <w:r w:rsidR="00D10D43">
        <w:t>-</w:t>
      </w:r>
      <w:r w:rsidR="008A57F6">
        <w:t xml:space="preserve">service date. </w:t>
      </w:r>
    </w:p>
    <w:p w:rsidR="00C22552" w:rsidRDefault="00B46122" w:rsidP="008972F1">
      <w:r>
        <w:rPr>
          <w:noProof/>
        </w:rPr>
        <w:lastRenderedPageBreak/>
        <w:drawing>
          <wp:inline distT="0" distB="0" distL="0" distR="0">
            <wp:extent cx="5943600" cy="4462780"/>
            <wp:effectExtent l="19050" t="0" r="0" b="0"/>
            <wp:docPr id="4" name="Picture 0" descr="Option_2_flow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Option_2_flowchart.jpg"/>
                    <pic:cNvPicPr>
                      <a:picLocks noChangeAspect="1" noChangeArrowheads="1"/>
                    </pic:cNvPicPr>
                  </pic:nvPicPr>
                  <pic:blipFill>
                    <a:blip r:embed="rId10"/>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rsidR="00C22552" w:rsidRPr="00A464A8" w:rsidRDefault="00C22552" w:rsidP="003C4FEE">
      <w:pPr>
        <w:pStyle w:val="Heading3"/>
      </w:pPr>
      <w:bookmarkStart w:id="17" w:name="_Toc286726270"/>
      <w:r w:rsidRPr="00A464A8">
        <w:t>Entity Responsibilities</w:t>
      </w:r>
      <w:bookmarkEnd w:id="17"/>
      <w:r w:rsidRPr="00A464A8">
        <w:tab/>
      </w:r>
    </w:p>
    <w:p w:rsidR="00C22552" w:rsidRPr="00A464A8" w:rsidRDefault="00C22552" w:rsidP="00350671">
      <w:pPr>
        <w:pStyle w:val="BodyText3"/>
      </w:pPr>
      <w:r w:rsidRPr="00A464A8">
        <w:t xml:space="preserve">The Data Set A </w:t>
      </w:r>
      <w:r>
        <w:t xml:space="preserve">and Data Set B </w:t>
      </w:r>
      <w:r w:rsidRPr="00A464A8">
        <w:t xml:space="preserve">load-flow cases are assembled and produced </w:t>
      </w:r>
      <w:r>
        <w:t>as a collaborative effort by members of SSWG</w:t>
      </w:r>
      <w:r w:rsidRPr="00A464A8">
        <w:t>.  The responsibilities for providing this data are divided among the various market participants</w:t>
      </w:r>
      <w:r w:rsidR="00D10D43">
        <w:t xml:space="preserve"> and ERCOT</w:t>
      </w:r>
      <w:r w:rsidRPr="00A464A8">
        <w:t xml:space="preserve">. These data provision responsibilities may overlap among the various market participants because participants may designate their representative or a participant may be a member of more than one market participant group.  The market participants can generally be divided into four groups: TSPs, Load Serving Entities (LSEs), Power Generation Companies, and Market Entities.  </w:t>
      </w:r>
      <w:r w:rsidR="00333A69">
        <w:t>ERCOT staff</w:t>
      </w:r>
      <w:r w:rsidR="00D10D43">
        <w:t xml:space="preserve"> is included as a fifth entity with data provision responsibilities.  </w:t>
      </w:r>
      <w:r w:rsidRPr="00A464A8">
        <w:t>The data responsibilities of each group are as follows:</w:t>
      </w:r>
    </w:p>
    <w:p w:rsidR="00C22552" w:rsidRDefault="00333A69">
      <w:pPr>
        <w:pStyle w:val="Heading4"/>
      </w:pPr>
      <w:r>
        <w:t>TSPs</w:t>
      </w:r>
    </w:p>
    <w:p w:rsidR="00C22552" w:rsidRPr="001D2F86" w:rsidRDefault="00C22552" w:rsidP="001D2F86">
      <w:pPr>
        <w:pStyle w:val="BodyText4"/>
        <w:numPr>
          <w:ilvl w:val="0"/>
          <w:numId w:val="16"/>
        </w:numPr>
      </w:pPr>
      <w:r w:rsidRPr="001D2F86">
        <w:t>It is the responsibility of the TSPs to provide accurate modeling information for all ERCOT Transmission Facilitie</w:t>
      </w:r>
      <w:r w:rsidR="00333A69">
        <w:t>s owned or planned by the TSP.</w:t>
      </w:r>
    </w:p>
    <w:p w:rsidR="008A57F6" w:rsidRPr="005725C4" w:rsidRDefault="00C22552" w:rsidP="008A57F6">
      <w:pPr>
        <w:pStyle w:val="BodyText3"/>
        <w:numPr>
          <w:ilvl w:val="2"/>
          <w:numId w:val="16"/>
        </w:numPr>
      </w:pPr>
      <w:r>
        <w:t>Future transmission facility changes will be submitted as Planning Model Change Requests (PMCRs).</w:t>
      </w:r>
      <w:r w:rsidR="008A57F6" w:rsidRPr="008A57F6">
        <w:t xml:space="preserve"> </w:t>
      </w:r>
      <w:r w:rsidR="008A57F6">
        <w:t>PMCRs phase date should correspond to the transmission in</w:t>
      </w:r>
      <w:r w:rsidR="00D10D43">
        <w:t>-</w:t>
      </w:r>
      <w:r w:rsidR="008A57F6">
        <w:t xml:space="preserve">service date. PMCRs should be submitted as far out </w:t>
      </w:r>
      <w:r w:rsidR="008A57F6">
        <w:lastRenderedPageBreak/>
        <w:t>into the future as po</w:t>
      </w:r>
      <w:r w:rsidR="00710371">
        <w:t xml:space="preserve">ssible. This technique will make the case building process more efficient when transitioning to a new case </w:t>
      </w:r>
      <w:r w:rsidR="002E208E">
        <w:t>builds</w:t>
      </w:r>
      <w:r w:rsidR="00710371">
        <w:t>.</w:t>
      </w:r>
    </w:p>
    <w:p w:rsidR="00333A69" w:rsidRDefault="00C22552" w:rsidP="00333A69">
      <w:pPr>
        <w:pStyle w:val="BodyText4"/>
        <w:numPr>
          <w:ilvl w:val="2"/>
          <w:numId w:val="16"/>
        </w:numPr>
      </w:pPr>
      <w:r>
        <w:t xml:space="preserve">To maintain consistency with the </w:t>
      </w:r>
      <w:r w:rsidR="000E3215">
        <w:t xml:space="preserve">TP case created from the </w:t>
      </w:r>
      <w:r>
        <w:t>Network Operations Model, TSPs shall submit Consistency PMCRs when necessary.</w:t>
      </w:r>
      <w:r w:rsidR="00417C5C">
        <w:t xml:space="preserve">  Consistency PMCRS also may rectify the modeling differences caused by interim-update NOMCRs and the time periods between TP case and Data Set Case Postings. This is a period when possible network operations model changes may occur and not show up in the cases.</w:t>
      </w:r>
    </w:p>
    <w:p w:rsidR="00333A69" w:rsidRDefault="00C22552">
      <w:pPr>
        <w:pStyle w:val="BodyText4"/>
        <w:numPr>
          <w:ilvl w:val="1"/>
          <w:numId w:val="16"/>
        </w:numPr>
      </w:pPr>
      <w:r w:rsidRPr="00A464A8">
        <w:t>TSPs shall model the load data if they are the designated representatives for load entities.</w:t>
      </w:r>
      <w:r>
        <w:t xml:space="preserve">  Loads for the cases will be submitted through </w:t>
      </w:r>
      <w:r w:rsidRPr="001D2F86">
        <w:t>Load Generation Profiles</w:t>
      </w:r>
      <w:r w:rsidR="002E208E">
        <w:t>.</w:t>
      </w:r>
    </w:p>
    <w:p w:rsidR="00333A69" w:rsidRDefault="00C22552">
      <w:pPr>
        <w:pStyle w:val="BodyText4"/>
        <w:numPr>
          <w:ilvl w:val="1"/>
          <w:numId w:val="16"/>
        </w:numPr>
      </w:pPr>
      <w:r>
        <w:t>TSPs will provide all loads that it has accepted responsibility for modeling</w:t>
      </w:r>
      <w:r w:rsidR="002E208E">
        <w:t>.</w:t>
      </w:r>
    </w:p>
    <w:p w:rsidR="00C22552" w:rsidRDefault="00C22552" w:rsidP="009E4DBA">
      <w:pPr>
        <w:pStyle w:val="BodyText4"/>
        <w:numPr>
          <w:ilvl w:val="1"/>
          <w:numId w:val="16"/>
        </w:numPr>
      </w:pPr>
      <w:r>
        <w:t>PUN loads will be provided by TSPs</w:t>
      </w:r>
      <w:r w:rsidR="002E208E">
        <w:t>.</w:t>
      </w:r>
    </w:p>
    <w:p w:rsidR="00C22552" w:rsidRDefault="00C22552" w:rsidP="009E4DBA">
      <w:pPr>
        <w:pStyle w:val="BodyText4"/>
        <w:numPr>
          <w:ilvl w:val="1"/>
          <w:numId w:val="16"/>
        </w:numPr>
      </w:pPr>
      <w:r>
        <w:t xml:space="preserve">NOIEs have the option of submitting generation </w:t>
      </w:r>
      <w:r w:rsidR="000E3215">
        <w:t>dispatch</w:t>
      </w:r>
      <w:r>
        <w:t xml:space="preserve"> or deferring to </w:t>
      </w:r>
      <w:r w:rsidR="00333A69">
        <w:t>ERCOT staff</w:t>
      </w:r>
      <w:r w:rsidR="002E208E">
        <w:t>.</w:t>
      </w:r>
    </w:p>
    <w:p w:rsidR="00C22552" w:rsidRDefault="00C22552" w:rsidP="009E4DBA">
      <w:pPr>
        <w:pStyle w:val="BodyText4"/>
        <w:numPr>
          <w:ilvl w:val="1"/>
          <w:numId w:val="16"/>
        </w:numPr>
      </w:pPr>
      <w:r>
        <w:t xml:space="preserve">Proper transmission system voltages will be maintained by submitting </w:t>
      </w:r>
      <w:r w:rsidRPr="001D2F86">
        <w:t>Device Control Profiles</w:t>
      </w:r>
      <w:r>
        <w:t xml:space="preserve"> and Load and Generation Profiles. </w:t>
      </w:r>
      <w:r w:rsidRPr="00A464A8">
        <w:t>This will include</w:t>
      </w:r>
      <w:r>
        <w:t xml:space="preserve"> accurate data for static and dynamic reactive resources and transformer settings in a Device Control Profile for each case.  Also, generator characteristics Vsched, remotely controlled bus number, and RMPCT will be submitted by TSPs in Device Control Profiles.  TSPs in voltage stability limited regions will be allowed to set generator reactive limits Qmax and Qmin in Load Generation Profiles based on their experience monitoring historical unit operation and reviewing biennial reactive tests.</w:t>
      </w:r>
    </w:p>
    <w:p w:rsidR="00C22552" w:rsidRDefault="00C22552" w:rsidP="001D2F86">
      <w:pPr>
        <w:pStyle w:val="BodyText4"/>
        <w:numPr>
          <w:ilvl w:val="1"/>
          <w:numId w:val="17"/>
        </w:numPr>
      </w:pPr>
      <w:r>
        <w:t xml:space="preserve">If </w:t>
      </w:r>
      <w:r w:rsidR="000E3215">
        <w:t xml:space="preserve">the </w:t>
      </w:r>
      <w:r>
        <w:t xml:space="preserve">TSPs identify errors with generator data or PUN topology, </w:t>
      </w:r>
      <w:r w:rsidR="000E3215">
        <w:t xml:space="preserve">the </w:t>
      </w:r>
      <w:r>
        <w:t xml:space="preserve">TSPs will notify </w:t>
      </w:r>
      <w:r w:rsidR="00333A69">
        <w:t>ERCOT staff</w:t>
      </w:r>
      <w:r>
        <w:t xml:space="preserve"> in accordance with Nodal Protocols.</w:t>
      </w:r>
    </w:p>
    <w:p w:rsidR="00C22552" w:rsidRDefault="00C22552" w:rsidP="001D2F86">
      <w:pPr>
        <w:pStyle w:val="BodyText4"/>
        <w:numPr>
          <w:ilvl w:val="1"/>
          <w:numId w:val="17"/>
        </w:numPr>
      </w:pPr>
      <w:r>
        <w:t xml:space="preserve">It is the responsibility of the TSPs to participate in the </w:t>
      </w:r>
      <w:r w:rsidRPr="001D2F86">
        <w:t>Consistency Validation Process</w:t>
      </w:r>
      <w:r w:rsidR="002E208E">
        <w:t>.</w:t>
      </w:r>
    </w:p>
    <w:p w:rsidR="00333A69" w:rsidRDefault="00C22552">
      <w:pPr>
        <w:pStyle w:val="BodyText4"/>
        <w:numPr>
          <w:ilvl w:val="2"/>
          <w:numId w:val="17"/>
        </w:numPr>
      </w:pPr>
      <w:r>
        <w:t>TSPs will review the list of topology, ratings, and impedance differences produced by SSWG.</w:t>
      </w:r>
    </w:p>
    <w:p w:rsidR="00333A69" w:rsidRDefault="00C22552">
      <w:pPr>
        <w:pStyle w:val="BodyText4"/>
        <w:numPr>
          <w:ilvl w:val="2"/>
          <w:numId w:val="17"/>
        </w:numPr>
      </w:pPr>
      <w:r>
        <w:t>Any differences in topology, ratings, or impedances that are not resolved will be explained and documented by each TSP.</w:t>
      </w:r>
    </w:p>
    <w:p w:rsidR="00C22552" w:rsidRDefault="00333A69">
      <w:pPr>
        <w:pStyle w:val="Heading4"/>
      </w:pPr>
      <w:r>
        <w:lastRenderedPageBreak/>
        <w:t>Load Serving Entities</w:t>
      </w:r>
    </w:p>
    <w:p w:rsidR="00C22552" w:rsidRDefault="00C22552" w:rsidP="001D2F86">
      <w:pPr>
        <w:pStyle w:val="BodyText4"/>
        <w:numPr>
          <w:ilvl w:val="0"/>
          <w:numId w:val="18"/>
        </w:numPr>
      </w:pPr>
      <w:r w:rsidRPr="00A464A8">
        <w:t>Each ERCOT Distribution Service Provider (DSP) directly interconnected with the transmission system (or its agent so designated to ERCOT) shall provide annual load forecasts to ERCOT</w:t>
      </w:r>
      <w:r w:rsidR="00333A69">
        <w:t xml:space="preserve"> staff</w:t>
      </w:r>
      <w:r w:rsidRPr="00A464A8">
        <w:t xml:space="preserve"> as outlined in the ERCOT Annual Load Data Req</w:t>
      </w:r>
      <w:r w:rsidR="00333A69">
        <w:t>uest (ALDR) Procedures.</w:t>
      </w:r>
    </w:p>
    <w:p w:rsidR="00C22552" w:rsidRDefault="00C22552" w:rsidP="001D2F86">
      <w:pPr>
        <w:pStyle w:val="BodyText4"/>
        <w:numPr>
          <w:ilvl w:val="0"/>
          <w:numId w:val="18"/>
        </w:numPr>
      </w:pPr>
      <w:r w:rsidRPr="00A464A8">
        <w:t>For each substation not owned by either a TSP or a DSP, the owner shall provide a substation load forecast to the directly connected TSP sufficient to allow it to adequately include that su</w:t>
      </w:r>
      <w:r w:rsidR="00333A69">
        <w:t>bstation in its ALDR response.</w:t>
      </w:r>
    </w:p>
    <w:p w:rsidR="00C22552" w:rsidRDefault="00C22552" w:rsidP="001D2F86">
      <w:pPr>
        <w:pStyle w:val="BodyText4"/>
        <w:numPr>
          <w:ilvl w:val="0"/>
          <w:numId w:val="18"/>
        </w:numPr>
      </w:pPr>
      <w:r w:rsidRPr="00A464A8">
        <w:t xml:space="preserve">Entities not having representation on SSWG shall submit the data to </w:t>
      </w:r>
      <w:r w:rsidR="00333A69">
        <w:t>ERCOT staff</w:t>
      </w:r>
      <w:r w:rsidRPr="00A464A8">
        <w:t xml:space="preserve"> or </w:t>
      </w:r>
      <w:r w:rsidR="000E3215">
        <w:t xml:space="preserve">to </w:t>
      </w:r>
      <w:r w:rsidRPr="00A464A8">
        <w:t>the directly connected TSP</w:t>
      </w:r>
      <w:r w:rsidR="000E3215">
        <w:t>, if the TSP</w:t>
      </w:r>
      <w:r w:rsidRPr="00A464A8">
        <w:t xml:space="preserve"> has agreed to be the agent on SSWG</w:t>
      </w:r>
      <w:r w:rsidR="00333A69">
        <w:t xml:space="preserve"> for that entity.</w:t>
      </w:r>
    </w:p>
    <w:p w:rsidR="00C22552" w:rsidRDefault="00333A69">
      <w:pPr>
        <w:pStyle w:val="Heading4"/>
      </w:pPr>
      <w:r>
        <w:t>Power Generating Companies</w:t>
      </w:r>
    </w:p>
    <w:p w:rsidR="00C22552" w:rsidRDefault="00C22552" w:rsidP="001D2F86">
      <w:pPr>
        <w:pStyle w:val="BodyText4"/>
        <w:numPr>
          <w:ilvl w:val="0"/>
          <w:numId w:val="19"/>
        </w:numPr>
      </w:pPr>
      <w:r w:rsidRPr="00A464A8">
        <w:t xml:space="preserve">It is the responsibility of the generation entities to provide all data required to model the generators in all the </w:t>
      </w:r>
      <w:r w:rsidR="000E3215">
        <w:t xml:space="preserve">SSWG created </w:t>
      </w:r>
      <w:r w:rsidRPr="00A464A8">
        <w:t>cases. (See Appendix A) Section 1.4. This data should be coordinated with ERCOT</w:t>
      </w:r>
      <w:r w:rsidR="00333A69">
        <w:t xml:space="preserve"> staff</w:t>
      </w:r>
      <w:r w:rsidRPr="00A464A8">
        <w:t xml:space="preserve"> and should include but is not limited to unit capabilities.</w:t>
      </w:r>
    </w:p>
    <w:p w:rsidR="00C22552" w:rsidRDefault="00333A69">
      <w:pPr>
        <w:pStyle w:val="Heading4"/>
      </w:pPr>
      <w:r>
        <w:t>Marketing Entities</w:t>
      </w:r>
    </w:p>
    <w:p w:rsidR="00C22552" w:rsidRDefault="00C22552" w:rsidP="00AE0017">
      <w:pPr>
        <w:pStyle w:val="BodyText"/>
        <w:numPr>
          <w:ilvl w:val="0"/>
          <w:numId w:val="4"/>
        </w:numPr>
        <w:ind w:right="90"/>
      </w:pPr>
      <w:r w:rsidRPr="00A464A8">
        <w:t>It is the responsibility of marketers to supply the load and/or generation data if they are the designated representatives for either a loa</w:t>
      </w:r>
      <w:r w:rsidR="00333A69">
        <w:t>d or generating entity or both.</w:t>
      </w:r>
    </w:p>
    <w:p w:rsidR="00C22552" w:rsidRDefault="00C22552">
      <w:pPr>
        <w:pStyle w:val="Heading4"/>
      </w:pPr>
      <w:r>
        <w:t>ERCOT</w:t>
      </w:r>
    </w:p>
    <w:p w:rsidR="00C22552" w:rsidRDefault="00C22552" w:rsidP="001D2F86">
      <w:pPr>
        <w:pStyle w:val="BodyText4"/>
        <w:numPr>
          <w:ilvl w:val="0"/>
          <w:numId w:val="19"/>
        </w:numPr>
      </w:pPr>
      <w:r>
        <w:t xml:space="preserve">It is the responsibility of </w:t>
      </w:r>
      <w:r w:rsidR="00333A69">
        <w:t>ERCOT staff</w:t>
      </w:r>
      <w:r>
        <w:t xml:space="preserve"> to maintain the ERCOT MOD production environment that allows SSWG members to provide appropriate equipment characteristics and system data as stated in this procedure</w:t>
      </w:r>
      <w:r w:rsidRPr="00A464A8">
        <w:t>.</w:t>
      </w:r>
    </w:p>
    <w:p w:rsidR="00C22552" w:rsidRDefault="00C22552" w:rsidP="001D2F86">
      <w:pPr>
        <w:pStyle w:val="BodyText4"/>
        <w:numPr>
          <w:ilvl w:val="0"/>
          <w:numId w:val="19"/>
        </w:numPr>
      </w:pPr>
      <w:r>
        <w:t xml:space="preserve">It is the responsibility of </w:t>
      </w:r>
      <w:r w:rsidR="00333A69">
        <w:t>ERCOT staff</w:t>
      </w:r>
      <w:r>
        <w:t xml:space="preserve"> to provide an initial generation dispatch for Pass 0.</w:t>
      </w:r>
    </w:p>
    <w:p w:rsidR="00C22552" w:rsidRDefault="00C22552" w:rsidP="001D2F86">
      <w:pPr>
        <w:pStyle w:val="BodyText4"/>
        <w:numPr>
          <w:ilvl w:val="0"/>
          <w:numId w:val="19"/>
        </w:numPr>
      </w:pPr>
      <w:r>
        <w:t xml:space="preserve">It is the responsibility of </w:t>
      </w:r>
      <w:r w:rsidR="00333A69">
        <w:t>ERCOT staff</w:t>
      </w:r>
      <w:r>
        <w:t xml:space="preserve"> to provide the revised generation </w:t>
      </w:r>
      <w:r w:rsidR="00417C5C">
        <w:t xml:space="preserve">dispatch </w:t>
      </w:r>
      <w:r>
        <w:t>based on the latest topology and loads by submitting the Load Generation Profile by Pass 2 in the case building process.</w:t>
      </w:r>
    </w:p>
    <w:p w:rsidR="00C22552" w:rsidRDefault="00333A69" w:rsidP="001D2F86">
      <w:pPr>
        <w:pStyle w:val="BodyText4"/>
        <w:numPr>
          <w:ilvl w:val="0"/>
          <w:numId w:val="19"/>
        </w:numPr>
      </w:pPr>
      <w:r>
        <w:t>ERCOT staff</w:t>
      </w:r>
      <w:r w:rsidR="00C22552">
        <w:t xml:space="preserve"> shall revise the generation dispatch as needed throughout the case building process</w:t>
      </w:r>
      <w:r w:rsidR="002E208E">
        <w:t>.</w:t>
      </w:r>
    </w:p>
    <w:p w:rsidR="00C22552" w:rsidRDefault="00333A69" w:rsidP="001D2F86">
      <w:pPr>
        <w:pStyle w:val="BodyText4"/>
        <w:numPr>
          <w:ilvl w:val="0"/>
          <w:numId w:val="19"/>
        </w:numPr>
      </w:pPr>
      <w:r>
        <w:t>ERCOT staff</w:t>
      </w:r>
      <w:r w:rsidR="00C22552">
        <w:t xml:space="preserve"> shall review submitted PMCRs and notify TSPs of any PMCRs which appear to modify topology, ratings, or impedances from the Network Operations Model.</w:t>
      </w:r>
    </w:p>
    <w:p w:rsidR="00C22552" w:rsidRDefault="00C22552" w:rsidP="001D2F86">
      <w:pPr>
        <w:pStyle w:val="BodyText4"/>
        <w:numPr>
          <w:ilvl w:val="0"/>
          <w:numId w:val="19"/>
        </w:numPr>
      </w:pPr>
      <w:r>
        <w:lastRenderedPageBreak/>
        <w:t xml:space="preserve">Based on the TSPs NERC responsibilities of providing appropriate equipment characteristics and system data, </w:t>
      </w:r>
      <w:r w:rsidR="00333A69">
        <w:t>ERCOT staff</w:t>
      </w:r>
      <w:r>
        <w:t xml:space="preserve"> shall not reject any PMCR that TSPs ultimately determine should be applied to case after appropriate reviews have occurred.</w:t>
      </w:r>
    </w:p>
    <w:p w:rsidR="00C22552" w:rsidRDefault="00333A69" w:rsidP="001D2F86">
      <w:pPr>
        <w:pStyle w:val="BodyText4"/>
        <w:numPr>
          <w:ilvl w:val="0"/>
          <w:numId w:val="19"/>
        </w:numPr>
      </w:pPr>
      <w:r>
        <w:t>ERCOT staff</w:t>
      </w:r>
      <w:r w:rsidR="00C22552">
        <w:t xml:space="preserve"> shall provide and review all generator models and updates including generator step-up transformers</w:t>
      </w:r>
      <w:r w:rsidR="000E3215">
        <w:t xml:space="preserve"> and associated GR-owned transmission facilities</w:t>
      </w:r>
      <w:r w:rsidR="00C22552">
        <w:t xml:space="preserve">. </w:t>
      </w:r>
    </w:p>
    <w:p w:rsidR="00C22552" w:rsidRDefault="00333A69" w:rsidP="001D2F86">
      <w:pPr>
        <w:pStyle w:val="BodyText4"/>
        <w:numPr>
          <w:ilvl w:val="0"/>
          <w:numId w:val="19"/>
        </w:numPr>
      </w:pPr>
      <w:r>
        <w:t>ERCOT staff</w:t>
      </w:r>
      <w:r w:rsidR="00C22552">
        <w:t xml:space="preserve"> shall provide and review all PUN top</w:t>
      </w:r>
      <w:r>
        <w:t>ology, ratings, and impedances.</w:t>
      </w:r>
    </w:p>
    <w:p w:rsidR="00C22552" w:rsidRPr="00CE60EC" w:rsidRDefault="00C22552" w:rsidP="001D2F86">
      <w:pPr>
        <w:pStyle w:val="BodyText4"/>
        <w:numPr>
          <w:ilvl w:val="0"/>
          <w:numId w:val="19"/>
        </w:numPr>
      </w:pPr>
      <w:r w:rsidRPr="00A464A8">
        <w:rPr>
          <w:szCs w:val="24"/>
        </w:rPr>
        <w:t>If load data is not submitted</w:t>
      </w:r>
      <w:r>
        <w:rPr>
          <w:szCs w:val="24"/>
        </w:rPr>
        <w:t xml:space="preserve"> by pass 1</w:t>
      </w:r>
      <w:r w:rsidRPr="00A464A8">
        <w:rPr>
          <w:szCs w:val="24"/>
        </w:rPr>
        <w:t xml:space="preserve">, then </w:t>
      </w:r>
      <w:r w:rsidR="00333A69">
        <w:rPr>
          <w:szCs w:val="24"/>
        </w:rPr>
        <w:t>ERCOT staff</w:t>
      </w:r>
      <w:r w:rsidRPr="00A464A8">
        <w:rPr>
          <w:szCs w:val="24"/>
        </w:rPr>
        <w:t xml:space="preserve"> shall calculate loads based on historical data and insert these loads into the power flow cases during Data</w:t>
      </w:r>
      <w:r>
        <w:rPr>
          <w:szCs w:val="24"/>
        </w:rPr>
        <w:t xml:space="preserve"> </w:t>
      </w:r>
      <w:r w:rsidRPr="00A464A8">
        <w:rPr>
          <w:szCs w:val="24"/>
        </w:rPr>
        <w:t>Set</w:t>
      </w:r>
      <w:r>
        <w:rPr>
          <w:szCs w:val="24"/>
        </w:rPr>
        <w:t xml:space="preserve"> </w:t>
      </w:r>
      <w:r w:rsidRPr="00A464A8">
        <w:rPr>
          <w:szCs w:val="24"/>
        </w:rPr>
        <w:t>A and Data</w:t>
      </w:r>
      <w:r>
        <w:rPr>
          <w:szCs w:val="24"/>
        </w:rPr>
        <w:t xml:space="preserve"> </w:t>
      </w:r>
      <w:r w:rsidRPr="00A464A8">
        <w:rPr>
          <w:szCs w:val="24"/>
        </w:rPr>
        <w:t>Set</w:t>
      </w:r>
      <w:r>
        <w:rPr>
          <w:szCs w:val="24"/>
        </w:rPr>
        <w:t xml:space="preserve"> </w:t>
      </w:r>
      <w:r w:rsidRPr="00A464A8">
        <w:rPr>
          <w:szCs w:val="24"/>
        </w:rPr>
        <w:t>B annual updates.</w:t>
      </w:r>
    </w:p>
    <w:p w:rsidR="00C22552" w:rsidRPr="00B93653" w:rsidRDefault="00333A69" w:rsidP="001D2F86">
      <w:pPr>
        <w:pStyle w:val="BodyText4"/>
        <w:numPr>
          <w:ilvl w:val="0"/>
          <w:numId w:val="19"/>
        </w:numPr>
      </w:pPr>
      <w:r>
        <w:rPr>
          <w:szCs w:val="24"/>
        </w:rPr>
        <w:t>ERCOT staff</w:t>
      </w:r>
      <w:r w:rsidR="00C22552">
        <w:rPr>
          <w:szCs w:val="24"/>
        </w:rPr>
        <w:t xml:space="preserve"> shall provide case checking files after each pass as historically provided</w:t>
      </w:r>
      <w:r w:rsidR="002E208E">
        <w:rPr>
          <w:szCs w:val="24"/>
        </w:rPr>
        <w:t>.</w:t>
      </w:r>
    </w:p>
    <w:p w:rsidR="00C22552" w:rsidRDefault="00C22552">
      <w:pPr>
        <w:pStyle w:val="Heading3"/>
      </w:pPr>
      <w:bookmarkStart w:id="18" w:name="_Toc286726271"/>
      <w:r>
        <w:t>Data Set A</w:t>
      </w:r>
      <w:bookmarkEnd w:id="18"/>
    </w:p>
    <w:p w:rsidR="00333A69" w:rsidRDefault="00C22552">
      <w:pPr>
        <w:pStyle w:val="Heading4"/>
      </w:pPr>
      <w:r>
        <w:t>S</w:t>
      </w:r>
      <w:r w:rsidR="00F2562A">
        <w:t>ummary of Cases</w:t>
      </w:r>
    </w:p>
    <w:p w:rsidR="00C22552" w:rsidRPr="00A22D94" w:rsidRDefault="00C22552" w:rsidP="001D2F86">
      <w:pPr>
        <w:pStyle w:val="BodyText3"/>
      </w:pPr>
      <w:r w:rsidRPr="00A22D94">
        <w:t>Data Set A seasons are as follows:</w:t>
      </w:r>
    </w:p>
    <w:p w:rsidR="00C22552" w:rsidRPr="00A22D94" w:rsidRDefault="00C22552" w:rsidP="001D2F86">
      <w:pPr>
        <w:pStyle w:val="ListParagraph"/>
        <w:ind w:left="2880"/>
      </w:pPr>
      <w:r w:rsidRPr="00A22D94">
        <w:t>SPG</w:t>
      </w:r>
      <w:r w:rsidRPr="00A22D94">
        <w:tab/>
      </w:r>
      <w:r w:rsidRPr="00A22D94">
        <w:tab/>
        <w:t>March, April, May</w:t>
      </w:r>
    </w:p>
    <w:p w:rsidR="00C22552" w:rsidRPr="00A22D94" w:rsidRDefault="00C22552" w:rsidP="001D2F86">
      <w:pPr>
        <w:pStyle w:val="ListParagraph"/>
        <w:ind w:left="2880"/>
      </w:pPr>
      <w:r w:rsidRPr="00A22D94">
        <w:t>SUM</w:t>
      </w:r>
      <w:r w:rsidRPr="00A22D94">
        <w:tab/>
      </w:r>
      <w:r w:rsidRPr="00A22D94">
        <w:tab/>
        <w:t>June, July, August, September</w:t>
      </w:r>
    </w:p>
    <w:p w:rsidR="00C22552" w:rsidRPr="00A22D94" w:rsidRDefault="00C22552" w:rsidP="001D2F86">
      <w:pPr>
        <w:pStyle w:val="ListParagraph"/>
        <w:ind w:left="2880"/>
      </w:pPr>
      <w:r w:rsidRPr="00A22D94">
        <w:t>FAL</w:t>
      </w:r>
      <w:r w:rsidRPr="00A22D94">
        <w:tab/>
      </w:r>
      <w:r w:rsidRPr="00A22D94">
        <w:tab/>
        <w:t>October, November</w:t>
      </w:r>
    </w:p>
    <w:p w:rsidR="00C22552" w:rsidRPr="00A22D94" w:rsidRDefault="00C22552" w:rsidP="001D2F86">
      <w:pPr>
        <w:pStyle w:val="ListParagraph"/>
        <w:ind w:left="2880"/>
      </w:pPr>
      <w:r w:rsidRPr="00A22D94">
        <w:t>WIN</w:t>
      </w:r>
      <w:r w:rsidRPr="00A22D94">
        <w:tab/>
      </w:r>
      <w:r w:rsidRPr="00A22D94">
        <w:tab/>
        <w:t>December, January, February</w:t>
      </w:r>
    </w:p>
    <w:p w:rsidR="00C22552" w:rsidRPr="00A464A8" w:rsidRDefault="00C22552" w:rsidP="00B93653">
      <w:pPr>
        <w:tabs>
          <w:tab w:val="left" w:pos="456"/>
          <w:tab w:val="left" w:pos="1176"/>
          <w:tab w:val="left" w:pos="1656"/>
          <w:tab w:val="left" w:pos="3816"/>
          <w:tab w:val="left" w:pos="6216"/>
        </w:tabs>
        <w:suppressAutoHyphens/>
        <w:jc w:val="both"/>
        <w:rPr>
          <w:spacing w:val="-2"/>
          <w:sz w:val="24"/>
        </w:rPr>
      </w:pPr>
    </w:p>
    <w:p w:rsidR="00C22552" w:rsidRPr="001D2F86" w:rsidRDefault="00C22552" w:rsidP="001D2F86">
      <w:pPr>
        <w:pStyle w:val="ListParagraph"/>
        <w:ind w:left="0"/>
        <w:jc w:val="center"/>
        <w:rPr>
          <w:b/>
        </w:rPr>
      </w:pPr>
      <w:r w:rsidRPr="001D2F86">
        <w:rPr>
          <w:b/>
        </w:rPr>
        <w:t>ERCOT DATA SET A BASECASES</w:t>
      </w:r>
    </w:p>
    <w:p w:rsidR="00C22552" w:rsidRPr="001D2F86" w:rsidRDefault="00C22552" w:rsidP="001D2F86">
      <w:pPr>
        <w:pStyle w:val="ListParagraph"/>
        <w:ind w:left="0"/>
        <w:jc w:val="center"/>
        <w:rPr>
          <w:b/>
        </w:rPr>
      </w:pPr>
      <w:r w:rsidRPr="001D2F86">
        <w:rPr>
          <w:b/>
        </w:rPr>
        <w:t>(YR) = FOLLOWING YEAR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1750"/>
        <w:gridCol w:w="4350"/>
      </w:tblGrid>
      <w:tr w:rsidR="00C22552" w:rsidTr="00170ABC">
        <w:trPr>
          <w:trHeight w:val="485"/>
          <w:jc w:val="center"/>
        </w:trPr>
        <w:tc>
          <w:tcPr>
            <w:tcW w:w="1638" w:type="dxa"/>
            <w:vAlign w:val="center"/>
          </w:tcPr>
          <w:p w:rsidR="00C22552" w:rsidRDefault="00C22552" w:rsidP="00170ABC">
            <w:pPr>
              <w:pStyle w:val="Heading8"/>
              <w:widowControl/>
            </w:pPr>
            <w:r>
              <w:t>BASE CASE</w:t>
            </w:r>
          </w:p>
        </w:tc>
        <w:tc>
          <w:tcPr>
            <w:tcW w:w="1750" w:type="dxa"/>
            <w:vAlign w:val="center"/>
          </w:tcPr>
          <w:p w:rsidR="00C22552" w:rsidRDefault="00C22552" w:rsidP="0055789E">
            <w:pPr>
              <w:pStyle w:val="Heading8"/>
            </w:pPr>
            <w:bookmarkStart w:id="19" w:name="_Toc286311111"/>
            <w:r>
              <w:t>NOTES</w:t>
            </w:r>
            <w:bookmarkEnd w:id="19"/>
          </w:p>
        </w:tc>
        <w:tc>
          <w:tcPr>
            <w:tcW w:w="4350" w:type="dxa"/>
            <w:vAlign w:val="center"/>
          </w:tcPr>
          <w:p w:rsidR="00C22552" w:rsidRDefault="00C22552" w:rsidP="00170ABC">
            <w:pPr>
              <w:jc w:val="center"/>
              <w:rPr>
                <w:b/>
                <w:sz w:val="24"/>
              </w:rPr>
            </w:pPr>
            <w:r>
              <w:rPr>
                <w:b/>
                <w:sz w:val="24"/>
              </w:rPr>
              <w:t>TRANSMISSION IN-SERVICE DATE</w:t>
            </w:r>
          </w:p>
        </w:tc>
      </w:tr>
      <w:tr w:rsidR="00C22552" w:rsidTr="00170ABC">
        <w:trPr>
          <w:jc w:val="center"/>
        </w:trPr>
        <w:tc>
          <w:tcPr>
            <w:tcW w:w="1638" w:type="dxa"/>
          </w:tcPr>
          <w:p w:rsidR="00C22552" w:rsidRDefault="00C22552" w:rsidP="00170ABC">
            <w:pPr>
              <w:rPr>
                <w:sz w:val="24"/>
              </w:rPr>
            </w:pPr>
            <w:r>
              <w:rPr>
                <w:sz w:val="24"/>
              </w:rPr>
              <w:t>(YR) SPG1</w:t>
            </w:r>
          </w:p>
        </w:tc>
        <w:tc>
          <w:tcPr>
            <w:tcW w:w="1750" w:type="dxa"/>
          </w:tcPr>
          <w:p w:rsidR="00C22552" w:rsidRDefault="00C22552" w:rsidP="00170ABC">
            <w:pPr>
              <w:jc w:val="center"/>
              <w:rPr>
                <w:sz w:val="24"/>
              </w:rPr>
            </w:pPr>
            <w:r>
              <w:rPr>
                <w:sz w:val="24"/>
              </w:rPr>
              <w:t>2</w:t>
            </w:r>
          </w:p>
        </w:tc>
        <w:tc>
          <w:tcPr>
            <w:tcW w:w="4350" w:type="dxa"/>
          </w:tcPr>
          <w:p w:rsidR="00C22552" w:rsidRDefault="00C22552" w:rsidP="00170ABC">
            <w:pPr>
              <w:rPr>
                <w:sz w:val="24"/>
              </w:rPr>
            </w:pPr>
            <w:r>
              <w:rPr>
                <w:sz w:val="24"/>
              </w:rPr>
              <w:t>April 1, (YR)</w:t>
            </w:r>
          </w:p>
        </w:tc>
      </w:tr>
      <w:tr w:rsidR="00C22552" w:rsidTr="00170ABC">
        <w:trPr>
          <w:jc w:val="center"/>
        </w:trPr>
        <w:tc>
          <w:tcPr>
            <w:tcW w:w="1638" w:type="dxa"/>
          </w:tcPr>
          <w:p w:rsidR="00C22552" w:rsidRDefault="00C22552" w:rsidP="00170ABC">
            <w:pPr>
              <w:rPr>
                <w:sz w:val="24"/>
              </w:rPr>
            </w:pPr>
            <w:r>
              <w:rPr>
                <w:sz w:val="24"/>
              </w:rPr>
              <w:t>(YR) SPG2</w:t>
            </w:r>
          </w:p>
        </w:tc>
        <w:tc>
          <w:tcPr>
            <w:tcW w:w="1750" w:type="dxa"/>
          </w:tcPr>
          <w:p w:rsidR="00C22552" w:rsidRDefault="00C22552" w:rsidP="00170ABC">
            <w:pPr>
              <w:jc w:val="center"/>
              <w:rPr>
                <w:sz w:val="24"/>
              </w:rPr>
            </w:pPr>
            <w:r>
              <w:rPr>
                <w:sz w:val="24"/>
              </w:rPr>
              <w:t>3</w:t>
            </w:r>
          </w:p>
        </w:tc>
        <w:tc>
          <w:tcPr>
            <w:tcW w:w="4350" w:type="dxa"/>
          </w:tcPr>
          <w:p w:rsidR="00C22552" w:rsidRDefault="00C22552" w:rsidP="00170ABC">
            <w:pPr>
              <w:rPr>
                <w:sz w:val="24"/>
              </w:rPr>
            </w:pPr>
            <w:r>
              <w:rPr>
                <w:sz w:val="24"/>
              </w:rPr>
              <w:t>April 1, (YR)</w:t>
            </w:r>
          </w:p>
        </w:tc>
      </w:tr>
      <w:tr w:rsidR="00C22552" w:rsidTr="00170ABC">
        <w:trPr>
          <w:jc w:val="center"/>
        </w:trPr>
        <w:tc>
          <w:tcPr>
            <w:tcW w:w="1638" w:type="dxa"/>
          </w:tcPr>
          <w:p w:rsidR="00C22552" w:rsidRDefault="00C22552" w:rsidP="00170ABC">
            <w:pPr>
              <w:rPr>
                <w:sz w:val="24"/>
              </w:rPr>
            </w:pPr>
            <w:r>
              <w:rPr>
                <w:sz w:val="24"/>
              </w:rPr>
              <w:t>(YR) SUM1</w:t>
            </w:r>
          </w:p>
        </w:tc>
        <w:tc>
          <w:tcPr>
            <w:tcW w:w="1750" w:type="dxa"/>
          </w:tcPr>
          <w:p w:rsidR="00C22552" w:rsidRDefault="00C22552" w:rsidP="00170ABC">
            <w:pPr>
              <w:jc w:val="center"/>
              <w:rPr>
                <w:sz w:val="24"/>
              </w:rPr>
            </w:pPr>
            <w:r>
              <w:rPr>
                <w:sz w:val="24"/>
              </w:rPr>
              <w:t>1</w:t>
            </w:r>
          </w:p>
        </w:tc>
        <w:tc>
          <w:tcPr>
            <w:tcW w:w="4350" w:type="dxa"/>
          </w:tcPr>
          <w:p w:rsidR="00C22552" w:rsidRDefault="00C22552" w:rsidP="00170ABC">
            <w:pPr>
              <w:rPr>
                <w:sz w:val="24"/>
              </w:rPr>
            </w:pPr>
            <w:r>
              <w:rPr>
                <w:sz w:val="24"/>
              </w:rPr>
              <w:t>July 1, (YR)</w:t>
            </w:r>
          </w:p>
        </w:tc>
      </w:tr>
      <w:tr w:rsidR="00C22552" w:rsidTr="00170ABC">
        <w:trPr>
          <w:jc w:val="center"/>
        </w:trPr>
        <w:tc>
          <w:tcPr>
            <w:tcW w:w="1638" w:type="dxa"/>
          </w:tcPr>
          <w:p w:rsidR="00C22552" w:rsidRDefault="00C22552" w:rsidP="00170ABC">
            <w:pPr>
              <w:rPr>
                <w:sz w:val="24"/>
              </w:rPr>
            </w:pPr>
            <w:r>
              <w:rPr>
                <w:sz w:val="24"/>
              </w:rPr>
              <w:t>(YR) SUM2</w:t>
            </w:r>
          </w:p>
        </w:tc>
        <w:tc>
          <w:tcPr>
            <w:tcW w:w="1750" w:type="dxa"/>
          </w:tcPr>
          <w:p w:rsidR="00C22552" w:rsidRDefault="00C22552" w:rsidP="00170ABC">
            <w:pPr>
              <w:jc w:val="center"/>
              <w:rPr>
                <w:sz w:val="24"/>
              </w:rPr>
            </w:pPr>
            <w:r>
              <w:rPr>
                <w:sz w:val="24"/>
              </w:rPr>
              <w:t>3</w:t>
            </w:r>
          </w:p>
        </w:tc>
        <w:tc>
          <w:tcPr>
            <w:tcW w:w="4350" w:type="dxa"/>
          </w:tcPr>
          <w:p w:rsidR="00C22552" w:rsidRDefault="00C22552" w:rsidP="00170ABC">
            <w:pPr>
              <w:rPr>
                <w:sz w:val="24"/>
              </w:rPr>
            </w:pPr>
            <w:r>
              <w:rPr>
                <w:sz w:val="24"/>
              </w:rPr>
              <w:t>July 1, (YR)</w:t>
            </w:r>
          </w:p>
        </w:tc>
      </w:tr>
      <w:tr w:rsidR="00C22552" w:rsidTr="00170ABC">
        <w:trPr>
          <w:jc w:val="center"/>
        </w:trPr>
        <w:tc>
          <w:tcPr>
            <w:tcW w:w="1638" w:type="dxa"/>
          </w:tcPr>
          <w:p w:rsidR="00C22552" w:rsidRDefault="00C22552" w:rsidP="00170ABC">
            <w:pPr>
              <w:rPr>
                <w:sz w:val="24"/>
              </w:rPr>
            </w:pPr>
            <w:r>
              <w:rPr>
                <w:sz w:val="24"/>
              </w:rPr>
              <w:t>(YR) FAL1</w:t>
            </w:r>
          </w:p>
        </w:tc>
        <w:tc>
          <w:tcPr>
            <w:tcW w:w="1750" w:type="dxa"/>
          </w:tcPr>
          <w:p w:rsidR="00C22552" w:rsidRDefault="00C22552" w:rsidP="00170ABC">
            <w:pPr>
              <w:jc w:val="center"/>
              <w:rPr>
                <w:sz w:val="24"/>
              </w:rPr>
            </w:pPr>
            <w:r>
              <w:rPr>
                <w:sz w:val="24"/>
              </w:rPr>
              <w:t>2</w:t>
            </w:r>
          </w:p>
        </w:tc>
        <w:tc>
          <w:tcPr>
            <w:tcW w:w="4350" w:type="dxa"/>
          </w:tcPr>
          <w:p w:rsidR="00C22552" w:rsidRDefault="00C22552" w:rsidP="00170ABC">
            <w:pPr>
              <w:rPr>
                <w:sz w:val="24"/>
              </w:rPr>
            </w:pPr>
            <w:r>
              <w:rPr>
                <w:sz w:val="24"/>
              </w:rPr>
              <w:t>October 1, (YR)</w:t>
            </w:r>
          </w:p>
        </w:tc>
      </w:tr>
      <w:tr w:rsidR="00C22552" w:rsidTr="00170ABC">
        <w:trPr>
          <w:jc w:val="center"/>
        </w:trPr>
        <w:tc>
          <w:tcPr>
            <w:tcW w:w="1638" w:type="dxa"/>
          </w:tcPr>
          <w:p w:rsidR="00C22552" w:rsidRDefault="00C22552" w:rsidP="00170ABC">
            <w:pPr>
              <w:rPr>
                <w:sz w:val="24"/>
              </w:rPr>
            </w:pPr>
            <w:r>
              <w:rPr>
                <w:sz w:val="24"/>
              </w:rPr>
              <w:t>(YR) FAL2</w:t>
            </w:r>
          </w:p>
        </w:tc>
        <w:tc>
          <w:tcPr>
            <w:tcW w:w="1750" w:type="dxa"/>
          </w:tcPr>
          <w:p w:rsidR="00C22552" w:rsidRDefault="00C22552" w:rsidP="00170ABC">
            <w:pPr>
              <w:jc w:val="center"/>
              <w:rPr>
                <w:sz w:val="24"/>
              </w:rPr>
            </w:pPr>
            <w:r>
              <w:rPr>
                <w:sz w:val="24"/>
              </w:rPr>
              <w:t>3</w:t>
            </w:r>
          </w:p>
        </w:tc>
        <w:tc>
          <w:tcPr>
            <w:tcW w:w="4350" w:type="dxa"/>
          </w:tcPr>
          <w:p w:rsidR="00C22552" w:rsidRDefault="00C22552" w:rsidP="00170ABC">
            <w:pPr>
              <w:rPr>
                <w:sz w:val="24"/>
              </w:rPr>
            </w:pPr>
            <w:r>
              <w:rPr>
                <w:sz w:val="24"/>
              </w:rPr>
              <w:t>October 1, (YR)</w:t>
            </w:r>
          </w:p>
        </w:tc>
      </w:tr>
      <w:tr w:rsidR="00C22552" w:rsidTr="00170ABC">
        <w:trPr>
          <w:jc w:val="center"/>
        </w:trPr>
        <w:tc>
          <w:tcPr>
            <w:tcW w:w="1638" w:type="dxa"/>
          </w:tcPr>
          <w:p w:rsidR="00C22552" w:rsidRDefault="00C22552" w:rsidP="00170ABC">
            <w:pPr>
              <w:rPr>
                <w:sz w:val="24"/>
              </w:rPr>
            </w:pPr>
            <w:r>
              <w:rPr>
                <w:sz w:val="24"/>
              </w:rPr>
              <w:t>(YR+1) WIN1</w:t>
            </w:r>
          </w:p>
        </w:tc>
        <w:tc>
          <w:tcPr>
            <w:tcW w:w="1750" w:type="dxa"/>
          </w:tcPr>
          <w:p w:rsidR="00C22552" w:rsidRDefault="00C22552" w:rsidP="00170ABC">
            <w:pPr>
              <w:jc w:val="center"/>
              <w:rPr>
                <w:sz w:val="24"/>
              </w:rPr>
            </w:pPr>
            <w:r>
              <w:rPr>
                <w:sz w:val="24"/>
              </w:rPr>
              <w:t>1</w:t>
            </w:r>
          </w:p>
        </w:tc>
        <w:tc>
          <w:tcPr>
            <w:tcW w:w="4350" w:type="dxa"/>
          </w:tcPr>
          <w:p w:rsidR="00C22552" w:rsidRDefault="00C22552" w:rsidP="00170ABC">
            <w:pPr>
              <w:rPr>
                <w:sz w:val="24"/>
              </w:rPr>
            </w:pPr>
            <w:r>
              <w:rPr>
                <w:sz w:val="24"/>
              </w:rPr>
              <w:t>January 1, (YR+1)</w:t>
            </w:r>
          </w:p>
        </w:tc>
      </w:tr>
      <w:tr w:rsidR="00C22552" w:rsidTr="00170ABC">
        <w:trPr>
          <w:jc w:val="center"/>
        </w:trPr>
        <w:tc>
          <w:tcPr>
            <w:tcW w:w="1638" w:type="dxa"/>
          </w:tcPr>
          <w:p w:rsidR="00C22552" w:rsidRDefault="00C22552" w:rsidP="00170ABC">
            <w:pPr>
              <w:rPr>
                <w:sz w:val="24"/>
              </w:rPr>
            </w:pPr>
            <w:r>
              <w:rPr>
                <w:sz w:val="24"/>
              </w:rPr>
              <w:t>(YR+1) WIN2</w:t>
            </w:r>
          </w:p>
        </w:tc>
        <w:tc>
          <w:tcPr>
            <w:tcW w:w="1750" w:type="dxa"/>
          </w:tcPr>
          <w:p w:rsidR="00C22552" w:rsidRDefault="00C22552" w:rsidP="00170ABC">
            <w:pPr>
              <w:jc w:val="center"/>
              <w:rPr>
                <w:sz w:val="24"/>
              </w:rPr>
            </w:pPr>
            <w:r>
              <w:rPr>
                <w:sz w:val="24"/>
              </w:rPr>
              <w:t>3</w:t>
            </w:r>
          </w:p>
        </w:tc>
        <w:tc>
          <w:tcPr>
            <w:tcW w:w="4350" w:type="dxa"/>
          </w:tcPr>
          <w:p w:rsidR="00C22552" w:rsidRDefault="00C22552" w:rsidP="00170ABC">
            <w:pPr>
              <w:rPr>
                <w:sz w:val="24"/>
              </w:rPr>
            </w:pPr>
            <w:r>
              <w:rPr>
                <w:sz w:val="24"/>
              </w:rPr>
              <w:t>January 1, (YR+1)</w:t>
            </w:r>
          </w:p>
        </w:tc>
      </w:tr>
    </w:tbl>
    <w:p w:rsidR="00C22552" w:rsidRPr="0055789E" w:rsidRDefault="00C22552" w:rsidP="0055789E">
      <w:pPr>
        <w:pStyle w:val="BodyText3"/>
        <w:rPr>
          <w:u w:val="single"/>
        </w:rPr>
      </w:pPr>
      <w:r w:rsidRPr="0055789E">
        <w:rPr>
          <w:u w:val="single"/>
        </w:rPr>
        <w:t>Notes</w:t>
      </w:r>
    </w:p>
    <w:p w:rsidR="00C22552" w:rsidRPr="00A464A8" w:rsidRDefault="00C22552" w:rsidP="00AE0017">
      <w:pPr>
        <w:pStyle w:val="ListParagraph"/>
        <w:numPr>
          <w:ilvl w:val="0"/>
          <w:numId w:val="8"/>
        </w:numPr>
      </w:pPr>
      <w:r w:rsidRPr="00A464A8">
        <w:t xml:space="preserve">Cases to represent the maximum expected load during the season. </w:t>
      </w:r>
    </w:p>
    <w:p w:rsidR="00C22552" w:rsidRPr="00A464A8" w:rsidRDefault="00C22552" w:rsidP="00AE0017">
      <w:pPr>
        <w:pStyle w:val="ListParagraph"/>
        <w:numPr>
          <w:ilvl w:val="0"/>
          <w:numId w:val="8"/>
        </w:numPr>
      </w:pPr>
      <w:r w:rsidRPr="00A464A8">
        <w:t>Cases to represent maximum expected load during month of transmission in-service date.</w:t>
      </w:r>
    </w:p>
    <w:p w:rsidR="00C22552" w:rsidRDefault="00C22552" w:rsidP="00AE0017">
      <w:pPr>
        <w:pStyle w:val="ListParagraph"/>
        <w:numPr>
          <w:ilvl w:val="0"/>
          <w:numId w:val="8"/>
        </w:numPr>
      </w:pPr>
      <w:r w:rsidRPr="00A464A8">
        <w:lastRenderedPageBreak/>
        <w:t>Cases to represent lowest load on same day as the corresponding seasonal case (not a minimum case). For example, (YR) FAL2 case represents the lowest load on the same day as the (YR) FAL1 case.</w:t>
      </w:r>
    </w:p>
    <w:p w:rsidR="00F2562A" w:rsidRDefault="00F2562A" w:rsidP="00F2562A">
      <w:pPr>
        <w:pStyle w:val="Heading4"/>
      </w:pPr>
      <w:r>
        <w:t>Data Set A Generation Dispatch</w:t>
      </w:r>
    </w:p>
    <w:p w:rsidR="00F2562A" w:rsidRDefault="00F2562A" w:rsidP="00F2562A">
      <w:pPr>
        <w:pStyle w:val="BodyText4"/>
      </w:pPr>
      <w:r>
        <w:t>Data Set A will contain a security constrained economic dispatch.</w:t>
      </w:r>
    </w:p>
    <w:p w:rsidR="00333A69" w:rsidRDefault="00C22552">
      <w:pPr>
        <w:pStyle w:val="Heading4"/>
      </w:pPr>
      <w:r>
        <w:t>Procedure</w:t>
      </w:r>
      <w:r w:rsidR="002E208E">
        <w:t xml:space="preserve"> for B</w:t>
      </w:r>
      <w:r w:rsidR="008A57F6">
        <w:t xml:space="preserve">uilding </w:t>
      </w:r>
      <w:r w:rsidR="00417C5C">
        <w:t>D</w:t>
      </w:r>
      <w:r w:rsidR="008A57F6">
        <w:t xml:space="preserve">ata </w:t>
      </w:r>
      <w:r w:rsidR="00417C5C">
        <w:t>S</w:t>
      </w:r>
      <w:r w:rsidR="008A57F6">
        <w:t xml:space="preserve">et </w:t>
      </w:r>
      <w:r w:rsidR="00417C5C">
        <w:t>A</w:t>
      </w:r>
      <w:r w:rsidR="002E208E">
        <w:t xml:space="preserve"> C</w:t>
      </w:r>
      <w:r w:rsidR="008A57F6">
        <w:t xml:space="preserve">ases </w:t>
      </w:r>
    </w:p>
    <w:p w:rsidR="00C22552" w:rsidRDefault="00C22552" w:rsidP="009E4DBA">
      <w:pPr>
        <w:pStyle w:val="BodyText3"/>
        <w:numPr>
          <w:ilvl w:val="0"/>
          <w:numId w:val="21"/>
        </w:numPr>
      </w:pPr>
      <w:r>
        <w:t>Pass 0</w:t>
      </w:r>
    </w:p>
    <w:p w:rsidR="00C22552" w:rsidRPr="005725C4" w:rsidRDefault="00C22552" w:rsidP="009E4DBA">
      <w:pPr>
        <w:pStyle w:val="BodyText3"/>
        <w:numPr>
          <w:ilvl w:val="1"/>
          <w:numId w:val="21"/>
        </w:numPr>
      </w:pPr>
      <w:r w:rsidRPr="005725C4">
        <w:t>Load TP-Mirror</w:t>
      </w:r>
    </w:p>
    <w:p w:rsidR="00C22552" w:rsidRPr="005725C4" w:rsidRDefault="00C22552" w:rsidP="009E4DBA">
      <w:pPr>
        <w:pStyle w:val="BodyText3"/>
        <w:numPr>
          <w:ilvl w:val="1"/>
          <w:numId w:val="21"/>
        </w:numPr>
      </w:pPr>
      <w:r w:rsidRPr="005725C4">
        <w:t>Submit Profiles</w:t>
      </w:r>
    </w:p>
    <w:p w:rsidR="00C22552" w:rsidRDefault="00C22552" w:rsidP="009E4DBA">
      <w:pPr>
        <w:pStyle w:val="BodyText3"/>
        <w:numPr>
          <w:ilvl w:val="1"/>
          <w:numId w:val="21"/>
        </w:numPr>
      </w:pPr>
      <w:r w:rsidRPr="005725C4">
        <w:t>Submit PMCRs</w:t>
      </w:r>
    </w:p>
    <w:p w:rsidR="00C22552" w:rsidRPr="005725C4" w:rsidRDefault="00C22552" w:rsidP="009E4DBA">
      <w:pPr>
        <w:pStyle w:val="BodyText3"/>
        <w:numPr>
          <w:ilvl w:val="1"/>
          <w:numId w:val="21"/>
        </w:numPr>
      </w:pPr>
      <w:r w:rsidRPr="005725C4">
        <w:t>Load Initial Dispatch</w:t>
      </w:r>
    </w:p>
    <w:p w:rsidR="00C22552" w:rsidRPr="005725C4" w:rsidRDefault="00C22552" w:rsidP="009E4DBA">
      <w:pPr>
        <w:pStyle w:val="BodyText3"/>
        <w:numPr>
          <w:ilvl w:val="1"/>
          <w:numId w:val="21"/>
        </w:numPr>
      </w:pPr>
      <w:r w:rsidRPr="005725C4">
        <w:t>Consistency Validation Spreadsheet</w:t>
      </w:r>
    </w:p>
    <w:p w:rsidR="00C22552" w:rsidRDefault="00C22552" w:rsidP="009E4DBA">
      <w:pPr>
        <w:pStyle w:val="BodyText3"/>
        <w:numPr>
          <w:ilvl w:val="1"/>
          <w:numId w:val="21"/>
        </w:numPr>
      </w:pPr>
      <w:smartTag w:uri="urn:schemas-microsoft-com:office:smarttags" w:element="place">
        <w:smartTag w:uri="urn:schemas-microsoft-com:office:smarttags" w:element="PlaceName">
          <w:r w:rsidRPr="005725C4">
            <w:t>Output</w:t>
          </w:r>
        </w:smartTag>
        <w:r w:rsidRPr="005725C4">
          <w:t xml:space="preserve"> </w:t>
        </w:r>
        <w:smartTag w:uri="urn:schemas-microsoft-com:office:smarttags" w:element="PlaceType">
          <w:r w:rsidRPr="005725C4">
            <w:t>Pass</w:t>
          </w:r>
        </w:smartTag>
      </w:smartTag>
      <w:r w:rsidRPr="005725C4">
        <w:t xml:space="preserve"> 1 Cases</w:t>
      </w:r>
    </w:p>
    <w:p w:rsidR="00C22552" w:rsidRDefault="00C22552" w:rsidP="009E4DBA">
      <w:pPr>
        <w:pStyle w:val="BodyText3"/>
        <w:numPr>
          <w:ilvl w:val="0"/>
          <w:numId w:val="21"/>
        </w:numPr>
      </w:pPr>
      <w:r>
        <w:t>Pass 1</w:t>
      </w:r>
    </w:p>
    <w:p w:rsidR="00C22552" w:rsidRDefault="00C22552" w:rsidP="009E4DBA">
      <w:pPr>
        <w:pStyle w:val="BodyText3"/>
        <w:numPr>
          <w:ilvl w:val="1"/>
          <w:numId w:val="21"/>
        </w:numPr>
      </w:pPr>
      <w:r>
        <w:t>Begin Submitting Consistency PMCRs</w:t>
      </w:r>
    </w:p>
    <w:p w:rsidR="00C22552" w:rsidRDefault="00C22552" w:rsidP="009E4DBA">
      <w:pPr>
        <w:pStyle w:val="BodyText3"/>
        <w:numPr>
          <w:ilvl w:val="1"/>
          <w:numId w:val="21"/>
        </w:numPr>
      </w:pPr>
      <w:r>
        <w:t>Continue Submitting PMCRs</w:t>
      </w:r>
    </w:p>
    <w:p w:rsidR="00C22552" w:rsidRDefault="00C22552" w:rsidP="009E4DBA">
      <w:pPr>
        <w:pStyle w:val="BodyText3"/>
        <w:numPr>
          <w:ilvl w:val="1"/>
          <w:numId w:val="21"/>
        </w:numPr>
      </w:pPr>
      <w:r>
        <w:t>Updates to Profiles</w:t>
      </w:r>
    </w:p>
    <w:p w:rsidR="00C22552" w:rsidRDefault="00C22552" w:rsidP="009E4DBA">
      <w:pPr>
        <w:pStyle w:val="BodyText3"/>
        <w:numPr>
          <w:ilvl w:val="1"/>
          <w:numId w:val="21"/>
        </w:numPr>
      </w:pPr>
      <w:r>
        <w:t>Load Revised Generation Dispatch</w:t>
      </w:r>
    </w:p>
    <w:p w:rsidR="00C22552" w:rsidRDefault="00C22552" w:rsidP="009E4DBA">
      <w:pPr>
        <w:pStyle w:val="BodyText3"/>
        <w:numPr>
          <w:ilvl w:val="1"/>
          <w:numId w:val="21"/>
        </w:numPr>
      </w:pPr>
      <w:smartTag w:uri="urn:schemas-microsoft-com:office:smarttags" w:element="place">
        <w:smartTag w:uri="urn:schemas-microsoft-com:office:smarttags" w:element="PlaceName">
          <w:r>
            <w:t>Output</w:t>
          </w:r>
        </w:smartTag>
        <w:r>
          <w:t xml:space="preserve"> </w:t>
        </w:r>
        <w:smartTag w:uri="urn:schemas-microsoft-com:office:smarttags" w:element="PlaceType">
          <w:r>
            <w:t>Pass</w:t>
          </w:r>
        </w:smartTag>
      </w:smartTag>
      <w:r>
        <w:t xml:space="preserve"> 2 Cases</w:t>
      </w:r>
    </w:p>
    <w:p w:rsidR="00C22552" w:rsidRDefault="00C22552" w:rsidP="009E4DBA">
      <w:pPr>
        <w:pStyle w:val="BodyText3"/>
        <w:numPr>
          <w:ilvl w:val="0"/>
          <w:numId w:val="21"/>
        </w:numPr>
      </w:pPr>
      <w:r>
        <w:t>Pass 2</w:t>
      </w:r>
    </w:p>
    <w:p w:rsidR="00C22552" w:rsidRDefault="00C22552" w:rsidP="009E4DBA">
      <w:pPr>
        <w:pStyle w:val="BodyText3"/>
        <w:numPr>
          <w:ilvl w:val="1"/>
          <w:numId w:val="21"/>
        </w:numPr>
      </w:pPr>
      <w:r>
        <w:t>Continue Submitting Consistency PMCRs</w:t>
      </w:r>
    </w:p>
    <w:p w:rsidR="00C22552" w:rsidRDefault="00C22552" w:rsidP="009E4DBA">
      <w:pPr>
        <w:pStyle w:val="BodyText3"/>
        <w:numPr>
          <w:ilvl w:val="1"/>
          <w:numId w:val="21"/>
        </w:numPr>
      </w:pPr>
      <w:r>
        <w:t>Continue Submitting PMCRs</w:t>
      </w:r>
    </w:p>
    <w:p w:rsidR="00C22552" w:rsidRDefault="00C22552" w:rsidP="009E4DBA">
      <w:pPr>
        <w:pStyle w:val="BodyText3"/>
        <w:numPr>
          <w:ilvl w:val="1"/>
          <w:numId w:val="21"/>
        </w:numPr>
      </w:pPr>
      <w:r>
        <w:t>Updates to Profiles</w:t>
      </w:r>
    </w:p>
    <w:p w:rsidR="00C22552" w:rsidRDefault="00C22552" w:rsidP="009E4DBA">
      <w:pPr>
        <w:pStyle w:val="BodyText3"/>
        <w:numPr>
          <w:ilvl w:val="1"/>
          <w:numId w:val="21"/>
        </w:numPr>
      </w:pPr>
      <w:r>
        <w:t>Load Revised Generation Dispatch</w:t>
      </w:r>
    </w:p>
    <w:p w:rsidR="00C22552" w:rsidRDefault="00C22552" w:rsidP="009E4DBA">
      <w:pPr>
        <w:pStyle w:val="BodyText3"/>
        <w:numPr>
          <w:ilvl w:val="1"/>
          <w:numId w:val="21"/>
        </w:numPr>
      </w:pPr>
      <w:smartTag w:uri="urn:schemas-microsoft-com:office:smarttags" w:element="place">
        <w:smartTag w:uri="urn:schemas-microsoft-com:office:smarttags" w:element="PlaceName">
          <w:r>
            <w:t>Output</w:t>
          </w:r>
        </w:smartTag>
        <w:r>
          <w:t xml:space="preserve"> </w:t>
        </w:r>
        <w:smartTag w:uri="urn:schemas-microsoft-com:office:smarttags" w:element="PlaceType">
          <w:r>
            <w:t>Pass</w:t>
          </w:r>
        </w:smartTag>
      </w:smartTag>
      <w:r>
        <w:t xml:space="preserve"> 3 Cases</w:t>
      </w:r>
    </w:p>
    <w:p w:rsidR="00C22552" w:rsidRDefault="00C22552" w:rsidP="009E4DBA">
      <w:pPr>
        <w:pStyle w:val="BodyText3"/>
        <w:numPr>
          <w:ilvl w:val="0"/>
          <w:numId w:val="21"/>
        </w:numPr>
      </w:pPr>
      <w:r>
        <w:t>Pass 3</w:t>
      </w:r>
    </w:p>
    <w:p w:rsidR="00C22552" w:rsidRDefault="00C22552" w:rsidP="009E4DBA">
      <w:pPr>
        <w:pStyle w:val="BodyText3"/>
        <w:numPr>
          <w:ilvl w:val="1"/>
          <w:numId w:val="21"/>
        </w:numPr>
      </w:pPr>
      <w:r>
        <w:t>Continue Submitting Consistency PMCRs</w:t>
      </w:r>
    </w:p>
    <w:p w:rsidR="00C22552" w:rsidRDefault="00C22552" w:rsidP="009E4DBA">
      <w:pPr>
        <w:pStyle w:val="BodyText3"/>
        <w:numPr>
          <w:ilvl w:val="1"/>
          <w:numId w:val="21"/>
        </w:numPr>
      </w:pPr>
      <w:r>
        <w:t>Continue Submitting PMCRs</w:t>
      </w:r>
    </w:p>
    <w:p w:rsidR="00C22552" w:rsidRDefault="00C22552" w:rsidP="009E4DBA">
      <w:pPr>
        <w:pStyle w:val="BodyText3"/>
        <w:numPr>
          <w:ilvl w:val="1"/>
          <w:numId w:val="21"/>
        </w:numPr>
      </w:pPr>
      <w:r>
        <w:t>Updates to Profiles</w:t>
      </w:r>
    </w:p>
    <w:p w:rsidR="00C22552" w:rsidRDefault="00C22552" w:rsidP="009E4DBA">
      <w:pPr>
        <w:pStyle w:val="BodyText3"/>
        <w:numPr>
          <w:ilvl w:val="1"/>
          <w:numId w:val="21"/>
        </w:numPr>
      </w:pPr>
      <w:r>
        <w:lastRenderedPageBreak/>
        <w:t>Load Revised Generation Dispatch</w:t>
      </w:r>
    </w:p>
    <w:p w:rsidR="00C22552" w:rsidRPr="005725C4" w:rsidRDefault="00C22552" w:rsidP="000E3215">
      <w:pPr>
        <w:pStyle w:val="BodyText3"/>
        <w:numPr>
          <w:ilvl w:val="1"/>
          <w:numId w:val="21"/>
        </w:numPr>
      </w:pPr>
      <w:r w:rsidRPr="005725C4">
        <w:t>Consistency Validation Spreadsheet</w:t>
      </w:r>
      <w:r w:rsidR="00013E19">
        <w:t xml:space="preserve"> using updated TP case</w:t>
      </w:r>
    </w:p>
    <w:p w:rsidR="00C22552" w:rsidRDefault="00C22552" w:rsidP="009E4DBA">
      <w:pPr>
        <w:pStyle w:val="BodyText3"/>
        <w:numPr>
          <w:ilvl w:val="1"/>
          <w:numId w:val="21"/>
        </w:numPr>
      </w:pPr>
      <w:smartTag w:uri="urn:schemas-microsoft-com:office:smarttags" w:element="place">
        <w:smartTag w:uri="urn:schemas-microsoft-com:office:smarttags" w:element="PlaceName">
          <w:r>
            <w:t>Output</w:t>
          </w:r>
        </w:smartTag>
        <w:r>
          <w:t xml:space="preserve"> </w:t>
        </w:r>
        <w:smartTag w:uri="urn:schemas-microsoft-com:office:smarttags" w:element="PlaceType">
          <w:r>
            <w:t>Pass</w:t>
          </w:r>
        </w:smartTag>
      </w:smartTag>
      <w:r>
        <w:t xml:space="preserve"> 4 Cases</w:t>
      </w:r>
    </w:p>
    <w:p w:rsidR="00C22552" w:rsidRDefault="00C22552" w:rsidP="009E4DBA">
      <w:pPr>
        <w:pStyle w:val="BodyText3"/>
        <w:numPr>
          <w:ilvl w:val="0"/>
          <w:numId w:val="21"/>
        </w:numPr>
      </w:pPr>
      <w:r>
        <w:t>Pass 4 – Pass N</w:t>
      </w:r>
    </w:p>
    <w:p w:rsidR="00C22552" w:rsidRDefault="00C22552" w:rsidP="009E4DBA">
      <w:pPr>
        <w:pStyle w:val="BodyText3"/>
        <w:numPr>
          <w:ilvl w:val="1"/>
          <w:numId w:val="21"/>
        </w:numPr>
      </w:pPr>
      <w:r>
        <w:t>Continue Submitting Consistency PMCRs</w:t>
      </w:r>
    </w:p>
    <w:p w:rsidR="00C22552" w:rsidRDefault="00C22552" w:rsidP="009E4DBA">
      <w:pPr>
        <w:pStyle w:val="BodyText3"/>
        <w:numPr>
          <w:ilvl w:val="1"/>
          <w:numId w:val="21"/>
        </w:numPr>
      </w:pPr>
      <w:r>
        <w:t>Continue Submitting PMCRs</w:t>
      </w:r>
    </w:p>
    <w:p w:rsidR="00C22552" w:rsidRDefault="00C22552" w:rsidP="009E4DBA">
      <w:pPr>
        <w:pStyle w:val="BodyText3"/>
        <w:numPr>
          <w:ilvl w:val="1"/>
          <w:numId w:val="21"/>
        </w:numPr>
      </w:pPr>
      <w:r>
        <w:t>Updates to Profiles</w:t>
      </w:r>
    </w:p>
    <w:p w:rsidR="00C22552" w:rsidRDefault="00C22552" w:rsidP="009E4DBA">
      <w:pPr>
        <w:pStyle w:val="BodyText3"/>
        <w:numPr>
          <w:ilvl w:val="1"/>
          <w:numId w:val="21"/>
        </w:numPr>
      </w:pPr>
      <w:r>
        <w:t>Load Revised Generation Dispatch</w:t>
      </w:r>
    </w:p>
    <w:p w:rsidR="00C22552" w:rsidRDefault="00C22552" w:rsidP="009E4DBA">
      <w:pPr>
        <w:pStyle w:val="BodyText3"/>
        <w:numPr>
          <w:ilvl w:val="1"/>
          <w:numId w:val="21"/>
        </w:numPr>
      </w:pPr>
      <w:r>
        <w:t>Output Pass N+1 Cases</w:t>
      </w:r>
    </w:p>
    <w:p w:rsidR="00C22552" w:rsidRDefault="00C22552" w:rsidP="009E4DBA">
      <w:pPr>
        <w:pStyle w:val="BodyText3"/>
        <w:numPr>
          <w:ilvl w:val="0"/>
          <w:numId w:val="21"/>
        </w:numPr>
      </w:pPr>
      <w:smartTag w:uri="urn:schemas-microsoft-com:office:smarttags" w:element="place">
        <w:smartTag w:uri="urn:schemas-microsoft-com:office:smarttags" w:element="PlaceName">
          <w:r>
            <w:t>Final</w:t>
          </w:r>
        </w:smartTag>
        <w:r>
          <w:t xml:space="preserve"> </w:t>
        </w:r>
        <w:smartTag w:uri="urn:schemas-microsoft-com:office:smarttags" w:element="PlaceType">
          <w:r>
            <w:t>Pass</w:t>
          </w:r>
        </w:smartTag>
      </w:smartTag>
    </w:p>
    <w:p w:rsidR="00C22552" w:rsidRDefault="00C22552" w:rsidP="009E4DBA">
      <w:pPr>
        <w:pStyle w:val="BodyText3"/>
        <w:numPr>
          <w:ilvl w:val="1"/>
          <w:numId w:val="21"/>
        </w:numPr>
      </w:pPr>
      <w:r w:rsidRPr="005725C4">
        <w:t>Consistency Validation Spreadsheet</w:t>
      </w:r>
      <w:r>
        <w:t xml:space="preserve"> using Pass 3 TP case</w:t>
      </w:r>
    </w:p>
    <w:p w:rsidR="00C22552" w:rsidRDefault="00C22552" w:rsidP="009E4DBA">
      <w:pPr>
        <w:pStyle w:val="BodyText3"/>
        <w:numPr>
          <w:ilvl w:val="1"/>
          <w:numId w:val="21"/>
        </w:numPr>
      </w:pPr>
      <w:r>
        <w:t>SSWG approves cases</w:t>
      </w:r>
    </w:p>
    <w:p w:rsidR="00C22552" w:rsidRDefault="00C22552" w:rsidP="009E4DBA">
      <w:pPr>
        <w:pStyle w:val="BodyText3"/>
        <w:numPr>
          <w:ilvl w:val="1"/>
          <w:numId w:val="21"/>
        </w:numPr>
      </w:pPr>
      <w:r>
        <w:t xml:space="preserve">Cases, Generation Dispatch Spreadsheet and Consistency Validation Spreadsheet </w:t>
      </w:r>
      <w:r w:rsidR="00013E19">
        <w:t xml:space="preserve">finalized by SSWG </w:t>
      </w:r>
      <w:r>
        <w:t>Posted</w:t>
      </w:r>
    </w:p>
    <w:p w:rsidR="00C22552" w:rsidRPr="005725C4" w:rsidRDefault="00C22552" w:rsidP="009E4DBA">
      <w:pPr>
        <w:pStyle w:val="BodyText3"/>
      </w:pPr>
      <w:r>
        <w:t xml:space="preserve">Any changes required after cases are posted will be submitted to </w:t>
      </w:r>
      <w:r w:rsidR="00333A69">
        <w:t>ERCOT staff</w:t>
      </w:r>
      <w:r>
        <w:t xml:space="preserve"> in the form of idevs and posted.</w:t>
      </w:r>
    </w:p>
    <w:p w:rsidR="00333A69" w:rsidRDefault="00C22552">
      <w:pPr>
        <w:pStyle w:val="Heading4"/>
      </w:pPr>
      <w:r w:rsidRPr="00351EFD">
        <w:t>Data Set A Uses</w:t>
      </w:r>
    </w:p>
    <w:p w:rsidR="00333A69" w:rsidRDefault="00C22552">
      <w:pPr>
        <w:pStyle w:val="BodyText4"/>
      </w:pPr>
      <w:r w:rsidRPr="00351EFD">
        <w:t>Data Set A cases are generally used as operational cases, for loss calculations and are posted on ERCOT web site for general use.</w:t>
      </w:r>
    </w:p>
    <w:p w:rsidR="00C22552" w:rsidRDefault="00C22552" w:rsidP="005C09CD">
      <w:pPr>
        <w:pStyle w:val="BodyText"/>
      </w:pPr>
      <w:r>
        <w:t>Data Set B</w:t>
      </w:r>
    </w:p>
    <w:p w:rsidR="00C22552" w:rsidRDefault="00C22552" w:rsidP="005C09CD">
      <w:pPr>
        <w:pStyle w:val="Heading3"/>
      </w:pPr>
      <w:bookmarkStart w:id="20" w:name="_Toc286726272"/>
      <w:r>
        <w:t>Data Set B</w:t>
      </w:r>
      <w:bookmarkEnd w:id="20"/>
    </w:p>
    <w:p w:rsidR="00333A69" w:rsidRDefault="00F2562A">
      <w:pPr>
        <w:pStyle w:val="Heading4"/>
      </w:pPr>
      <w:r>
        <w:t>Summary of Cases</w:t>
      </w:r>
    </w:p>
    <w:p w:rsidR="00C22552" w:rsidRPr="006B6FA5" w:rsidRDefault="00C22552" w:rsidP="006B6FA5">
      <w:pPr>
        <w:pStyle w:val="ListParagraph"/>
        <w:ind w:left="0"/>
        <w:jc w:val="center"/>
        <w:rPr>
          <w:rFonts w:ascii="Arial" w:hAnsi="Arial" w:cs="Arial"/>
          <w:b/>
          <w:sz w:val="24"/>
        </w:rPr>
      </w:pPr>
      <w:r w:rsidRPr="006B6FA5">
        <w:rPr>
          <w:rFonts w:ascii="Arial" w:hAnsi="Arial" w:cs="Arial"/>
          <w:b/>
          <w:sz w:val="24"/>
        </w:rPr>
        <w:t>ERCOT DATA SET B BASECASES</w:t>
      </w:r>
    </w:p>
    <w:p w:rsidR="00C22552" w:rsidRPr="006B6FA5" w:rsidRDefault="00C22552" w:rsidP="006B6FA5">
      <w:pPr>
        <w:pStyle w:val="ListParagraph"/>
        <w:ind w:left="0"/>
        <w:jc w:val="center"/>
        <w:rPr>
          <w:rFonts w:ascii="Arial" w:hAnsi="Arial" w:cs="Arial"/>
          <w:b/>
        </w:rPr>
      </w:pPr>
      <w:r w:rsidRPr="006B6FA5">
        <w:rPr>
          <w:rFonts w:ascii="Arial" w:hAnsi="Arial" w:cs="Arial"/>
          <w:b/>
        </w:rPr>
        <w:t>(YR) = FOLLOWING YEAR</w:t>
      </w:r>
    </w:p>
    <w:p w:rsidR="00C22552" w:rsidRDefault="00C22552" w:rsidP="006B6FA5">
      <w:pPr>
        <w:rPr>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757"/>
        <w:gridCol w:w="4391"/>
      </w:tblGrid>
      <w:tr w:rsidR="00C22552" w:rsidTr="00170ABC">
        <w:trPr>
          <w:trHeight w:val="530"/>
          <w:jc w:val="center"/>
        </w:trPr>
        <w:tc>
          <w:tcPr>
            <w:tcW w:w="1844" w:type="dxa"/>
            <w:vAlign w:val="center"/>
          </w:tcPr>
          <w:p w:rsidR="00C22552" w:rsidRDefault="00C22552" w:rsidP="00170ABC">
            <w:pPr>
              <w:jc w:val="center"/>
              <w:rPr>
                <w:b/>
                <w:sz w:val="24"/>
              </w:rPr>
            </w:pPr>
            <w:r>
              <w:rPr>
                <w:b/>
                <w:sz w:val="24"/>
              </w:rPr>
              <w:t>BASE CASE</w:t>
            </w:r>
          </w:p>
        </w:tc>
        <w:tc>
          <w:tcPr>
            <w:tcW w:w="1757" w:type="dxa"/>
            <w:vAlign w:val="center"/>
          </w:tcPr>
          <w:p w:rsidR="00C22552" w:rsidRDefault="00C22552" w:rsidP="0055789E">
            <w:pPr>
              <w:pStyle w:val="Heading8"/>
            </w:pPr>
            <w:bookmarkStart w:id="21" w:name="_Toc286311113"/>
            <w:r>
              <w:t>NOTES</w:t>
            </w:r>
            <w:bookmarkEnd w:id="21"/>
          </w:p>
        </w:tc>
        <w:tc>
          <w:tcPr>
            <w:tcW w:w="4391" w:type="dxa"/>
            <w:vAlign w:val="center"/>
          </w:tcPr>
          <w:p w:rsidR="00C22552" w:rsidRDefault="00C22552" w:rsidP="00170ABC">
            <w:pPr>
              <w:jc w:val="center"/>
              <w:rPr>
                <w:b/>
                <w:sz w:val="24"/>
              </w:rPr>
            </w:pPr>
            <w:r>
              <w:rPr>
                <w:b/>
                <w:sz w:val="24"/>
              </w:rPr>
              <w:t>TRANSMISSION IN-SERVICE DATE</w:t>
            </w:r>
          </w:p>
        </w:tc>
      </w:tr>
      <w:tr w:rsidR="00C22552" w:rsidTr="00170ABC">
        <w:trPr>
          <w:jc w:val="center"/>
        </w:trPr>
        <w:tc>
          <w:tcPr>
            <w:tcW w:w="1844" w:type="dxa"/>
          </w:tcPr>
          <w:p w:rsidR="00C22552" w:rsidRDefault="00C22552" w:rsidP="00170ABC">
            <w:pPr>
              <w:rPr>
                <w:sz w:val="24"/>
              </w:rPr>
            </w:pPr>
            <w:r>
              <w:rPr>
                <w:sz w:val="24"/>
              </w:rPr>
              <w:t>(YR+1) SUM1</w:t>
            </w:r>
          </w:p>
        </w:tc>
        <w:tc>
          <w:tcPr>
            <w:tcW w:w="1757" w:type="dxa"/>
          </w:tcPr>
          <w:p w:rsidR="00C22552" w:rsidRDefault="00C22552" w:rsidP="00170ABC">
            <w:pPr>
              <w:jc w:val="center"/>
              <w:rPr>
                <w:sz w:val="24"/>
              </w:rPr>
            </w:pPr>
            <w:r>
              <w:rPr>
                <w:sz w:val="24"/>
              </w:rPr>
              <w:t>1</w:t>
            </w:r>
          </w:p>
        </w:tc>
        <w:tc>
          <w:tcPr>
            <w:tcW w:w="4391" w:type="dxa"/>
          </w:tcPr>
          <w:p w:rsidR="00C22552" w:rsidRDefault="00C22552" w:rsidP="00170ABC">
            <w:pPr>
              <w:rPr>
                <w:sz w:val="24"/>
              </w:rPr>
            </w:pPr>
            <w:r>
              <w:rPr>
                <w:sz w:val="24"/>
              </w:rPr>
              <w:t>JULY 1, (YR+1)</w:t>
            </w:r>
          </w:p>
        </w:tc>
      </w:tr>
      <w:tr w:rsidR="00C22552" w:rsidTr="00170ABC">
        <w:trPr>
          <w:jc w:val="center"/>
        </w:trPr>
        <w:tc>
          <w:tcPr>
            <w:tcW w:w="1844" w:type="dxa"/>
          </w:tcPr>
          <w:p w:rsidR="00C22552" w:rsidRDefault="00C22552" w:rsidP="00170ABC">
            <w:pPr>
              <w:rPr>
                <w:sz w:val="24"/>
              </w:rPr>
            </w:pPr>
            <w:r>
              <w:rPr>
                <w:sz w:val="24"/>
              </w:rPr>
              <w:t>(YR+2) SUM1</w:t>
            </w:r>
          </w:p>
        </w:tc>
        <w:tc>
          <w:tcPr>
            <w:tcW w:w="1757" w:type="dxa"/>
          </w:tcPr>
          <w:p w:rsidR="00C22552" w:rsidRDefault="00C22552" w:rsidP="00170ABC">
            <w:pPr>
              <w:jc w:val="center"/>
              <w:rPr>
                <w:sz w:val="24"/>
              </w:rPr>
            </w:pPr>
            <w:r>
              <w:rPr>
                <w:sz w:val="24"/>
              </w:rPr>
              <w:t>1</w:t>
            </w:r>
          </w:p>
        </w:tc>
        <w:tc>
          <w:tcPr>
            <w:tcW w:w="4391" w:type="dxa"/>
          </w:tcPr>
          <w:p w:rsidR="00C22552" w:rsidRDefault="00C22552" w:rsidP="00170ABC">
            <w:pPr>
              <w:rPr>
                <w:sz w:val="24"/>
              </w:rPr>
            </w:pPr>
            <w:r>
              <w:rPr>
                <w:sz w:val="24"/>
              </w:rPr>
              <w:t>JULY 1, (YR+2)</w:t>
            </w:r>
          </w:p>
        </w:tc>
      </w:tr>
      <w:tr w:rsidR="00C22552" w:rsidTr="00170ABC">
        <w:trPr>
          <w:jc w:val="center"/>
        </w:trPr>
        <w:tc>
          <w:tcPr>
            <w:tcW w:w="1844" w:type="dxa"/>
          </w:tcPr>
          <w:p w:rsidR="00C22552" w:rsidRDefault="00C22552" w:rsidP="00170ABC">
            <w:pPr>
              <w:rPr>
                <w:sz w:val="24"/>
              </w:rPr>
            </w:pPr>
            <w:r>
              <w:rPr>
                <w:sz w:val="24"/>
              </w:rPr>
              <w:t>(YR+3) MIN</w:t>
            </w:r>
          </w:p>
        </w:tc>
        <w:tc>
          <w:tcPr>
            <w:tcW w:w="1757" w:type="dxa"/>
          </w:tcPr>
          <w:p w:rsidR="00C22552" w:rsidRDefault="00C22552" w:rsidP="00170ABC">
            <w:pPr>
              <w:jc w:val="center"/>
              <w:rPr>
                <w:sz w:val="24"/>
              </w:rPr>
            </w:pPr>
            <w:r>
              <w:rPr>
                <w:sz w:val="24"/>
              </w:rPr>
              <w:t>2</w:t>
            </w:r>
          </w:p>
        </w:tc>
        <w:tc>
          <w:tcPr>
            <w:tcW w:w="4391" w:type="dxa"/>
          </w:tcPr>
          <w:p w:rsidR="00C22552" w:rsidRDefault="00C22552" w:rsidP="00170ABC">
            <w:pPr>
              <w:rPr>
                <w:sz w:val="24"/>
              </w:rPr>
            </w:pPr>
            <w:r>
              <w:rPr>
                <w:sz w:val="24"/>
              </w:rPr>
              <w:t>JANUARY 1, (YR+3)</w:t>
            </w:r>
          </w:p>
        </w:tc>
      </w:tr>
      <w:tr w:rsidR="00C22552" w:rsidTr="00170ABC">
        <w:trPr>
          <w:jc w:val="center"/>
        </w:trPr>
        <w:tc>
          <w:tcPr>
            <w:tcW w:w="1844" w:type="dxa"/>
          </w:tcPr>
          <w:p w:rsidR="00C22552" w:rsidRDefault="00C22552" w:rsidP="00170ABC">
            <w:pPr>
              <w:rPr>
                <w:sz w:val="24"/>
              </w:rPr>
            </w:pPr>
            <w:r>
              <w:rPr>
                <w:sz w:val="24"/>
              </w:rPr>
              <w:t>(YR+3) SUM1</w:t>
            </w:r>
          </w:p>
        </w:tc>
        <w:tc>
          <w:tcPr>
            <w:tcW w:w="1757" w:type="dxa"/>
          </w:tcPr>
          <w:p w:rsidR="00C22552" w:rsidRDefault="00C22552" w:rsidP="00170ABC">
            <w:pPr>
              <w:jc w:val="center"/>
              <w:rPr>
                <w:sz w:val="24"/>
              </w:rPr>
            </w:pPr>
            <w:r>
              <w:rPr>
                <w:sz w:val="24"/>
              </w:rPr>
              <w:t>1</w:t>
            </w:r>
          </w:p>
        </w:tc>
        <w:tc>
          <w:tcPr>
            <w:tcW w:w="4391" w:type="dxa"/>
          </w:tcPr>
          <w:p w:rsidR="00C22552" w:rsidRDefault="00C22552" w:rsidP="00170ABC">
            <w:pPr>
              <w:rPr>
                <w:sz w:val="24"/>
              </w:rPr>
            </w:pPr>
            <w:r>
              <w:rPr>
                <w:sz w:val="24"/>
              </w:rPr>
              <w:t>JULY 1, (YR+3)</w:t>
            </w:r>
          </w:p>
        </w:tc>
      </w:tr>
      <w:tr w:rsidR="00C22552" w:rsidTr="00170ABC">
        <w:trPr>
          <w:jc w:val="center"/>
        </w:trPr>
        <w:tc>
          <w:tcPr>
            <w:tcW w:w="1844" w:type="dxa"/>
          </w:tcPr>
          <w:p w:rsidR="00C22552" w:rsidRDefault="00C22552" w:rsidP="00170ABC">
            <w:pPr>
              <w:rPr>
                <w:sz w:val="24"/>
              </w:rPr>
            </w:pPr>
            <w:r>
              <w:rPr>
                <w:sz w:val="24"/>
              </w:rPr>
              <w:lastRenderedPageBreak/>
              <w:t>(YR+4) SUM1</w:t>
            </w:r>
          </w:p>
        </w:tc>
        <w:tc>
          <w:tcPr>
            <w:tcW w:w="1757" w:type="dxa"/>
          </w:tcPr>
          <w:p w:rsidR="00C22552" w:rsidRDefault="00C22552" w:rsidP="00170ABC">
            <w:pPr>
              <w:jc w:val="center"/>
              <w:rPr>
                <w:sz w:val="24"/>
              </w:rPr>
            </w:pPr>
            <w:r>
              <w:rPr>
                <w:sz w:val="24"/>
              </w:rPr>
              <w:t>1</w:t>
            </w:r>
          </w:p>
        </w:tc>
        <w:tc>
          <w:tcPr>
            <w:tcW w:w="4391" w:type="dxa"/>
          </w:tcPr>
          <w:p w:rsidR="00C22552" w:rsidRDefault="00C22552" w:rsidP="00170ABC">
            <w:pPr>
              <w:rPr>
                <w:sz w:val="24"/>
              </w:rPr>
            </w:pPr>
            <w:r>
              <w:rPr>
                <w:sz w:val="24"/>
              </w:rPr>
              <w:t>JULY 1, (YR+4)</w:t>
            </w:r>
          </w:p>
        </w:tc>
      </w:tr>
      <w:tr w:rsidR="00C22552" w:rsidTr="00170ABC">
        <w:trPr>
          <w:jc w:val="center"/>
        </w:trPr>
        <w:tc>
          <w:tcPr>
            <w:tcW w:w="1844" w:type="dxa"/>
          </w:tcPr>
          <w:p w:rsidR="00C22552" w:rsidRDefault="00C22552" w:rsidP="00170ABC">
            <w:pPr>
              <w:rPr>
                <w:sz w:val="24"/>
              </w:rPr>
            </w:pPr>
            <w:r>
              <w:rPr>
                <w:sz w:val="24"/>
              </w:rPr>
              <w:t>(YR+5) SUM1</w:t>
            </w:r>
          </w:p>
        </w:tc>
        <w:tc>
          <w:tcPr>
            <w:tcW w:w="1757" w:type="dxa"/>
          </w:tcPr>
          <w:p w:rsidR="00C22552" w:rsidRDefault="00C22552" w:rsidP="00170ABC">
            <w:pPr>
              <w:jc w:val="center"/>
              <w:rPr>
                <w:sz w:val="24"/>
              </w:rPr>
            </w:pPr>
            <w:r>
              <w:rPr>
                <w:sz w:val="24"/>
              </w:rPr>
              <w:t>1</w:t>
            </w:r>
          </w:p>
        </w:tc>
        <w:tc>
          <w:tcPr>
            <w:tcW w:w="4391" w:type="dxa"/>
          </w:tcPr>
          <w:p w:rsidR="00C22552" w:rsidRDefault="00C22552" w:rsidP="00170ABC">
            <w:pPr>
              <w:rPr>
                <w:sz w:val="24"/>
              </w:rPr>
            </w:pPr>
            <w:r>
              <w:rPr>
                <w:sz w:val="24"/>
              </w:rPr>
              <w:t>JULY 1, (YR+5)</w:t>
            </w:r>
          </w:p>
        </w:tc>
      </w:tr>
    </w:tbl>
    <w:p w:rsidR="00C22552" w:rsidRPr="0055789E" w:rsidRDefault="00C22552" w:rsidP="0055789E">
      <w:pPr>
        <w:pStyle w:val="BodyText3"/>
        <w:rPr>
          <w:u w:val="single"/>
        </w:rPr>
      </w:pPr>
      <w:r w:rsidRPr="0055789E">
        <w:rPr>
          <w:u w:val="single"/>
        </w:rPr>
        <w:t>Notes</w:t>
      </w:r>
    </w:p>
    <w:p w:rsidR="00C22552" w:rsidRDefault="00C22552" w:rsidP="00AE0017">
      <w:pPr>
        <w:pStyle w:val="ListParagraph"/>
        <w:numPr>
          <w:ilvl w:val="0"/>
          <w:numId w:val="9"/>
        </w:numPr>
      </w:pPr>
      <w:r w:rsidRPr="00A464A8">
        <w:t>Cases to represent the maximum expected load during the season.</w:t>
      </w:r>
    </w:p>
    <w:p w:rsidR="00C22552" w:rsidRDefault="00C22552" w:rsidP="00AE0017">
      <w:pPr>
        <w:pStyle w:val="ListParagraph"/>
        <w:numPr>
          <w:ilvl w:val="0"/>
          <w:numId w:val="9"/>
        </w:numPr>
      </w:pPr>
      <w:r w:rsidRPr="00A464A8">
        <w:t>Cases to represent the absolute minimum load expected for (YR+3).</w:t>
      </w:r>
    </w:p>
    <w:p w:rsidR="00C22552" w:rsidRDefault="00C22552" w:rsidP="00F2562A">
      <w:pPr>
        <w:pStyle w:val="Heading4"/>
      </w:pPr>
      <w:r w:rsidRPr="00A464A8">
        <w:t>Data Set B</w:t>
      </w:r>
      <w:r w:rsidR="00F2562A">
        <w:t xml:space="preserve"> Generation</w:t>
      </w:r>
      <w:r w:rsidRPr="00A464A8">
        <w:t xml:space="preserve"> Dispatch</w:t>
      </w:r>
    </w:p>
    <w:p w:rsidR="00C22552" w:rsidRDefault="00C22552" w:rsidP="00F2562A">
      <w:pPr>
        <w:pStyle w:val="BodyText4"/>
      </w:pPr>
      <w:r w:rsidRPr="00A22D94">
        <w:t>Data Set B will contain economically dispatched generation (ECO).</w:t>
      </w:r>
    </w:p>
    <w:p w:rsidR="00333A69" w:rsidRDefault="00C22552">
      <w:pPr>
        <w:pStyle w:val="Heading4"/>
      </w:pPr>
      <w:r>
        <w:t>Procedure</w:t>
      </w:r>
      <w:r w:rsidR="002E208E">
        <w:t xml:space="preserve"> for B</w:t>
      </w:r>
      <w:r w:rsidR="00931746">
        <w:t xml:space="preserve">uilding </w:t>
      </w:r>
      <w:r w:rsidR="00417C5C">
        <w:t>D</w:t>
      </w:r>
      <w:r w:rsidR="00931746">
        <w:t>ata</w:t>
      </w:r>
      <w:r w:rsidR="00417C5C">
        <w:t xml:space="preserve"> S</w:t>
      </w:r>
      <w:r w:rsidR="00931746">
        <w:t xml:space="preserve">et B </w:t>
      </w:r>
      <w:r w:rsidR="002E208E">
        <w:t>C</w:t>
      </w:r>
      <w:r w:rsidR="00931746">
        <w:t>ases</w:t>
      </w:r>
    </w:p>
    <w:p w:rsidR="00C22552" w:rsidRPr="009E4DBA" w:rsidRDefault="00C22552" w:rsidP="009E4DBA">
      <w:pPr>
        <w:pStyle w:val="BodyText3"/>
        <w:numPr>
          <w:ilvl w:val="0"/>
          <w:numId w:val="22"/>
        </w:numPr>
      </w:pPr>
      <w:r w:rsidRPr="009E4DBA">
        <w:t>Pass 0</w:t>
      </w:r>
    </w:p>
    <w:p w:rsidR="00C22552" w:rsidRPr="009E4DBA" w:rsidRDefault="00C22552" w:rsidP="009E4DBA">
      <w:pPr>
        <w:pStyle w:val="BodyText3"/>
        <w:numPr>
          <w:ilvl w:val="1"/>
          <w:numId w:val="22"/>
        </w:numPr>
      </w:pPr>
      <w:r w:rsidRPr="009E4DBA">
        <w:t>Load updated TP-Mirror case</w:t>
      </w:r>
    </w:p>
    <w:p w:rsidR="00C22552" w:rsidRPr="009E4DBA" w:rsidRDefault="00C22552" w:rsidP="009E4DBA">
      <w:pPr>
        <w:pStyle w:val="BodyText3"/>
        <w:numPr>
          <w:ilvl w:val="1"/>
          <w:numId w:val="22"/>
        </w:numPr>
      </w:pPr>
      <w:r w:rsidRPr="009E4DBA">
        <w:t>Submit Profiles</w:t>
      </w:r>
    </w:p>
    <w:p w:rsidR="00C22552" w:rsidRPr="009E4DBA" w:rsidRDefault="00C22552" w:rsidP="009E4DBA">
      <w:pPr>
        <w:pStyle w:val="BodyText3"/>
        <w:numPr>
          <w:ilvl w:val="1"/>
          <w:numId w:val="22"/>
        </w:numPr>
      </w:pPr>
      <w:r w:rsidRPr="009E4DBA">
        <w:t>Submit PMCRs</w:t>
      </w:r>
    </w:p>
    <w:p w:rsidR="00C22552" w:rsidRPr="009E4DBA" w:rsidRDefault="00C22552" w:rsidP="00013E19">
      <w:pPr>
        <w:pStyle w:val="BodyText3"/>
        <w:numPr>
          <w:ilvl w:val="1"/>
          <w:numId w:val="22"/>
        </w:numPr>
      </w:pPr>
      <w:r w:rsidRPr="009E4DBA">
        <w:t>Load Initial Dispatch</w:t>
      </w:r>
    </w:p>
    <w:p w:rsidR="00C22552" w:rsidRPr="009E4DBA" w:rsidRDefault="00C22552" w:rsidP="00013E19">
      <w:pPr>
        <w:pStyle w:val="BodyText3"/>
        <w:numPr>
          <w:ilvl w:val="1"/>
          <w:numId w:val="22"/>
        </w:numPr>
      </w:pPr>
      <w:r w:rsidRPr="009E4DBA">
        <w:t>Consistency Validation Spreadsheet</w:t>
      </w:r>
    </w:p>
    <w:p w:rsidR="00C22552" w:rsidRPr="009E4DBA" w:rsidRDefault="00C22552" w:rsidP="00013E19">
      <w:pPr>
        <w:pStyle w:val="BodyText3"/>
        <w:numPr>
          <w:ilvl w:val="1"/>
          <w:numId w:val="22"/>
        </w:numPr>
      </w:pPr>
      <w:r w:rsidRPr="009E4DBA">
        <w:t>Output Pass 1 Cases</w:t>
      </w:r>
    </w:p>
    <w:p w:rsidR="00C22552" w:rsidRPr="009E4DBA" w:rsidRDefault="00C22552" w:rsidP="009E4DBA">
      <w:pPr>
        <w:pStyle w:val="BodyText3"/>
        <w:numPr>
          <w:ilvl w:val="0"/>
          <w:numId w:val="22"/>
        </w:numPr>
      </w:pPr>
      <w:r w:rsidRPr="009E4DBA">
        <w:t>Pass 1</w:t>
      </w:r>
    </w:p>
    <w:p w:rsidR="00C22552" w:rsidRPr="009E4DBA" w:rsidRDefault="00C22552" w:rsidP="009E4DBA">
      <w:pPr>
        <w:pStyle w:val="BodyText3"/>
        <w:numPr>
          <w:ilvl w:val="1"/>
          <w:numId w:val="22"/>
        </w:numPr>
      </w:pPr>
      <w:r w:rsidRPr="009E4DBA">
        <w:t>Begin Submitting Consistency PMCRs</w:t>
      </w:r>
    </w:p>
    <w:p w:rsidR="00C22552" w:rsidRPr="009E4DBA" w:rsidRDefault="00C22552" w:rsidP="009E4DBA">
      <w:pPr>
        <w:pStyle w:val="BodyText3"/>
        <w:numPr>
          <w:ilvl w:val="1"/>
          <w:numId w:val="22"/>
        </w:numPr>
      </w:pPr>
      <w:r w:rsidRPr="009E4DBA">
        <w:t>Continue Submitting PMCRs</w:t>
      </w:r>
    </w:p>
    <w:p w:rsidR="00C22552" w:rsidRPr="009E4DBA" w:rsidRDefault="00C22552" w:rsidP="009E4DBA">
      <w:pPr>
        <w:pStyle w:val="BodyText3"/>
        <w:numPr>
          <w:ilvl w:val="1"/>
          <w:numId w:val="22"/>
        </w:numPr>
      </w:pPr>
      <w:r w:rsidRPr="009E4DBA">
        <w:t>Updates to Profiles</w:t>
      </w:r>
    </w:p>
    <w:p w:rsidR="00C22552" w:rsidRPr="009E4DBA" w:rsidRDefault="00C22552" w:rsidP="009E4DBA">
      <w:pPr>
        <w:pStyle w:val="BodyText3"/>
        <w:numPr>
          <w:ilvl w:val="1"/>
          <w:numId w:val="22"/>
        </w:numPr>
      </w:pPr>
      <w:r w:rsidRPr="009E4DBA">
        <w:t>Load Revised Generation Dispatch</w:t>
      </w:r>
    </w:p>
    <w:p w:rsidR="00C22552" w:rsidRPr="009E4DBA" w:rsidRDefault="00C22552" w:rsidP="009E4DBA">
      <w:pPr>
        <w:pStyle w:val="BodyText3"/>
        <w:numPr>
          <w:ilvl w:val="1"/>
          <w:numId w:val="22"/>
        </w:numPr>
      </w:pPr>
      <w:smartTag w:uri="urn:schemas-microsoft-com:office:smarttags" w:element="place">
        <w:smartTag w:uri="urn:schemas-microsoft-com:office:smarttags" w:element="PlaceName">
          <w:r w:rsidRPr="009E4DBA">
            <w:t>Output</w:t>
          </w:r>
        </w:smartTag>
        <w:r w:rsidRPr="009E4DBA">
          <w:t xml:space="preserve"> </w:t>
        </w:r>
        <w:smartTag w:uri="urn:schemas-microsoft-com:office:smarttags" w:element="PlaceType">
          <w:r w:rsidRPr="009E4DBA">
            <w:t>Pass</w:t>
          </w:r>
        </w:smartTag>
      </w:smartTag>
      <w:r w:rsidRPr="009E4DBA">
        <w:t xml:space="preserve"> 2 Cases</w:t>
      </w:r>
    </w:p>
    <w:p w:rsidR="00C22552" w:rsidRPr="009E4DBA" w:rsidRDefault="00C22552" w:rsidP="009E4DBA">
      <w:pPr>
        <w:pStyle w:val="BodyText3"/>
        <w:numPr>
          <w:ilvl w:val="0"/>
          <w:numId w:val="22"/>
        </w:numPr>
      </w:pPr>
      <w:r w:rsidRPr="009E4DBA">
        <w:t>Pass 2</w:t>
      </w:r>
    </w:p>
    <w:p w:rsidR="00C22552" w:rsidRPr="009E4DBA" w:rsidRDefault="00C22552" w:rsidP="009E4DBA">
      <w:pPr>
        <w:pStyle w:val="BodyText3"/>
        <w:numPr>
          <w:ilvl w:val="1"/>
          <w:numId w:val="22"/>
        </w:numPr>
      </w:pPr>
      <w:r w:rsidRPr="009E4DBA">
        <w:t>Continue Submitting Consistency PMCRs</w:t>
      </w:r>
    </w:p>
    <w:p w:rsidR="00C22552" w:rsidRPr="009E4DBA" w:rsidRDefault="00C22552" w:rsidP="009E4DBA">
      <w:pPr>
        <w:pStyle w:val="BodyText3"/>
        <w:numPr>
          <w:ilvl w:val="1"/>
          <w:numId w:val="22"/>
        </w:numPr>
      </w:pPr>
      <w:r w:rsidRPr="009E4DBA">
        <w:t>Continue Submitting PMCRs</w:t>
      </w:r>
    </w:p>
    <w:p w:rsidR="00C22552" w:rsidRPr="009E4DBA" w:rsidRDefault="00C22552" w:rsidP="009E4DBA">
      <w:pPr>
        <w:pStyle w:val="BodyText3"/>
        <w:numPr>
          <w:ilvl w:val="1"/>
          <w:numId w:val="22"/>
        </w:numPr>
      </w:pPr>
      <w:r w:rsidRPr="009E4DBA">
        <w:t>Updates to Profiles</w:t>
      </w:r>
    </w:p>
    <w:p w:rsidR="00C22552" w:rsidRPr="009E4DBA" w:rsidRDefault="00C22552" w:rsidP="009E4DBA">
      <w:pPr>
        <w:pStyle w:val="BodyText3"/>
        <w:numPr>
          <w:ilvl w:val="1"/>
          <w:numId w:val="22"/>
        </w:numPr>
      </w:pPr>
      <w:r w:rsidRPr="009E4DBA">
        <w:t>Load Revised Generation Dispatch</w:t>
      </w:r>
    </w:p>
    <w:p w:rsidR="00C22552" w:rsidRPr="009E4DBA" w:rsidRDefault="00C22552" w:rsidP="009E4DBA">
      <w:pPr>
        <w:pStyle w:val="BodyText3"/>
        <w:numPr>
          <w:ilvl w:val="1"/>
          <w:numId w:val="22"/>
        </w:numPr>
      </w:pPr>
      <w:smartTag w:uri="urn:schemas-microsoft-com:office:smarttags" w:element="place">
        <w:smartTag w:uri="urn:schemas-microsoft-com:office:smarttags" w:element="PlaceName">
          <w:r w:rsidRPr="009E4DBA">
            <w:t>Output</w:t>
          </w:r>
        </w:smartTag>
        <w:r w:rsidRPr="009E4DBA">
          <w:t xml:space="preserve"> </w:t>
        </w:r>
        <w:smartTag w:uri="urn:schemas-microsoft-com:office:smarttags" w:element="PlaceType">
          <w:r w:rsidRPr="009E4DBA">
            <w:t>Pass</w:t>
          </w:r>
        </w:smartTag>
      </w:smartTag>
      <w:r w:rsidRPr="009E4DBA">
        <w:t xml:space="preserve"> 3 Cases</w:t>
      </w:r>
    </w:p>
    <w:p w:rsidR="00C22552" w:rsidRPr="009E4DBA" w:rsidRDefault="00C22552" w:rsidP="009E4DBA">
      <w:pPr>
        <w:pStyle w:val="BodyText3"/>
        <w:numPr>
          <w:ilvl w:val="0"/>
          <w:numId w:val="22"/>
        </w:numPr>
      </w:pPr>
      <w:r w:rsidRPr="009E4DBA">
        <w:t>Pass 3</w:t>
      </w:r>
    </w:p>
    <w:p w:rsidR="00C22552" w:rsidRPr="009E4DBA" w:rsidRDefault="00C22552" w:rsidP="009E4DBA">
      <w:pPr>
        <w:pStyle w:val="BodyText3"/>
        <w:numPr>
          <w:ilvl w:val="1"/>
          <w:numId w:val="22"/>
        </w:numPr>
      </w:pPr>
      <w:r w:rsidRPr="009E4DBA">
        <w:t>Continue Submitting Consistency PMCRs</w:t>
      </w:r>
    </w:p>
    <w:p w:rsidR="00C22552" w:rsidRPr="009E4DBA" w:rsidRDefault="00C22552" w:rsidP="009E4DBA">
      <w:pPr>
        <w:pStyle w:val="BodyText3"/>
        <w:numPr>
          <w:ilvl w:val="1"/>
          <w:numId w:val="22"/>
        </w:numPr>
      </w:pPr>
      <w:r w:rsidRPr="009E4DBA">
        <w:lastRenderedPageBreak/>
        <w:t>Continue Submitting PMCRs</w:t>
      </w:r>
    </w:p>
    <w:p w:rsidR="00C22552" w:rsidRPr="009E4DBA" w:rsidRDefault="00C22552" w:rsidP="009E4DBA">
      <w:pPr>
        <w:pStyle w:val="BodyText3"/>
        <w:numPr>
          <w:ilvl w:val="1"/>
          <w:numId w:val="22"/>
        </w:numPr>
      </w:pPr>
      <w:r w:rsidRPr="009E4DBA">
        <w:t>Updates to Profiles</w:t>
      </w:r>
    </w:p>
    <w:p w:rsidR="00C22552" w:rsidRPr="009E4DBA" w:rsidRDefault="00C22552" w:rsidP="009E4DBA">
      <w:pPr>
        <w:pStyle w:val="BodyText3"/>
        <w:numPr>
          <w:ilvl w:val="1"/>
          <w:numId w:val="22"/>
        </w:numPr>
      </w:pPr>
      <w:r w:rsidRPr="009E4DBA">
        <w:t>Load Revised Generation Dispatch</w:t>
      </w:r>
    </w:p>
    <w:p w:rsidR="00C22552" w:rsidRPr="009E4DBA" w:rsidRDefault="00C22552" w:rsidP="00013E19">
      <w:pPr>
        <w:pStyle w:val="BodyText3"/>
        <w:numPr>
          <w:ilvl w:val="1"/>
          <w:numId w:val="22"/>
        </w:numPr>
      </w:pPr>
      <w:r w:rsidRPr="009E4DBA">
        <w:t>Consistency Validation Spreadsheet</w:t>
      </w:r>
    </w:p>
    <w:p w:rsidR="00C22552" w:rsidRPr="009E4DBA" w:rsidRDefault="00C22552" w:rsidP="009E4DBA">
      <w:pPr>
        <w:pStyle w:val="BodyText3"/>
        <w:numPr>
          <w:ilvl w:val="1"/>
          <w:numId w:val="22"/>
        </w:numPr>
      </w:pPr>
      <w:smartTag w:uri="urn:schemas-microsoft-com:office:smarttags" w:element="place">
        <w:smartTag w:uri="urn:schemas-microsoft-com:office:smarttags" w:element="PlaceName">
          <w:r w:rsidRPr="009E4DBA">
            <w:t>Output</w:t>
          </w:r>
        </w:smartTag>
        <w:r w:rsidRPr="009E4DBA">
          <w:t xml:space="preserve"> </w:t>
        </w:r>
        <w:smartTag w:uri="urn:schemas-microsoft-com:office:smarttags" w:element="PlaceType">
          <w:r w:rsidRPr="009E4DBA">
            <w:t>Pass</w:t>
          </w:r>
        </w:smartTag>
      </w:smartTag>
      <w:r w:rsidRPr="009E4DBA">
        <w:t xml:space="preserve"> 4 Cases</w:t>
      </w:r>
    </w:p>
    <w:p w:rsidR="00C22552" w:rsidRPr="009E4DBA" w:rsidRDefault="00C22552" w:rsidP="009E4DBA">
      <w:pPr>
        <w:pStyle w:val="BodyText3"/>
        <w:numPr>
          <w:ilvl w:val="0"/>
          <w:numId w:val="22"/>
        </w:numPr>
      </w:pPr>
      <w:r w:rsidRPr="009E4DBA">
        <w:t>Pass 4 – Pass N</w:t>
      </w:r>
    </w:p>
    <w:p w:rsidR="00C22552" w:rsidRPr="009E4DBA" w:rsidRDefault="00C22552" w:rsidP="009E4DBA">
      <w:pPr>
        <w:pStyle w:val="BodyText3"/>
        <w:numPr>
          <w:ilvl w:val="1"/>
          <w:numId w:val="22"/>
        </w:numPr>
      </w:pPr>
      <w:r w:rsidRPr="009E4DBA">
        <w:t>Continue Submitting Consistency PMCRs</w:t>
      </w:r>
    </w:p>
    <w:p w:rsidR="00C22552" w:rsidRPr="009E4DBA" w:rsidRDefault="00C22552" w:rsidP="009E4DBA">
      <w:pPr>
        <w:pStyle w:val="BodyText3"/>
        <w:numPr>
          <w:ilvl w:val="1"/>
          <w:numId w:val="22"/>
        </w:numPr>
      </w:pPr>
      <w:r w:rsidRPr="009E4DBA">
        <w:t>Continue Submitting PMCRs</w:t>
      </w:r>
    </w:p>
    <w:p w:rsidR="00C22552" w:rsidRPr="009E4DBA" w:rsidRDefault="00C22552" w:rsidP="009E4DBA">
      <w:pPr>
        <w:pStyle w:val="BodyText3"/>
        <w:numPr>
          <w:ilvl w:val="1"/>
          <w:numId w:val="22"/>
        </w:numPr>
      </w:pPr>
      <w:r w:rsidRPr="009E4DBA">
        <w:t>Updates to Profiles</w:t>
      </w:r>
    </w:p>
    <w:p w:rsidR="00C22552" w:rsidRPr="009E4DBA" w:rsidRDefault="00C22552" w:rsidP="009E4DBA">
      <w:pPr>
        <w:pStyle w:val="BodyText3"/>
        <w:numPr>
          <w:ilvl w:val="1"/>
          <w:numId w:val="22"/>
        </w:numPr>
      </w:pPr>
      <w:r w:rsidRPr="009E4DBA">
        <w:t>Load Revised Generation Dispatch</w:t>
      </w:r>
    </w:p>
    <w:p w:rsidR="00C22552" w:rsidRPr="009E4DBA" w:rsidRDefault="00C22552" w:rsidP="009E4DBA">
      <w:pPr>
        <w:pStyle w:val="BodyText3"/>
        <w:numPr>
          <w:ilvl w:val="1"/>
          <w:numId w:val="22"/>
        </w:numPr>
      </w:pPr>
      <w:r w:rsidRPr="009E4DBA">
        <w:t>Output Pass N+1 Cases</w:t>
      </w:r>
    </w:p>
    <w:p w:rsidR="00C22552" w:rsidRPr="009E4DBA" w:rsidRDefault="00C22552" w:rsidP="009E4DBA">
      <w:pPr>
        <w:pStyle w:val="BodyText3"/>
        <w:numPr>
          <w:ilvl w:val="0"/>
          <w:numId w:val="22"/>
        </w:numPr>
      </w:pPr>
      <w:smartTag w:uri="urn:schemas-microsoft-com:office:smarttags" w:element="place">
        <w:smartTag w:uri="urn:schemas-microsoft-com:office:smarttags" w:element="PlaceName">
          <w:r w:rsidRPr="009E4DBA">
            <w:t>Final</w:t>
          </w:r>
        </w:smartTag>
        <w:r w:rsidRPr="009E4DBA">
          <w:t xml:space="preserve"> </w:t>
        </w:r>
        <w:smartTag w:uri="urn:schemas-microsoft-com:office:smarttags" w:element="PlaceType">
          <w:r w:rsidRPr="009E4DBA">
            <w:t>Pass</w:t>
          </w:r>
        </w:smartTag>
      </w:smartTag>
    </w:p>
    <w:p w:rsidR="00C22552" w:rsidRPr="009E4DBA" w:rsidRDefault="00C22552" w:rsidP="009E4DBA">
      <w:pPr>
        <w:pStyle w:val="BodyText3"/>
        <w:numPr>
          <w:ilvl w:val="1"/>
          <w:numId w:val="22"/>
        </w:numPr>
      </w:pPr>
      <w:r w:rsidRPr="009E4DBA">
        <w:t>Consistency Validation Spreadsheet using Pass 3 TP case</w:t>
      </w:r>
    </w:p>
    <w:p w:rsidR="00C22552" w:rsidRPr="009E4DBA" w:rsidRDefault="00C22552" w:rsidP="009E4DBA">
      <w:pPr>
        <w:pStyle w:val="BodyText3"/>
        <w:numPr>
          <w:ilvl w:val="1"/>
          <w:numId w:val="22"/>
        </w:numPr>
      </w:pPr>
      <w:r w:rsidRPr="009E4DBA">
        <w:t>SSWG approves cases</w:t>
      </w:r>
    </w:p>
    <w:p w:rsidR="00C22552" w:rsidRPr="009E4DBA" w:rsidRDefault="00C22552" w:rsidP="009E4DBA">
      <w:pPr>
        <w:pStyle w:val="BodyText3"/>
        <w:numPr>
          <w:ilvl w:val="1"/>
          <w:numId w:val="22"/>
        </w:numPr>
      </w:pPr>
      <w:r w:rsidRPr="009E4DBA">
        <w:t xml:space="preserve">Cases, Generation Dispatch Spreadsheet and Consistency Validation Spreadsheet </w:t>
      </w:r>
      <w:r w:rsidR="00013E19">
        <w:t xml:space="preserve">finalized by SSWG </w:t>
      </w:r>
      <w:r w:rsidRPr="009E4DBA">
        <w:t>Posted</w:t>
      </w:r>
    </w:p>
    <w:p w:rsidR="00C22552" w:rsidRPr="005725C4" w:rsidRDefault="00C22552" w:rsidP="009E4DBA">
      <w:pPr>
        <w:pStyle w:val="BodyText3"/>
      </w:pPr>
      <w:r>
        <w:t xml:space="preserve">Any changes required after cases are posted will be submitted to </w:t>
      </w:r>
      <w:r w:rsidR="00333A69">
        <w:t>ERCOT staff</w:t>
      </w:r>
      <w:r>
        <w:t xml:space="preserve"> in the form of idevs and posted.</w:t>
      </w:r>
    </w:p>
    <w:p w:rsidR="00C22552" w:rsidRPr="00B32826" w:rsidRDefault="00C22552" w:rsidP="00AE7F90">
      <w:pPr>
        <w:pStyle w:val="Heading3"/>
      </w:pPr>
      <w:bookmarkStart w:id="22" w:name="_Toc286726273"/>
      <w:r>
        <w:t>Transition</w:t>
      </w:r>
      <w:r w:rsidRPr="00B32826">
        <w:t xml:space="preserve"> from</w:t>
      </w:r>
      <w:r>
        <w:t xml:space="preserve"> Completed Build to </w:t>
      </w:r>
      <w:r w:rsidR="00013E19">
        <w:t>Next C</w:t>
      </w:r>
      <w:r>
        <w:t xml:space="preserve">ase </w:t>
      </w:r>
      <w:r w:rsidR="00013E19">
        <w:t>B</w:t>
      </w:r>
      <w:r>
        <w:t>uild</w:t>
      </w:r>
      <w:bookmarkEnd w:id="22"/>
    </w:p>
    <w:p w:rsidR="00C22552" w:rsidRDefault="00C22552" w:rsidP="009E4DBA">
      <w:pPr>
        <w:pStyle w:val="BodyText3"/>
        <w:numPr>
          <w:ilvl w:val="0"/>
          <w:numId w:val="23"/>
        </w:numPr>
      </w:pPr>
      <w:r w:rsidRPr="00B32826">
        <w:t xml:space="preserve">At the start of the </w:t>
      </w:r>
      <w:r>
        <w:t>next case build</w:t>
      </w:r>
      <w:r w:rsidRPr="00B32826">
        <w:t xml:space="preserve"> process, </w:t>
      </w:r>
      <w:r>
        <w:t xml:space="preserve">all </w:t>
      </w:r>
      <w:r w:rsidRPr="00B32826">
        <w:t xml:space="preserve">the Consistency PMCRs </w:t>
      </w:r>
      <w:r>
        <w:t xml:space="preserve">submitted during the previous case build </w:t>
      </w:r>
      <w:r w:rsidRPr="00B32826">
        <w:t xml:space="preserve">will be applied to the </w:t>
      </w:r>
      <w:r>
        <w:t xml:space="preserve">previous </w:t>
      </w:r>
      <w:r w:rsidR="00B46122">
        <w:t xml:space="preserve">MOD </w:t>
      </w:r>
      <w:r>
        <w:t>seed</w:t>
      </w:r>
      <w:r w:rsidRPr="00B32826">
        <w:t xml:space="preserve"> case along with the PMCRs </w:t>
      </w:r>
      <w:r>
        <w:t>representing completed projects.</w:t>
      </w:r>
      <w:r w:rsidRPr="00B32826">
        <w:t xml:space="preserve">  This will be the</w:t>
      </w:r>
      <w:r w:rsidR="00B46122">
        <w:t xml:space="preserve"> new MOD</w:t>
      </w:r>
      <w:r w:rsidRPr="00B32826">
        <w:t xml:space="preserve"> seed case for </w:t>
      </w:r>
      <w:r>
        <w:t>the next case build</w:t>
      </w:r>
      <w:r w:rsidRPr="00B32826">
        <w:t>.</w:t>
      </w:r>
    </w:p>
    <w:p w:rsidR="00C22552" w:rsidRDefault="00C22552" w:rsidP="009E4DBA">
      <w:pPr>
        <w:pStyle w:val="BodyText3"/>
        <w:numPr>
          <w:ilvl w:val="0"/>
          <w:numId w:val="23"/>
        </w:numPr>
      </w:pPr>
      <w:r w:rsidRPr="00B32826">
        <w:t xml:space="preserve">Project files </w:t>
      </w:r>
      <w:r>
        <w:t>representing planned projects</w:t>
      </w:r>
      <w:r w:rsidRPr="00B32826">
        <w:t xml:space="preserve"> and profiles will be retained from the previous case update.</w:t>
      </w:r>
    </w:p>
    <w:p w:rsidR="00C22552" w:rsidRDefault="00C22552" w:rsidP="009E4DBA">
      <w:pPr>
        <w:pStyle w:val="BodyText3"/>
        <w:numPr>
          <w:ilvl w:val="0"/>
          <w:numId w:val="23"/>
        </w:numPr>
      </w:pPr>
      <w:r w:rsidRPr="00B32826">
        <w:t xml:space="preserve">This process </w:t>
      </w:r>
      <w:r w:rsidR="00417C5C">
        <w:t>will</w:t>
      </w:r>
      <w:r w:rsidR="00417C5C" w:rsidRPr="00B32826">
        <w:t xml:space="preserve"> </w:t>
      </w:r>
      <w:r w:rsidRPr="00B32826">
        <w:t>continue not only for the DSA and DSB case builds, but for each TPIT update.</w:t>
      </w:r>
    </w:p>
    <w:p w:rsidR="00C22552" w:rsidRDefault="00C22552" w:rsidP="009E4DBA">
      <w:pPr>
        <w:pStyle w:val="BodyText3"/>
        <w:numPr>
          <w:ilvl w:val="0"/>
          <w:numId w:val="23"/>
        </w:numPr>
      </w:pPr>
      <w:r w:rsidRPr="00B32826">
        <w:t>Consistency Validation occurs at the same points each update, Pass 0, Pass 3, and Final posting.</w:t>
      </w:r>
      <w:r w:rsidR="00417C5C">
        <w:t xml:space="preserve">  For TPIT updates, Consistency Validation will occur only twice, at Pass 0 and </w:t>
      </w:r>
      <w:r w:rsidR="00417C5C">
        <w:lastRenderedPageBreak/>
        <w:t>the Final posting.  The TP Case download at Pass 0 will be the TP Case used for the Final posting comparison.</w:t>
      </w:r>
    </w:p>
    <w:p w:rsidR="00C22552" w:rsidRDefault="00C22552">
      <w:pPr>
        <w:pStyle w:val="Heading3"/>
      </w:pPr>
      <w:bookmarkStart w:id="23" w:name="_Toc286726274"/>
      <w:r w:rsidRPr="00B32826">
        <w:t>TPIT Update</w:t>
      </w:r>
      <w:r>
        <w:t>s to Cases Created Outside MOD</w:t>
      </w:r>
      <w:bookmarkEnd w:id="23"/>
    </w:p>
    <w:p w:rsidR="00C22552" w:rsidRDefault="00C22552" w:rsidP="009E4DBA">
      <w:pPr>
        <w:pStyle w:val="BodyText3"/>
        <w:numPr>
          <w:ilvl w:val="0"/>
          <w:numId w:val="24"/>
        </w:numPr>
      </w:pPr>
      <w:r w:rsidRPr="00B32826">
        <w:t>Since load, generation, and device control profiles do not exist for</w:t>
      </w:r>
      <w:r>
        <w:t xml:space="preserve"> cases created outside MOD environment,</w:t>
      </w:r>
      <w:r w:rsidRPr="00B32826">
        <w:t xml:space="preserve"> </w:t>
      </w:r>
      <w:r>
        <w:t>t</w:t>
      </w:r>
      <w:r w:rsidRPr="00B32826">
        <w:t xml:space="preserve">hese cases </w:t>
      </w:r>
      <w:r>
        <w:t xml:space="preserve">will continue </w:t>
      </w:r>
      <w:r w:rsidRPr="00B32826">
        <w:t>to be updated through IDEVs outside of MOD.</w:t>
      </w:r>
    </w:p>
    <w:sectPr w:rsidR="00C22552" w:rsidSect="00005B7D">
      <w:foot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1002" w:rsidRDefault="00C21002" w:rsidP="00B807F6">
      <w:r>
        <w:separator/>
      </w:r>
    </w:p>
  </w:endnote>
  <w:endnote w:type="continuationSeparator" w:id="1">
    <w:p w:rsidR="00C21002" w:rsidRDefault="00C21002" w:rsidP="00B807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0A0"/>
    </w:tblPr>
    <w:tblGrid>
      <w:gridCol w:w="4300"/>
      <w:gridCol w:w="975"/>
      <w:gridCol w:w="4301"/>
    </w:tblGrid>
    <w:tr w:rsidR="00333A69">
      <w:trPr>
        <w:trHeight w:val="151"/>
      </w:trPr>
      <w:tc>
        <w:tcPr>
          <w:tcW w:w="2250" w:type="pct"/>
          <w:tcBorders>
            <w:bottom w:val="single" w:sz="4" w:space="0" w:color="4F81BD"/>
          </w:tcBorders>
        </w:tcPr>
        <w:p w:rsidR="00333A69" w:rsidRDefault="00333A69">
          <w:pPr>
            <w:pStyle w:val="Header"/>
            <w:rPr>
              <w:rFonts w:ascii="Cambria" w:eastAsia="Times New Roman" w:hAnsi="Cambria"/>
              <w:b/>
              <w:bCs/>
            </w:rPr>
          </w:pPr>
        </w:p>
      </w:tc>
      <w:tc>
        <w:tcPr>
          <w:tcW w:w="500" w:type="pct"/>
          <w:vMerge w:val="restart"/>
          <w:noWrap/>
          <w:vAlign w:val="center"/>
        </w:tcPr>
        <w:p w:rsidR="00333A69" w:rsidRDefault="00333A69">
          <w:pPr>
            <w:pStyle w:val="NoSpacing"/>
            <w:rPr>
              <w:rFonts w:ascii="Cambria" w:hAnsi="Cambria"/>
            </w:rPr>
          </w:pPr>
          <w:r w:rsidRPr="0055789E">
            <w:rPr>
              <w:rFonts w:ascii="Arial" w:hAnsi="Arial" w:cs="Arial"/>
              <w:b/>
            </w:rPr>
            <w:t>Page</w:t>
          </w:r>
          <w:r>
            <w:rPr>
              <w:rFonts w:ascii="Cambria" w:hAnsi="Cambria"/>
              <w:b/>
            </w:rPr>
            <w:t xml:space="preserve"> </w:t>
          </w:r>
          <w:fldSimple w:instr=" PAGE  \* MERGEFORMAT ">
            <w:r w:rsidR="00BB6874" w:rsidRPr="00BB6874">
              <w:rPr>
                <w:rFonts w:ascii="Cambria" w:hAnsi="Cambria"/>
                <w:b/>
                <w:noProof/>
              </w:rPr>
              <w:t>1</w:t>
            </w:r>
          </w:fldSimple>
        </w:p>
      </w:tc>
      <w:tc>
        <w:tcPr>
          <w:tcW w:w="2250" w:type="pct"/>
          <w:tcBorders>
            <w:bottom w:val="single" w:sz="4" w:space="0" w:color="4F81BD"/>
          </w:tcBorders>
        </w:tcPr>
        <w:p w:rsidR="00333A69" w:rsidRDefault="00333A69">
          <w:pPr>
            <w:pStyle w:val="Header"/>
            <w:rPr>
              <w:rFonts w:ascii="Cambria" w:eastAsia="Times New Roman" w:hAnsi="Cambria"/>
              <w:b/>
              <w:bCs/>
            </w:rPr>
          </w:pPr>
        </w:p>
      </w:tc>
    </w:tr>
    <w:tr w:rsidR="00333A69">
      <w:trPr>
        <w:trHeight w:val="150"/>
      </w:trPr>
      <w:tc>
        <w:tcPr>
          <w:tcW w:w="2250" w:type="pct"/>
          <w:tcBorders>
            <w:top w:val="single" w:sz="4" w:space="0" w:color="4F81BD"/>
          </w:tcBorders>
        </w:tcPr>
        <w:p w:rsidR="00333A69" w:rsidRDefault="00333A69">
          <w:pPr>
            <w:pStyle w:val="Header"/>
            <w:rPr>
              <w:rFonts w:ascii="Cambria" w:eastAsia="Times New Roman" w:hAnsi="Cambria"/>
              <w:b/>
              <w:bCs/>
            </w:rPr>
          </w:pPr>
        </w:p>
      </w:tc>
      <w:tc>
        <w:tcPr>
          <w:tcW w:w="500" w:type="pct"/>
          <w:vMerge/>
        </w:tcPr>
        <w:p w:rsidR="00333A69" w:rsidRDefault="00333A69">
          <w:pPr>
            <w:pStyle w:val="Header"/>
            <w:jc w:val="center"/>
            <w:rPr>
              <w:rFonts w:ascii="Cambria" w:eastAsia="Times New Roman" w:hAnsi="Cambria"/>
              <w:b/>
              <w:bCs/>
            </w:rPr>
          </w:pPr>
        </w:p>
      </w:tc>
      <w:tc>
        <w:tcPr>
          <w:tcW w:w="2250" w:type="pct"/>
          <w:tcBorders>
            <w:top w:val="single" w:sz="4" w:space="0" w:color="4F81BD"/>
          </w:tcBorders>
        </w:tcPr>
        <w:p w:rsidR="00333A69" w:rsidRDefault="00333A69">
          <w:pPr>
            <w:pStyle w:val="Header"/>
            <w:rPr>
              <w:rFonts w:ascii="Cambria" w:eastAsia="Times New Roman" w:hAnsi="Cambria"/>
              <w:b/>
              <w:bCs/>
            </w:rPr>
          </w:pPr>
        </w:p>
      </w:tc>
    </w:tr>
  </w:tbl>
  <w:p w:rsidR="00333A69" w:rsidRDefault="00333A6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1002" w:rsidRDefault="00C21002" w:rsidP="00B807F6">
      <w:r>
        <w:separator/>
      </w:r>
    </w:p>
  </w:footnote>
  <w:footnote w:type="continuationSeparator" w:id="1">
    <w:p w:rsidR="00C21002" w:rsidRDefault="00C21002" w:rsidP="00B807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4A41190"/>
    <w:lvl w:ilvl="0">
      <w:start w:val="1"/>
      <w:numFmt w:val="decimal"/>
      <w:lvlText w:val="%1."/>
      <w:lvlJc w:val="left"/>
      <w:pPr>
        <w:tabs>
          <w:tab w:val="num" w:pos="1800"/>
        </w:tabs>
        <w:ind w:left="1800" w:hanging="360"/>
      </w:pPr>
    </w:lvl>
  </w:abstractNum>
  <w:abstractNum w:abstractNumId="1">
    <w:nsid w:val="FFFFFF7D"/>
    <w:multiLevelType w:val="singleLevel"/>
    <w:tmpl w:val="5E987322"/>
    <w:lvl w:ilvl="0">
      <w:start w:val="1"/>
      <w:numFmt w:val="decimal"/>
      <w:lvlText w:val="%1."/>
      <w:lvlJc w:val="left"/>
      <w:pPr>
        <w:tabs>
          <w:tab w:val="num" w:pos="1440"/>
        </w:tabs>
        <w:ind w:left="1440" w:hanging="360"/>
      </w:pPr>
    </w:lvl>
  </w:abstractNum>
  <w:abstractNum w:abstractNumId="2">
    <w:nsid w:val="FFFFFF7E"/>
    <w:multiLevelType w:val="singleLevel"/>
    <w:tmpl w:val="B1D6EE60"/>
    <w:lvl w:ilvl="0">
      <w:start w:val="1"/>
      <w:numFmt w:val="decimal"/>
      <w:lvlText w:val="%1."/>
      <w:lvlJc w:val="left"/>
      <w:pPr>
        <w:tabs>
          <w:tab w:val="num" w:pos="1080"/>
        </w:tabs>
        <w:ind w:left="1080" w:hanging="360"/>
      </w:pPr>
    </w:lvl>
  </w:abstractNum>
  <w:abstractNum w:abstractNumId="3">
    <w:nsid w:val="FFFFFF7F"/>
    <w:multiLevelType w:val="singleLevel"/>
    <w:tmpl w:val="FB3839B8"/>
    <w:lvl w:ilvl="0">
      <w:start w:val="1"/>
      <w:numFmt w:val="decimal"/>
      <w:lvlText w:val="%1."/>
      <w:lvlJc w:val="left"/>
      <w:pPr>
        <w:tabs>
          <w:tab w:val="num" w:pos="720"/>
        </w:tabs>
        <w:ind w:left="720" w:hanging="360"/>
      </w:pPr>
    </w:lvl>
  </w:abstractNum>
  <w:abstractNum w:abstractNumId="4">
    <w:nsid w:val="FFFFFF80"/>
    <w:multiLevelType w:val="singleLevel"/>
    <w:tmpl w:val="4B3488E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68C1BD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CBC7AB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0E6C83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CACA38E"/>
    <w:lvl w:ilvl="0">
      <w:start w:val="1"/>
      <w:numFmt w:val="decimal"/>
      <w:lvlText w:val="%1."/>
      <w:lvlJc w:val="left"/>
      <w:pPr>
        <w:tabs>
          <w:tab w:val="num" w:pos="360"/>
        </w:tabs>
        <w:ind w:left="360" w:hanging="360"/>
      </w:pPr>
    </w:lvl>
  </w:abstractNum>
  <w:abstractNum w:abstractNumId="9">
    <w:nsid w:val="FFFFFF89"/>
    <w:multiLevelType w:val="singleLevel"/>
    <w:tmpl w:val="5624387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rPr>
        <w:rFonts w:cs="Times New Roman"/>
      </w:rPr>
    </w:lvl>
  </w:abstractNum>
  <w:abstractNum w:abstractNumId="11">
    <w:nsid w:val="03307655"/>
    <w:multiLevelType w:val="hybridMultilevel"/>
    <w:tmpl w:val="DA8246DA"/>
    <w:lvl w:ilvl="0" w:tplc="2B0CF282">
      <w:start w:val="2"/>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422324F"/>
    <w:multiLevelType w:val="hybridMultilevel"/>
    <w:tmpl w:val="76D6848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052D2F7F"/>
    <w:multiLevelType w:val="hybridMultilevel"/>
    <w:tmpl w:val="57802186"/>
    <w:lvl w:ilvl="0" w:tplc="2B0CF282">
      <w:start w:val="2"/>
      <w:numFmt w:val="bullet"/>
      <w:lvlText w:val="-"/>
      <w:lvlJc w:val="left"/>
      <w:pPr>
        <w:ind w:left="1440" w:hanging="360"/>
      </w:pPr>
      <w:rPr>
        <w:rFonts w:ascii="Times New Roman" w:eastAsia="Times New Roman" w:hAnsi="Times New Roman"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6120EC7"/>
    <w:multiLevelType w:val="hybridMultilevel"/>
    <w:tmpl w:val="2A683B8E"/>
    <w:lvl w:ilvl="0" w:tplc="2B0CF282">
      <w:start w:val="2"/>
      <w:numFmt w:val="bullet"/>
      <w:lvlText w:val="-"/>
      <w:lvlJc w:val="left"/>
      <w:pPr>
        <w:ind w:left="720" w:hanging="360"/>
      </w:pPr>
      <w:rPr>
        <w:rFonts w:ascii="Times New Roman" w:eastAsia="Times New Roman" w:hAnsi="Times New Roman" w:hint="default"/>
      </w:rPr>
    </w:lvl>
    <w:lvl w:ilvl="1" w:tplc="2B0CF282">
      <w:start w:val="2"/>
      <w:numFmt w:val="bullet"/>
      <w:lvlText w:val="-"/>
      <w:lvlJc w:val="left"/>
      <w:pPr>
        <w:ind w:left="1440" w:hanging="360"/>
      </w:pPr>
      <w:rPr>
        <w:rFonts w:ascii="Times New Roman" w:eastAsia="Times New Roman" w:hAnsi="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BB13ADD"/>
    <w:multiLevelType w:val="hybridMultilevel"/>
    <w:tmpl w:val="C3B0EB3A"/>
    <w:lvl w:ilvl="0" w:tplc="2B0CF282">
      <w:start w:val="2"/>
      <w:numFmt w:val="bullet"/>
      <w:lvlText w:val="-"/>
      <w:lvlJc w:val="left"/>
      <w:pPr>
        <w:ind w:left="1440" w:hanging="360"/>
      </w:pPr>
      <w:rPr>
        <w:rFonts w:ascii="Times New Roman" w:eastAsia="Times New Roman" w:hAnsi="Times New Roman"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1A805AE9"/>
    <w:multiLevelType w:val="hybridMultilevel"/>
    <w:tmpl w:val="D174DAE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25921432"/>
    <w:multiLevelType w:val="hybridMultilevel"/>
    <w:tmpl w:val="091AAF7A"/>
    <w:lvl w:ilvl="0" w:tplc="2B0CF282">
      <w:start w:val="2"/>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64F6270"/>
    <w:multiLevelType w:val="multilevel"/>
    <w:tmpl w:val="30544BA4"/>
    <w:lvl w:ilvl="0">
      <w:start w:val="2"/>
      <w:numFmt w:val="decimal"/>
      <w:lvlText w:val="%1."/>
      <w:lvlJc w:val="left"/>
      <w:pPr>
        <w:ind w:left="360" w:hanging="360"/>
      </w:pPr>
      <w:rPr>
        <w:rFonts w:cs="Times New Roman" w:hint="default"/>
      </w:rPr>
    </w:lvl>
    <w:lvl w:ilvl="1">
      <w:start w:val="1"/>
      <w:numFmt w:val="decimal"/>
      <w:pStyle w:val="Heading2"/>
      <w:lvlText w:val="%1.%2."/>
      <w:lvlJc w:val="left"/>
      <w:pPr>
        <w:ind w:left="792" w:hanging="432"/>
      </w:pPr>
      <w:rPr>
        <w:rFonts w:cs="Times New Roman" w:hint="default"/>
      </w:rPr>
    </w:lvl>
    <w:lvl w:ilvl="2">
      <w:start w:val="1"/>
      <w:numFmt w:val="decimal"/>
      <w:pStyle w:val="Heading3"/>
      <w:lvlText w:val="%1.%2.%3."/>
      <w:lvlJc w:val="left"/>
      <w:pPr>
        <w:ind w:left="1224" w:hanging="504"/>
      </w:pPr>
      <w:rPr>
        <w:rFonts w:cs="Times New Roman" w:hint="default"/>
        <w:b/>
        <w:i w:val="0"/>
      </w:rPr>
    </w:lvl>
    <w:lvl w:ilvl="3">
      <w:start w:val="1"/>
      <w:numFmt w:val="decimal"/>
      <w:pStyle w:val="Heading4"/>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295C6138"/>
    <w:multiLevelType w:val="hybridMultilevel"/>
    <w:tmpl w:val="EB944F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D63455A"/>
    <w:multiLevelType w:val="hybridMultilevel"/>
    <w:tmpl w:val="CA2EE968"/>
    <w:lvl w:ilvl="0" w:tplc="0409000F">
      <w:start w:val="1"/>
      <w:numFmt w:val="decimal"/>
      <w:lvlText w:val="%1."/>
      <w:lvlJc w:val="left"/>
      <w:pPr>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23354F9"/>
    <w:multiLevelType w:val="hybridMultilevel"/>
    <w:tmpl w:val="AC109630"/>
    <w:lvl w:ilvl="0" w:tplc="2B0CF282">
      <w:start w:val="2"/>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58296032"/>
    <w:multiLevelType w:val="hybridMultilevel"/>
    <w:tmpl w:val="CF2ED332"/>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12A51B7"/>
    <w:multiLevelType w:val="hybridMultilevel"/>
    <w:tmpl w:val="4BBE40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nsid w:val="626202C8"/>
    <w:multiLevelType w:val="hybridMultilevel"/>
    <w:tmpl w:val="E6D28E10"/>
    <w:lvl w:ilvl="0" w:tplc="2B0CF282">
      <w:start w:val="2"/>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94013F2"/>
    <w:multiLevelType w:val="hybridMultilevel"/>
    <w:tmpl w:val="A894E9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696A6264"/>
    <w:multiLevelType w:val="multilevel"/>
    <w:tmpl w:val="50146790"/>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nsid w:val="72847E32"/>
    <w:multiLevelType w:val="hybridMultilevel"/>
    <w:tmpl w:val="401A9416"/>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8">
    <w:nsid w:val="769A3D9A"/>
    <w:multiLevelType w:val="hybridMultilevel"/>
    <w:tmpl w:val="F20A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71C3A21"/>
    <w:multiLevelType w:val="hybridMultilevel"/>
    <w:tmpl w:val="6D28063E"/>
    <w:lvl w:ilvl="0" w:tplc="3CCCC018">
      <w:start w:val="1"/>
      <w:numFmt w:val="decimal"/>
      <w:pStyle w:val="BodyTextIndent"/>
      <w:lvlText w:val="%1."/>
      <w:lvlJc w:val="left"/>
      <w:pPr>
        <w:ind w:left="1140" w:hanging="360"/>
      </w:pPr>
      <w:rPr>
        <w:rFonts w:cs="Times New Roman"/>
      </w:rPr>
    </w:lvl>
    <w:lvl w:ilvl="1" w:tplc="04090019" w:tentative="1">
      <w:start w:val="1"/>
      <w:numFmt w:val="lowerLetter"/>
      <w:lvlText w:val="%2."/>
      <w:lvlJc w:val="left"/>
      <w:pPr>
        <w:ind w:left="1860" w:hanging="360"/>
      </w:pPr>
      <w:rPr>
        <w:rFonts w:cs="Times New Roman"/>
      </w:rPr>
    </w:lvl>
    <w:lvl w:ilvl="2" w:tplc="0409001B" w:tentative="1">
      <w:start w:val="1"/>
      <w:numFmt w:val="lowerRoman"/>
      <w:lvlText w:val="%3."/>
      <w:lvlJc w:val="right"/>
      <w:pPr>
        <w:ind w:left="2580" w:hanging="180"/>
      </w:pPr>
      <w:rPr>
        <w:rFonts w:cs="Times New Roman"/>
      </w:rPr>
    </w:lvl>
    <w:lvl w:ilvl="3" w:tplc="0409000F" w:tentative="1">
      <w:start w:val="1"/>
      <w:numFmt w:val="decimal"/>
      <w:lvlText w:val="%4."/>
      <w:lvlJc w:val="left"/>
      <w:pPr>
        <w:ind w:left="3300" w:hanging="360"/>
      </w:pPr>
      <w:rPr>
        <w:rFonts w:cs="Times New Roman"/>
      </w:rPr>
    </w:lvl>
    <w:lvl w:ilvl="4" w:tplc="04090019" w:tentative="1">
      <w:start w:val="1"/>
      <w:numFmt w:val="lowerLetter"/>
      <w:lvlText w:val="%5."/>
      <w:lvlJc w:val="left"/>
      <w:pPr>
        <w:ind w:left="4020" w:hanging="360"/>
      </w:pPr>
      <w:rPr>
        <w:rFonts w:cs="Times New Roman"/>
      </w:rPr>
    </w:lvl>
    <w:lvl w:ilvl="5" w:tplc="0409001B" w:tentative="1">
      <w:start w:val="1"/>
      <w:numFmt w:val="lowerRoman"/>
      <w:lvlText w:val="%6."/>
      <w:lvlJc w:val="right"/>
      <w:pPr>
        <w:ind w:left="4740" w:hanging="180"/>
      </w:pPr>
      <w:rPr>
        <w:rFonts w:cs="Times New Roman"/>
      </w:rPr>
    </w:lvl>
    <w:lvl w:ilvl="6" w:tplc="0409000F" w:tentative="1">
      <w:start w:val="1"/>
      <w:numFmt w:val="decimal"/>
      <w:lvlText w:val="%7."/>
      <w:lvlJc w:val="left"/>
      <w:pPr>
        <w:ind w:left="5460" w:hanging="360"/>
      </w:pPr>
      <w:rPr>
        <w:rFonts w:cs="Times New Roman"/>
      </w:rPr>
    </w:lvl>
    <w:lvl w:ilvl="7" w:tplc="04090019" w:tentative="1">
      <w:start w:val="1"/>
      <w:numFmt w:val="lowerLetter"/>
      <w:lvlText w:val="%8."/>
      <w:lvlJc w:val="left"/>
      <w:pPr>
        <w:ind w:left="6180" w:hanging="360"/>
      </w:pPr>
      <w:rPr>
        <w:rFonts w:cs="Times New Roman"/>
      </w:rPr>
    </w:lvl>
    <w:lvl w:ilvl="8" w:tplc="0409001B" w:tentative="1">
      <w:start w:val="1"/>
      <w:numFmt w:val="lowerRoman"/>
      <w:lvlText w:val="%9."/>
      <w:lvlJc w:val="right"/>
      <w:pPr>
        <w:ind w:left="6900" w:hanging="180"/>
      </w:pPr>
      <w:rPr>
        <w:rFonts w:cs="Times New Roman"/>
      </w:rPr>
    </w:lvl>
  </w:abstractNum>
  <w:abstractNum w:abstractNumId="30">
    <w:nsid w:val="774A31E7"/>
    <w:multiLevelType w:val="hybridMultilevel"/>
    <w:tmpl w:val="53AE95D6"/>
    <w:lvl w:ilvl="0" w:tplc="64C2BE18">
      <w:start w:val="2"/>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7C8A0D61"/>
    <w:multiLevelType w:val="hybridMultilevel"/>
    <w:tmpl w:val="0A18AC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32">
    <w:nsid w:val="7EF14351"/>
    <w:multiLevelType w:val="hybridMultilevel"/>
    <w:tmpl w:val="6726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F8D28E8"/>
    <w:multiLevelType w:val="hybridMultilevel"/>
    <w:tmpl w:val="27D6BD44"/>
    <w:lvl w:ilvl="0" w:tplc="2B0CF282">
      <w:start w:val="2"/>
      <w:numFmt w:val="bullet"/>
      <w:lvlText w:val="-"/>
      <w:lvlJc w:val="left"/>
      <w:pPr>
        <w:ind w:left="1440" w:hanging="360"/>
      </w:pPr>
      <w:rPr>
        <w:rFonts w:ascii="Times New Roman" w:eastAsia="Times New Roman" w:hAnsi="Times New Roman"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6"/>
  </w:num>
  <w:num w:numId="2">
    <w:abstractNumId w:val="18"/>
  </w:num>
  <w:num w:numId="3">
    <w:abstractNumId w:val="29"/>
  </w:num>
  <w:num w:numId="4">
    <w:abstractNumId w:val="30"/>
  </w:num>
  <w:num w:numId="5">
    <w:abstractNumId w:val="22"/>
  </w:num>
  <w:num w:numId="6">
    <w:abstractNumId w:val="32"/>
  </w:num>
  <w:num w:numId="7">
    <w:abstractNumId w:val="28"/>
  </w:num>
  <w:num w:numId="8">
    <w:abstractNumId w:val="20"/>
  </w:num>
  <w:num w:numId="9">
    <w:abstractNumId w:val="27"/>
  </w:num>
  <w:num w:numId="10">
    <w:abstractNumId w:val="25"/>
  </w:num>
  <w:num w:numId="11">
    <w:abstractNumId w:val="16"/>
  </w:num>
  <w:num w:numId="12">
    <w:abstractNumId w:val="23"/>
  </w:num>
  <w:num w:numId="13">
    <w:abstractNumId w:val="12"/>
  </w:num>
  <w:num w:numId="14">
    <w:abstractNumId w:val="31"/>
  </w:num>
  <w:num w:numId="15">
    <w:abstractNumId w:val="19"/>
  </w:num>
  <w:num w:numId="16">
    <w:abstractNumId w:val="13"/>
  </w:num>
  <w:num w:numId="17">
    <w:abstractNumId w:val="14"/>
  </w:num>
  <w:num w:numId="18">
    <w:abstractNumId w:val="11"/>
  </w:num>
  <w:num w:numId="19">
    <w:abstractNumId w:val="21"/>
  </w:num>
  <w:num w:numId="20">
    <w:abstractNumId w:val="10"/>
    <w:lvlOverride w:ilvl="0">
      <w:lvl w:ilvl="0">
        <w:start w:val="1"/>
        <w:numFmt w:val="bullet"/>
        <w:lvlText w:val="-"/>
        <w:legacy w:legacy="1" w:legacySpace="0" w:legacyIndent="720"/>
        <w:lvlJc w:val="left"/>
        <w:pPr>
          <w:ind w:left="1080" w:hanging="720"/>
        </w:pPr>
      </w:lvl>
    </w:lvlOverride>
  </w:num>
  <w:num w:numId="21">
    <w:abstractNumId w:val="15"/>
  </w:num>
  <w:num w:numId="22">
    <w:abstractNumId w:val="33"/>
  </w:num>
  <w:num w:numId="23">
    <w:abstractNumId w:val="17"/>
  </w:num>
  <w:num w:numId="24">
    <w:abstractNumId w:val="24"/>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6"/>
  <w:defaultTabStop w:val="720"/>
  <w:characterSpacingControl w:val="doNotCompress"/>
  <w:hdrShapeDefaults>
    <o:shapedefaults v:ext="edit" spidmax="9218"/>
  </w:hdrShapeDefaults>
  <w:footnotePr>
    <w:footnote w:id="0"/>
    <w:footnote w:id="1"/>
  </w:footnotePr>
  <w:endnotePr>
    <w:endnote w:id="0"/>
    <w:endnote w:id="1"/>
  </w:endnotePr>
  <w:compat/>
  <w:rsids>
    <w:rsidRoot w:val="00135F1B"/>
    <w:rsid w:val="00005B7D"/>
    <w:rsid w:val="00006F00"/>
    <w:rsid w:val="00013E19"/>
    <w:rsid w:val="00037B65"/>
    <w:rsid w:val="000829CF"/>
    <w:rsid w:val="000844AC"/>
    <w:rsid w:val="000864A0"/>
    <w:rsid w:val="000D10B3"/>
    <w:rsid w:val="000E3215"/>
    <w:rsid w:val="000E6C85"/>
    <w:rsid w:val="000F6D1A"/>
    <w:rsid w:val="00107E64"/>
    <w:rsid w:val="00135F1B"/>
    <w:rsid w:val="001369D1"/>
    <w:rsid w:val="0013706A"/>
    <w:rsid w:val="001424A1"/>
    <w:rsid w:val="0014328A"/>
    <w:rsid w:val="00151E6B"/>
    <w:rsid w:val="00157488"/>
    <w:rsid w:val="001613E4"/>
    <w:rsid w:val="001706AA"/>
    <w:rsid w:val="00170ABC"/>
    <w:rsid w:val="00174B51"/>
    <w:rsid w:val="001805B5"/>
    <w:rsid w:val="001808C7"/>
    <w:rsid w:val="001A7AE1"/>
    <w:rsid w:val="001D10B7"/>
    <w:rsid w:val="001D29C2"/>
    <w:rsid w:val="001D2F86"/>
    <w:rsid w:val="001D5D18"/>
    <w:rsid w:val="00231A32"/>
    <w:rsid w:val="00253D4A"/>
    <w:rsid w:val="0026081B"/>
    <w:rsid w:val="00270400"/>
    <w:rsid w:val="002773D5"/>
    <w:rsid w:val="00292A3C"/>
    <w:rsid w:val="002A285A"/>
    <w:rsid w:val="002D6BE2"/>
    <w:rsid w:val="002E208E"/>
    <w:rsid w:val="002E423B"/>
    <w:rsid w:val="002E4D9C"/>
    <w:rsid w:val="003019C4"/>
    <w:rsid w:val="00320539"/>
    <w:rsid w:val="00333A69"/>
    <w:rsid w:val="00350671"/>
    <w:rsid w:val="00351EFD"/>
    <w:rsid w:val="00356C8A"/>
    <w:rsid w:val="00361FA4"/>
    <w:rsid w:val="003622A3"/>
    <w:rsid w:val="00371291"/>
    <w:rsid w:val="003873D2"/>
    <w:rsid w:val="0039045C"/>
    <w:rsid w:val="003A38C5"/>
    <w:rsid w:val="003B20C9"/>
    <w:rsid w:val="003C0794"/>
    <w:rsid w:val="003C4FEE"/>
    <w:rsid w:val="003D1946"/>
    <w:rsid w:val="003F2C6C"/>
    <w:rsid w:val="003F512F"/>
    <w:rsid w:val="00417C5C"/>
    <w:rsid w:val="004421B7"/>
    <w:rsid w:val="004605FD"/>
    <w:rsid w:val="00493C5E"/>
    <w:rsid w:val="00496AB0"/>
    <w:rsid w:val="004A081F"/>
    <w:rsid w:val="004B57E5"/>
    <w:rsid w:val="004C2D6A"/>
    <w:rsid w:val="004E701F"/>
    <w:rsid w:val="00522802"/>
    <w:rsid w:val="0055789E"/>
    <w:rsid w:val="005653C6"/>
    <w:rsid w:val="005725C4"/>
    <w:rsid w:val="005B4E5C"/>
    <w:rsid w:val="005C09CD"/>
    <w:rsid w:val="005E4A6A"/>
    <w:rsid w:val="005F5993"/>
    <w:rsid w:val="00620880"/>
    <w:rsid w:val="00644629"/>
    <w:rsid w:val="00675189"/>
    <w:rsid w:val="0067740B"/>
    <w:rsid w:val="00694E09"/>
    <w:rsid w:val="00695135"/>
    <w:rsid w:val="006B1259"/>
    <w:rsid w:val="006B6FA5"/>
    <w:rsid w:val="006C4F65"/>
    <w:rsid w:val="006E0E04"/>
    <w:rsid w:val="00710371"/>
    <w:rsid w:val="00762045"/>
    <w:rsid w:val="008005B7"/>
    <w:rsid w:val="00805499"/>
    <w:rsid w:val="00842363"/>
    <w:rsid w:val="00861710"/>
    <w:rsid w:val="00862D49"/>
    <w:rsid w:val="008846F0"/>
    <w:rsid w:val="008972F1"/>
    <w:rsid w:val="008A015C"/>
    <w:rsid w:val="008A57F6"/>
    <w:rsid w:val="008B2BFD"/>
    <w:rsid w:val="008C521D"/>
    <w:rsid w:val="008C76B2"/>
    <w:rsid w:val="008D363B"/>
    <w:rsid w:val="008E2B9F"/>
    <w:rsid w:val="00925B31"/>
    <w:rsid w:val="00931746"/>
    <w:rsid w:val="00943224"/>
    <w:rsid w:val="009A0C83"/>
    <w:rsid w:val="009D07F9"/>
    <w:rsid w:val="009E4DBA"/>
    <w:rsid w:val="009E4E4F"/>
    <w:rsid w:val="009E5228"/>
    <w:rsid w:val="00A22D94"/>
    <w:rsid w:val="00A3015B"/>
    <w:rsid w:val="00A464A8"/>
    <w:rsid w:val="00AB1C80"/>
    <w:rsid w:val="00AD0C42"/>
    <w:rsid w:val="00AE0017"/>
    <w:rsid w:val="00AE0D10"/>
    <w:rsid w:val="00AE737E"/>
    <w:rsid w:val="00AE7F90"/>
    <w:rsid w:val="00AF4CEB"/>
    <w:rsid w:val="00B06621"/>
    <w:rsid w:val="00B238E4"/>
    <w:rsid w:val="00B32826"/>
    <w:rsid w:val="00B446B2"/>
    <w:rsid w:val="00B46122"/>
    <w:rsid w:val="00B53EC6"/>
    <w:rsid w:val="00B807F6"/>
    <w:rsid w:val="00B85C5E"/>
    <w:rsid w:val="00B93653"/>
    <w:rsid w:val="00B96ADB"/>
    <w:rsid w:val="00BB3B99"/>
    <w:rsid w:val="00BB6874"/>
    <w:rsid w:val="00C15E1E"/>
    <w:rsid w:val="00C21002"/>
    <w:rsid w:val="00C22552"/>
    <w:rsid w:val="00C530D7"/>
    <w:rsid w:val="00C6440E"/>
    <w:rsid w:val="00C73BBD"/>
    <w:rsid w:val="00C97EE1"/>
    <w:rsid w:val="00CC52E7"/>
    <w:rsid w:val="00CD4427"/>
    <w:rsid w:val="00CE0767"/>
    <w:rsid w:val="00CE60EC"/>
    <w:rsid w:val="00D10D43"/>
    <w:rsid w:val="00D41F3A"/>
    <w:rsid w:val="00D6078D"/>
    <w:rsid w:val="00D7282A"/>
    <w:rsid w:val="00D859B8"/>
    <w:rsid w:val="00DB55D9"/>
    <w:rsid w:val="00DB6FC1"/>
    <w:rsid w:val="00E36007"/>
    <w:rsid w:val="00E364CE"/>
    <w:rsid w:val="00E65620"/>
    <w:rsid w:val="00E74B05"/>
    <w:rsid w:val="00E83A73"/>
    <w:rsid w:val="00E862A4"/>
    <w:rsid w:val="00EA6C40"/>
    <w:rsid w:val="00EB29DA"/>
    <w:rsid w:val="00ED1C91"/>
    <w:rsid w:val="00ED304B"/>
    <w:rsid w:val="00ED4633"/>
    <w:rsid w:val="00F045F0"/>
    <w:rsid w:val="00F15429"/>
    <w:rsid w:val="00F16974"/>
    <w:rsid w:val="00F173DB"/>
    <w:rsid w:val="00F2562A"/>
    <w:rsid w:val="00F259F3"/>
    <w:rsid w:val="00F403A4"/>
    <w:rsid w:val="00F52E6A"/>
    <w:rsid w:val="00F71A70"/>
    <w:rsid w:val="00F9007F"/>
    <w:rsid w:val="00FF00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qFormat="1"/>
    <w:lsdException w:name="heading 9" w:locked="1" w:semiHidden="1" w:unhideWhenUsed="1" w:qFormat="1"/>
    <w:lsdException w:name="toc 1" w:locked="1"/>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annotation reference"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Indent 3" w:locked="1"/>
    <w:lsdException w:name="Hyperlink"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864A0"/>
    <w:rPr>
      <w:rFonts w:ascii="Times New Roman" w:hAnsi="Times New Roman"/>
    </w:rPr>
  </w:style>
  <w:style w:type="paragraph" w:styleId="Heading1">
    <w:name w:val="heading 1"/>
    <w:basedOn w:val="Normal"/>
    <w:next w:val="Normal"/>
    <w:link w:val="Heading1Char"/>
    <w:qFormat/>
    <w:rsid w:val="008E2B9F"/>
    <w:pPr>
      <w:keepNext/>
      <w:outlineLvl w:val="0"/>
    </w:pPr>
    <w:rPr>
      <w:b/>
      <w:sz w:val="24"/>
      <w:u w:val="single"/>
    </w:rPr>
  </w:style>
  <w:style w:type="paragraph" w:styleId="Heading2">
    <w:name w:val="heading 2"/>
    <w:basedOn w:val="Normal"/>
    <w:next w:val="Normal"/>
    <w:link w:val="Heading2Char"/>
    <w:qFormat/>
    <w:rsid w:val="00E36007"/>
    <w:pPr>
      <w:keepNext/>
      <w:keepLines/>
      <w:numPr>
        <w:ilvl w:val="1"/>
        <w:numId w:val="2"/>
      </w:numPr>
      <w:spacing w:before="240" w:after="240"/>
      <w:outlineLvl w:val="1"/>
    </w:pPr>
    <w:rPr>
      <w:rFonts w:ascii="Arial" w:hAnsi="Arial" w:cs="Arial"/>
      <w:b/>
      <w:sz w:val="22"/>
    </w:rPr>
  </w:style>
  <w:style w:type="paragraph" w:styleId="Heading3">
    <w:name w:val="heading 3"/>
    <w:basedOn w:val="Normal"/>
    <w:next w:val="Normal"/>
    <w:link w:val="Heading3Char"/>
    <w:qFormat/>
    <w:rsid w:val="00E36007"/>
    <w:pPr>
      <w:keepNext/>
      <w:keepLines/>
      <w:numPr>
        <w:ilvl w:val="2"/>
        <w:numId w:val="2"/>
      </w:numPr>
      <w:spacing w:before="240" w:after="240"/>
      <w:outlineLvl w:val="2"/>
    </w:pPr>
    <w:rPr>
      <w:rFonts w:ascii="Arial" w:hAnsi="Arial"/>
      <w:b/>
      <w:bCs/>
      <w:sz w:val="22"/>
    </w:rPr>
  </w:style>
  <w:style w:type="paragraph" w:styleId="Heading4">
    <w:name w:val="heading 4"/>
    <w:basedOn w:val="Normal"/>
    <w:next w:val="Normal"/>
    <w:link w:val="Heading4Char"/>
    <w:qFormat/>
    <w:rsid w:val="00350671"/>
    <w:pPr>
      <w:keepNext/>
      <w:keepLines/>
      <w:numPr>
        <w:ilvl w:val="3"/>
        <w:numId w:val="2"/>
      </w:numPr>
      <w:spacing w:before="240" w:after="120"/>
      <w:outlineLvl w:val="3"/>
    </w:pPr>
    <w:rPr>
      <w:rFonts w:ascii="Arial" w:hAnsi="Arial"/>
      <w:bCs/>
      <w:iCs/>
    </w:rPr>
  </w:style>
  <w:style w:type="paragraph" w:styleId="Heading6">
    <w:name w:val="heading 6"/>
    <w:basedOn w:val="Normal"/>
    <w:next w:val="Normal"/>
    <w:link w:val="Heading6Char"/>
    <w:qFormat/>
    <w:rsid w:val="00135F1B"/>
    <w:pPr>
      <w:keepNext/>
      <w:keepLines/>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jc w:val="center"/>
      <w:outlineLvl w:val="5"/>
    </w:pPr>
    <w:rPr>
      <w:rFonts w:ascii="Arial" w:hAnsi="Arial"/>
      <w:b/>
      <w:sz w:val="28"/>
    </w:rPr>
  </w:style>
  <w:style w:type="paragraph" w:styleId="Heading8">
    <w:name w:val="heading 8"/>
    <w:basedOn w:val="Normal"/>
    <w:next w:val="Normal"/>
    <w:link w:val="Heading8Char"/>
    <w:qFormat/>
    <w:rsid w:val="00135F1B"/>
    <w:pPr>
      <w:keepNext/>
      <w:widowControl w:val="0"/>
      <w:jc w:val="center"/>
      <w:outlineLvl w:val="7"/>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8E2B9F"/>
    <w:rPr>
      <w:rFonts w:ascii="Times New Roman" w:hAnsi="Times New Roman" w:cs="Times New Roman"/>
      <w:b/>
      <w:sz w:val="20"/>
      <w:szCs w:val="20"/>
      <w:u w:val="single"/>
    </w:rPr>
  </w:style>
  <w:style w:type="character" w:customStyle="1" w:styleId="Heading2Char">
    <w:name w:val="Heading 2 Char"/>
    <w:basedOn w:val="DefaultParagraphFont"/>
    <w:link w:val="Heading2"/>
    <w:locked/>
    <w:rsid w:val="00E36007"/>
    <w:rPr>
      <w:rFonts w:ascii="Arial" w:hAnsi="Arial" w:cs="Arial"/>
      <w:b/>
      <w:sz w:val="22"/>
      <w:lang w:val="en-US" w:eastAsia="en-US" w:bidi="ar-SA"/>
    </w:rPr>
  </w:style>
  <w:style w:type="character" w:customStyle="1" w:styleId="Heading6Char">
    <w:name w:val="Heading 6 Char"/>
    <w:basedOn w:val="DefaultParagraphFont"/>
    <w:link w:val="Heading6"/>
    <w:locked/>
    <w:rsid w:val="00135F1B"/>
    <w:rPr>
      <w:rFonts w:ascii="Arial" w:hAnsi="Arial" w:cs="Times New Roman"/>
      <w:b/>
      <w:sz w:val="20"/>
      <w:szCs w:val="20"/>
    </w:rPr>
  </w:style>
  <w:style w:type="character" w:customStyle="1" w:styleId="Heading8Char">
    <w:name w:val="Heading 8 Char"/>
    <w:basedOn w:val="DefaultParagraphFont"/>
    <w:link w:val="Heading8"/>
    <w:locked/>
    <w:rsid w:val="00135F1B"/>
    <w:rPr>
      <w:rFonts w:ascii="Times New Roman" w:hAnsi="Times New Roman" w:cs="Times New Roman"/>
      <w:b/>
      <w:sz w:val="20"/>
      <w:szCs w:val="20"/>
    </w:rPr>
  </w:style>
  <w:style w:type="paragraph" w:styleId="BodyText">
    <w:name w:val="Body Text"/>
    <w:basedOn w:val="Normal"/>
    <w:link w:val="BodyTextChar"/>
    <w:rsid w:val="00361FA4"/>
    <w:pPr>
      <w:spacing w:line="360" w:lineRule="auto"/>
      <w:jc w:val="both"/>
    </w:pPr>
    <w:rPr>
      <w:rFonts w:ascii="Arial" w:hAnsi="Arial"/>
    </w:rPr>
  </w:style>
  <w:style w:type="character" w:customStyle="1" w:styleId="BodyTextChar">
    <w:name w:val="Body Text Char"/>
    <w:basedOn w:val="DefaultParagraphFont"/>
    <w:link w:val="BodyText"/>
    <w:locked/>
    <w:rsid w:val="00361FA4"/>
    <w:rPr>
      <w:rFonts w:ascii="Arial" w:hAnsi="Arial" w:cs="Times New Roman"/>
      <w:sz w:val="20"/>
      <w:szCs w:val="20"/>
    </w:rPr>
  </w:style>
  <w:style w:type="paragraph" w:styleId="BodyTextIndent">
    <w:name w:val="Body Text Indent"/>
    <w:basedOn w:val="Normal"/>
    <w:link w:val="BodyTextIndentChar"/>
    <w:rsid w:val="00361FA4"/>
    <w:pPr>
      <w:widowControl w:val="0"/>
      <w:numPr>
        <w:numId w:val="3"/>
      </w:numPr>
      <w:spacing w:after="120" w:line="360" w:lineRule="auto"/>
      <w:ind w:left="1138"/>
    </w:pPr>
    <w:rPr>
      <w:rFonts w:ascii="Arial" w:hAnsi="Arial"/>
    </w:rPr>
  </w:style>
  <w:style w:type="character" w:customStyle="1" w:styleId="BodyTextIndentChar">
    <w:name w:val="Body Text Indent Char"/>
    <w:basedOn w:val="DefaultParagraphFont"/>
    <w:link w:val="BodyTextIndent"/>
    <w:locked/>
    <w:rsid w:val="00361FA4"/>
    <w:rPr>
      <w:rFonts w:ascii="Arial" w:hAnsi="Arial" w:cs="Times New Roman"/>
      <w:snapToGrid w:val="0"/>
      <w:lang w:val="en-US" w:eastAsia="en-US" w:bidi="ar-SA"/>
    </w:rPr>
  </w:style>
  <w:style w:type="paragraph" w:styleId="BodyTextIndent3">
    <w:name w:val="Body Text Indent 3"/>
    <w:basedOn w:val="Normal"/>
    <w:link w:val="BodyTextIndent3Char"/>
    <w:rsid w:val="00361FA4"/>
    <w:pPr>
      <w:tabs>
        <w:tab w:val="left" w:pos="720"/>
      </w:tabs>
      <w:spacing w:after="120" w:line="360" w:lineRule="auto"/>
      <w:ind w:left="2160" w:hanging="2160"/>
      <w:jc w:val="both"/>
    </w:pPr>
    <w:rPr>
      <w:rFonts w:ascii="Arial" w:hAnsi="Arial"/>
    </w:rPr>
  </w:style>
  <w:style w:type="character" w:customStyle="1" w:styleId="BodyTextIndent3Char">
    <w:name w:val="Body Text Indent 3 Char"/>
    <w:basedOn w:val="DefaultParagraphFont"/>
    <w:link w:val="BodyTextIndent3"/>
    <w:locked/>
    <w:rsid w:val="00361FA4"/>
    <w:rPr>
      <w:rFonts w:ascii="Arial" w:hAnsi="Arial" w:cs="Times New Roman"/>
      <w:sz w:val="20"/>
      <w:szCs w:val="20"/>
    </w:rPr>
  </w:style>
  <w:style w:type="paragraph" w:styleId="BodyText2">
    <w:name w:val="Body Text 2"/>
    <w:basedOn w:val="Normal"/>
    <w:link w:val="BodyText2Char"/>
    <w:rsid w:val="00361FA4"/>
    <w:pPr>
      <w:spacing w:after="240" w:line="360" w:lineRule="auto"/>
      <w:ind w:left="360"/>
      <w:jc w:val="both"/>
    </w:pPr>
    <w:rPr>
      <w:rFonts w:ascii="Arial" w:hAnsi="Arial"/>
    </w:rPr>
  </w:style>
  <w:style w:type="character" w:customStyle="1" w:styleId="BodyText2Char">
    <w:name w:val="Body Text 2 Char"/>
    <w:basedOn w:val="DefaultParagraphFont"/>
    <w:link w:val="BodyText2"/>
    <w:locked/>
    <w:rsid w:val="00361FA4"/>
    <w:rPr>
      <w:rFonts w:ascii="Arial" w:hAnsi="Arial" w:cs="Times New Roman"/>
      <w:lang w:val="en-US" w:eastAsia="en-US" w:bidi="ar-SA"/>
    </w:rPr>
  </w:style>
  <w:style w:type="paragraph" w:styleId="BalloonText">
    <w:name w:val="Balloon Text"/>
    <w:basedOn w:val="Normal"/>
    <w:link w:val="BalloonTextChar"/>
    <w:semiHidden/>
    <w:rsid w:val="00135F1B"/>
    <w:rPr>
      <w:rFonts w:ascii="Tahoma" w:hAnsi="Tahoma" w:cs="Tahoma"/>
      <w:sz w:val="16"/>
      <w:szCs w:val="16"/>
    </w:rPr>
  </w:style>
  <w:style w:type="character" w:customStyle="1" w:styleId="BalloonTextChar">
    <w:name w:val="Balloon Text Char"/>
    <w:basedOn w:val="DefaultParagraphFont"/>
    <w:link w:val="BalloonText"/>
    <w:semiHidden/>
    <w:locked/>
    <w:rsid w:val="00135F1B"/>
    <w:rPr>
      <w:rFonts w:ascii="Tahoma" w:hAnsi="Tahoma" w:cs="Tahoma"/>
      <w:sz w:val="16"/>
      <w:szCs w:val="16"/>
    </w:rPr>
  </w:style>
  <w:style w:type="paragraph" w:styleId="ListParagraph">
    <w:name w:val="List Paragraph"/>
    <w:basedOn w:val="Normal"/>
    <w:qFormat/>
    <w:rsid w:val="00E65620"/>
    <w:pPr>
      <w:spacing w:after="200" w:line="276" w:lineRule="auto"/>
      <w:ind w:left="720"/>
      <w:contextualSpacing/>
    </w:pPr>
    <w:rPr>
      <w:rFonts w:ascii="Calibri" w:eastAsia="Times New Roman" w:hAnsi="Calibri"/>
      <w:sz w:val="22"/>
      <w:szCs w:val="22"/>
    </w:rPr>
  </w:style>
  <w:style w:type="character" w:styleId="BookTitle">
    <w:name w:val="Book Title"/>
    <w:basedOn w:val="DefaultParagraphFont"/>
    <w:qFormat/>
    <w:rsid w:val="00695135"/>
    <w:rPr>
      <w:rFonts w:cs="Times New Roman"/>
      <w:b/>
      <w:bCs/>
      <w:smallCaps/>
      <w:spacing w:val="5"/>
    </w:rPr>
  </w:style>
  <w:style w:type="paragraph" w:styleId="Title">
    <w:name w:val="Title"/>
    <w:basedOn w:val="Normal"/>
    <w:next w:val="Normal"/>
    <w:link w:val="TitleChar"/>
    <w:qFormat/>
    <w:rsid w:val="00695135"/>
    <w:pPr>
      <w:spacing w:after="300" w:line="276" w:lineRule="auto"/>
      <w:contextualSpacing/>
    </w:pPr>
    <w:rPr>
      <w:rFonts w:ascii="Cambria" w:hAnsi="Cambria"/>
      <w:spacing w:val="5"/>
      <w:kern w:val="28"/>
      <w:sz w:val="28"/>
      <w:szCs w:val="52"/>
    </w:rPr>
  </w:style>
  <w:style w:type="character" w:customStyle="1" w:styleId="TitleChar">
    <w:name w:val="Title Char"/>
    <w:basedOn w:val="DefaultParagraphFont"/>
    <w:link w:val="Title"/>
    <w:locked/>
    <w:rsid w:val="00695135"/>
    <w:rPr>
      <w:rFonts w:ascii="Cambria" w:hAnsi="Cambria" w:cs="Times New Roman"/>
      <w:spacing w:val="5"/>
      <w:kern w:val="28"/>
      <w:sz w:val="52"/>
      <w:szCs w:val="52"/>
      <w:lang w:val="en-US" w:eastAsia="en-US" w:bidi="ar-SA"/>
    </w:rPr>
  </w:style>
  <w:style w:type="character" w:customStyle="1" w:styleId="Heading3Char">
    <w:name w:val="Heading 3 Char"/>
    <w:basedOn w:val="DefaultParagraphFont"/>
    <w:link w:val="Heading3"/>
    <w:locked/>
    <w:rsid w:val="00E36007"/>
    <w:rPr>
      <w:rFonts w:ascii="Arial" w:hAnsi="Arial" w:cs="Times New Roman"/>
      <w:b/>
      <w:bCs/>
      <w:sz w:val="22"/>
      <w:lang w:val="en-US" w:eastAsia="en-US" w:bidi="ar-SA"/>
    </w:rPr>
  </w:style>
  <w:style w:type="character" w:customStyle="1" w:styleId="Heading4Char">
    <w:name w:val="Heading 4 Char"/>
    <w:basedOn w:val="DefaultParagraphFont"/>
    <w:link w:val="Heading4"/>
    <w:locked/>
    <w:rsid w:val="00350671"/>
    <w:rPr>
      <w:rFonts w:ascii="Arial" w:hAnsi="Arial" w:cs="Times New Roman"/>
      <w:bCs/>
      <w:iCs/>
      <w:lang w:val="en-US" w:eastAsia="en-US" w:bidi="ar-SA"/>
    </w:rPr>
  </w:style>
  <w:style w:type="paragraph" w:styleId="BodyText3">
    <w:name w:val="Body Text 3"/>
    <w:basedOn w:val="Normal"/>
    <w:link w:val="BodyText3Char"/>
    <w:rsid w:val="00F403A4"/>
    <w:pPr>
      <w:spacing w:after="120" w:line="360" w:lineRule="auto"/>
      <w:ind w:left="720"/>
    </w:pPr>
    <w:rPr>
      <w:rFonts w:ascii="Arial" w:hAnsi="Arial"/>
      <w:szCs w:val="16"/>
    </w:rPr>
  </w:style>
  <w:style w:type="character" w:customStyle="1" w:styleId="BodyText3Char">
    <w:name w:val="Body Text 3 Char"/>
    <w:basedOn w:val="DefaultParagraphFont"/>
    <w:link w:val="BodyText3"/>
    <w:locked/>
    <w:rsid w:val="00F403A4"/>
    <w:rPr>
      <w:rFonts w:ascii="Arial" w:hAnsi="Arial" w:cs="Times New Roman"/>
      <w:sz w:val="16"/>
      <w:szCs w:val="16"/>
      <w:lang w:val="en-US" w:eastAsia="en-US" w:bidi="ar-SA"/>
    </w:rPr>
  </w:style>
  <w:style w:type="paragraph" w:styleId="TOCHeading">
    <w:name w:val="TOC Heading"/>
    <w:basedOn w:val="Heading1"/>
    <w:next w:val="Normal"/>
    <w:qFormat/>
    <w:rsid w:val="00CE0767"/>
    <w:pPr>
      <w:keepLines/>
      <w:spacing w:before="480" w:line="276" w:lineRule="auto"/>
      <w:outlineLvl w:val="9"/>
    </w:pPr>
    <w:rPr>
      <w:rFonts w:ascii="Cambria" w:hAnsi="Cambria"/>
      <w:bCs/>
      <w:color w:val="365F91"/>
      <w:sz w:val="28"/>
      <w:szCs w:val="28"/>
      <w:u w:val="none"/>
    </w:rPr>
  </w:style>
  <w:style w:type="paragraph" w:styleId="TOC2">
    <w:name w:val="toc 2"/>
    <w:basedOn w:val="Normal"/>
    <w:next w:val="Normal"/>
    <w:autoRedefine/>
    <w:uiPriority w:val="39"/>
    <w:rsid w:val="00CE0767"/>
    <w:pPr>
      <w:spacing w:after="100"/>
      <w:ind w:left="200"/>
    </w:pPr>
  </w:style>
  <w:style w:type="paragraph" w:styleId="TOC3">
    <w:name w:val="toc 3"/>
    <w:basedOn w:val="Normal"/>
    <w:next w:val="Normal"/>
    <w:autoRedefine/>
    <w:uiPriority w:val="39"/>
    <w:rsid w:val="00CE0767"/>
    <w:pPr>
      <w:spacing w:after="100"/>
      <w:ind w:left="400"/>
    </w:pPr>
  </w:style>
  <w:style w:type="paragraph" w:styleId="TOC1">
    <w:name w:val="toc 1"/>
    <w:basedOn w:val="Normal"/>
    <w:next w:val="Normal"/>
    <w:autoRedefine/>
    <w:rsid w:val="00CE0767"/>
    <w:pPr>
      <w:spacing w:after="100"/>
    </w:pPr>
  </w:style>
  <w:style w:type="character" w:styleId="Hyperlink">
    <w:name w:val="Hyperlink"/>
    <w:basedOn w:val="DefaultParagraphFont"/>
    <w:uiPriority w:val="99"/>
    <w:rsid w:val="00CE0767"/>
    <w:rPr>
      <w:rFonts w:cs="Times New Roman"/>
      <w:color w:val="0000FF"/>
      <w:u w:val="single"/>
    </w:rPr>
  </w:style>
  <w:style w:type="character" w:styleId="CommentReference">
    <w:name w:val="annotation reference"/>
    <w:basedOn w:val="DefaultParagraphFont"/>
    <w:semiHidden/>
    <w:rsid w:val="003C4FEE"/>
    <w:rPr>
      <w:rFonts w:cs="Times New Roman"/>
      <w:sz w:val="16"/>
      <w:szCs w:val="16"/>
    </w:rPr>
  </w:style>
  <w:style w:type="paragraph" w:styleId="CommentText">
    <w:name w:val="annotation text"/>
    <w:basedOn w:val="Normal"/>
    <w:link w:val="CommentTextChar"/>
    <w:semiHidden/>
    <w:rsid w:val="003C4FEE"/>
  </w:style>
  <w:style w:type="character" w:customStyle="1" w:styleId="CommentTextChar">
    <w:name w:val="Comment Text Char"/>
    <w:basedOn w:val="DefaultParagraphFont"/>
    <w:link w:val="CommentText"/>
    <w:semiHidden/>
    <w:locked/>
    <w:rsid w:val="003C4FEE"/>
    <w:rPr>
      <w:rFonts w:ascii="Times New Roman" w:hAnsi="Times New Roman" w:cs="Times New Roman"/>
      <w:sz w:val="20"/>
      <w:szCs w:val="20"/>
    </w:rPr>
  </w:style>
  <w:style w:type="paragraph" w:styleId="NoSpacing">
    <w:name w:val="No Spacing"/>
    <w:link w:val="NoSpacingChar"/>
    <w:qFormat/>
    <w:rsid w:val="00B93653"/>
    <w:rPr>
      <w:rFonts w:ascii="Times New Roman" w:hAnsi="Times New Roman"/>
    </w:rPr>
  </w:style>
  <w:style w:type="paragraph" w:styleId="Revision">
    <w:name w:val="Revision"/>
    <w:hidden/>
    <w:semiHidden/>
    <w:rsid w:val="00943224"/>
    <w:rPr>
      <w:rFonts w:ascii="Times New Roman" w:hAnsi="Times New Roman"/>
    </w:rPr>
  </w:style>
  <w:style w:type="paragraph" w:customStyle="1" w:styleId="BodyText4">
    <w:name w:val="Body Text 4"/>
    <w:rsid w:val="00350671"/>
    <w:pPr>
      <w:spacing w:before="120" w:after="120" w:line="360" w:lineRule="auto"/>
      <w:ind w:left="1440"/>
    </w:pPr>
    <w:rPr>
      <w:rFonts w:ascii="Arial" w:hAnsi="Arial"/>
      <w:szCs w:val="16"/>
    </w:rPr>
  </w:style>
  <w:style w:type="paragraph" w:styleId="Header">
    <w:name w:val="header"/>
    <w:basedOn w:val="Normal"/>
    <w:link w:val="HeaderChar"/>
    <w:rsid w:val="00B807F6"/>
    <w:pPr>
      <w:tabs>
        <w:tab w:val="center" w:pos="4680"/>
        <w:tab w:val="right" w:pos="9360"/>
      </w:tabs>
    </w:pPr>
  </w:style>
  <w:style w:type="character" w:customStyle="1" w:styleId="HeaderChar">
    <w:name w:val="Header Char"/>
    <w:basedOn w:val="DefaultParagraphFont"/>
    <w:link w:val="Header"/>
    <w:locked/>
    <w:rsid w:val="00B807F6"/>
    <w:rPr>
      <w:rFonts w:ascii="Times New Roman" w:hAnsi="Times New Roman" w:cs="Times New Roman"/>
      <w:sz w:val="20"/>
      <w:szCs w:val="20"/>
    </w:rPr>
  </w:style>
  <w:style w:type="paragraph" w:styleId="Footer">
    <w:name w:val="footer"/>
    <w:basedOn w:val="Normal"/>
    <w:link w:val="FooterChar"/>
    <w:semiHidden/>
    <w:rsid w:val="00B807F6"/>
    <w:pPr>
      <w:tabs>
        <w:tab w:val="center" w:pos="4680"/>
        <w:tab w:val="right" w:pos="9360"/>
      </w:tabs>
    </w:pPr>
  </w:style>
  <w:style w:type="character" w:customStyle="1" w:styleId="FooterChar">
    <w:name w:val="Footer Char"/>
    <w:basedOn w:val="DefaultParagraphFont"/>
    <w:link w:val="Footer"/>
    <w:semiHidden/>
    <w:locked/>
    <w:rsid w:val="00B807F6"/>
    <w:rPr>
      <w:rFonts w:ascii="Times New Roman" w:hAnsi="Times New Roman" w:cs="Times New Roman"/>
      <w:sz w:val="20"/>
      <w:szCs w:val="20"/>
    </w:rPr>
  </w:style>
  <w:style w:type="character" w:customStyle="1" w:styleId="NoSpacingChar">
    <w:name w:val="No Spacing Char"/>
    <w:basedOn w:val="DefaultParagraphFont"/>
    <w:link w:val="NoSpacing"/>
    <w:locked/>
    <w:rsid w:val="00B807F6"/>
    <w:rPr>
      <w:rFonts w:ascii="Times New Roman" w:hAnsi="Times New Roman"/>
      <w:lang w:val="en-US" w:eastAsia="en-US" w:bidi="ar-SA"/>
    </w:rPr>
  </w:style>
  <w:style w:type="paragraph" w:styleId="Subtitle">
    <w:name w:val="Subtitle"/>
    <w:basedOn w:val="Normal"/>
    <w:next w:val="Normal"/>
    <w:link w:val="SubtitleChar"/>
    <w:qFormat/>
    <w:rsid w:val="008A015C"/>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locked/>
    <w:rsid w:val="008A015C"/>
    <w:rPr>
      <w:rFonts w:ascii="Cambria" w:hAnsi="Cambria" w:cs="Times New Roman"/>
      <w:i/>
      <w:iCs/>
      <w:color w:val="4F81BD"/>
      <w:spacing w:val="15"/>
      <w:sz w:val="24"/>
      <w:szCs w:val="24"/>
    </w:rPr>
  </w:style>
  <w:style w:type="paragraph" w:styleId="CommentSubject">
    <w:name w:val="annotation subject"/>
    <w:basedOn w:val="CommentText"/>
    <w:next w:val="CommentText"/>
    <w:link w:val="CommentSubjectChar"/>
    <w:rsid w:val="005B4E5C"/>
    <w:rPr>
      <w:b/>
      <w:bCs/>
    </w:rPr>
  </w:style>
  <w:style w:type="character" w:customStyle="1" w:styleId="CommentSubjectChar">
    <w:name w:val="Comment Subject Char"/>
    <w:basedOn w:val="CommentTextChar"/>
    <w:link w:val="CommentSubject"/>
    <w:rsid w:val="005B4E5C"/>
    <w:rPr>
      <w:b/>
      <w:bC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3813</Words>
  <Characters>21738</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SSWG Case Building Procedure Supplement</vt:lpstr>
    </vt:vector>
  </TitlesOfParts>
  <Company>Energy Future Holdings</Company>
  <LinksUpToDate>false</LinksUpToDate>
  <CharactersWithSpaces>25501</CharactersWithSpaces>
  <SharedDoc>false</SharedDoc>
  <HLinks>
    <vt:vector size="102" baseType="variant">
      <vt:variant>
        <vt:i4>1638454</vt:i4>
      </vt:variant>
      <vt:variant>
        <vt:i4>98</vt:i4>
      </vt:variant>
      <vt:variant>
        <vt:i4>0</vt:i4>
      </vt:variant>
      <vt:variant>
        <vt:i4>5</vt:i4>
      </vt:variant>
      <vt:variant>
        <vt:lpwstr/>
      </vt:variant>
      <vt:variant>
        <vt:lpwstr>_Toc286311348</vt:lpwstr>
      </vt:variant>
      <vt:variant>
        <vt:i4>1638454</vt:i4>
      </vt:variant>
      <vt:variant>
        <vt:i4>92</vt:i4>
      </vt:variant>
      <vt:variant>
        <vt:i4>0</vt:i4>
      </vt:variant>
      <vt:variant>
        <vt:i4>5</vt:i4>
      </vt:variant>
      <vt:variant>
        <vt:lpwstr/>
      </vt:variant>
      <vt:variant>
        <vt:lpwstr>_Toc286311347</vt:lpwstr>
      </vt:variant>
      <vt:variant>
        <vt:i4>1638454</vt:i4>
      </vt:variant>
      <vt:variant>
        <vt:i4>86</vt:i4>
      </vt:variant>
      <vt:variant>
        <vt:i4>0</vt:i4>
      </vt:variant>
      <vt:variant>
        <vt:i4>5</vt:i4>
      </vt:variant>
      <vt:variant>
        <vt:lpwstr/>
      </vt:variant>
      <vt:variant>
        <vt:lpwstr>_Toc286311346</vt:lpwstr>
      </vt:variant>
      <vt:variant>
        <vt:i4>1638454</vt:i4>
      </vt:variant>
      <vt:variant>
        <vt:i4>80</vt:i4>
      </vt:variant>
      <vt:variant>
        <vt:i4>0</vt:i4>
      </vt:variant>
      <vt:variant>
        <vt:i4>5</vt:i4>
      </vt:variant>
      <vt:variant>
        <vt:lpwstr/>
      </vt:variant>
      <vt:variant>
        <vt:lpwstr>_Toc286311345</vt:lpwstr>
      </vt:variant>
      <vt:variant>
        <vt:i4>1638454</vt:i4>
      </vt:variant>
      <vt:variant>
        <vt:i4>74</vt:i4>
      </vt:variant>
      <vt:variant>
        <vt:i4>0</vt:i4>
      </vt:variant>
      <vt:variant>
        <vt:i4>5</vt:i4>
      </vt:variant>
      <vt:variant>
        <vt:lpwstr/>
      </vt:variant>
      <vt:variant>
        <vt:lpwstr>_Toc286311344</vt:lpwstr>
      </vt:variant>
      <vt:variant>
        <vt:i4>1638454</vt:i4>
      </vt:variant>
      <vt:variant>
        <vt:i4>68</vt:i4>
      </vt:variant>
      <vt:variant>
        <vt:i4>0</vt:i4>
      </vt:variant>
      <vt:variant>
        <vt:i4>5</vt:i4>
      </vt:variant>
      <vt:variant>
        <vt:lpwstr/>
      </vt:variant>
      <vt:variant>
        <vt:lpwstr>_Toc286311343</vt:lpwstr>
      </vt:variant>
      <vt:variant>
        <vt:i4>1638454</vt:i4>
      </vt:variant>
      <vt:variant>
        <vt:i4>62</vt:i4>
      </vt:variant>
      <vt:variant>
        <vt:i4>0</vt:i4>
      </vt:variant>
      <vt:variant>
        <vt:i4>5</vt:i4>
      </vt:variant>
      <vt:variant>
        <vt:lpwstr/>
      </vt:variant>
      <vt:variant>
        <vt:lpwstr>_Toc286311342</vt:lpwstr>
      </vt:variant>
      <vt:variant>
        <vt:i4>1638454</vt:i4>
      </vt:variant>
      <vt:variant>
        <vt:i4>56</vt:i4>
      </vt:variant>
      <vt:variant>
        <vt:i4>0</vt:i4>
      </vt:variant>
      <vt:variant>
        <vt:i4>5</vt:i4>
      </vt:variant>
      <vt:variant>
        <vt:lpwstr/>
      </vt:variant>
      <vt:variant>
        <vt:lpwstr>_Toc286311341</vt:lpwstr>
      </vt:variant>
      <vt:variant>
        <vt:i4>1638454</vt:i4>
      </vt:variant>
      <vt:variant>
        <vt:i4>50</vt:i4>
      </vt:variant>
      <vt:variant>
        <vt:i4>0</vt:i4>
      </vt:variant>
      <vt:variant>
        <vt:i4>5</vt:i4>
      </vt:variant>
      <vt:variant>
        <vt:lpwstr/>
      </vt:variant>
      <vt:variant>
        <vt:lpwstr>_Toc286311340</vt:lpwstr>
      </vt:variant>
      <vt:variant>
        <vt:i4>1966134</vt:i4>
      </vt:variant>
      <vt:variant>
        <vt:i4>44</vt:i4>
      </vt:variant>
      <vt:variant>
        <vt:i4>0</vt:i4>
      </vt:variant>
      <vt:variant>
        <vt:i4>5</vt:i4>
      </vt:variant>
      <vt:variant>
        <vt:lpwstr/>
      </vt:variant>
      <vt:variant>
        <vt:lpwstr>_Toc286311339</vt:lpwstr>
      </vt:variant>
      <vt:variant>
        <vt:i4>1966134</vt:i4>
      </vt:variant>
      <vt:variant>
        <vt:i4>38</vt:i4>
      </vt:variant>
      <vt:variant>
        <vt:i4>0</vt:i4>
      </vt:variant>
      <vt:variant>
        <vt:i4>5</vt:i4>
      </vt:variant>
      <vt:variant>
        <vt:lpwstr/>
      </vt:variant>
      <vt:variant>
        <vt:lpwstr>_Toc286311338</vt:lpwstr>
      </vt:variant>
      <vt:variant>
        <vt:i4>1966134</vt:i4>
      </vt:variant>
      <vt:variant>
        <vt:i4>32</vt:i4>
      </vt:variant>
      <vt:variant>
        <vt:i4>0</vt:i4>
      </vt:variant>
      <vt:variant>
        <vt:i4>5</vt:i4>
      </vt:variant>
      <vt:variant>
        <vt:lpwstr/>
      </vt:variant>
      <vt:variant>
        <vt:lpwstr>_Toc286311337</vt:lpwstr>
      </vt:variant>
      <vt:variant>
        <vt:i4>1966134</vt:i4>
      </vt:variant>
      <vt:variant>
        <vt:i4>26</vt:i4>
      </vt:variant>
      <vt:variant>
        <vt:i4>0</vt:i4>
      </vt:variant>
      <vt:variant>
        <vt:i4>5</vt:i4>
      </vt:variant>
      <vt:variant>
        <vt:lpwstr/>
      </vt:variant>
      <vt:variant>
        <vt:lpwstr>_Toc286311336</vt:lpwstr>
      </vt:variant>
      <vt:variant>
        <vt:i4>1966134</vt:i4>
      </vt:variant>
      <vt:variant>
        <vt:i4>20</vt:i4>
      </vt:variant>
      <vt:variant>
        <vt:i4>0</vt:i4>
      </vt:variant>
      <vt:variant>
        <vt:i4>5</vt:i4>
      </vt:variant>
      <vt:variant>
        <vt:lpwstr/>
      </vt:variant>
      <vt:variant>
        <vt:lpwstr>_Toc286311335</vt:lpwstr>
      </vt:variant>
      <vt:variant>
        <vt:i4>1966134</vt:i4>
      </vt:variant>
      <vt:variant>
        <vt:i4>14</vt:i4>
      </vt:variant>
      <vt:variant>
        <vt:i4>0</vt:i4>
      </vt:variant>
      <vt:variant>
        <vt:i4>5</vt:i4>
      </vt:variant>
      <vt:variant>
        <vt:lpwstr/>
      </vt:variant>
      <vt:variant>
        <vt:lpwstr>_Toc286311334</vt:lpwstr>
      </vt:variant>
      <vt:variant>
        <vt:i4>1966134</vt:i4>
      </vt:variant>
      <vt:variant>
        <vt:i4>8</vt:i4>
      </vt:variant>
      <vt:variant>
        <vt:i4>0</vt:i4>
      </vt:variant>
      <vt:variant>
        <vt:i4>5</vt:i4>
      </vt:variant>
      <vt:variant>
        <vt:lpwstr/>
      </vt:variant>
      <vt:variant>
        <vt:lpwstr>_Toc286311333</vt:lpwstr>
      </vt:variant>
      <vt:variant>
        <vt:i4>1966134</vt:i4>
      </vt:variant>
      <vt:variant>
        <vt:i4>2</vt:i4>
      </vt:variant>
      <vt:variant>
        <vt:i4>0</vt:i4>
      </vt:variant>
      <vt:variant>
        <vt:i4>5</vt:i4>
      </vt:variant>
      <vt:variant>
        <vt:lpwstr/>
      </vt:variant>
      <vt:variant>
        <vt:lpwstr>_Toc286311332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SSWG Case Building Procedure Supplement</dc:title>
  <dc:subject/>
  <dc:creator>Kevin Sills</dc:creator>
  <cp:keywords/>
  <dc:description/>
  <cp:lastModifiedBy>Kevin Sills</cp:lastModifiedBy>
  <cp:revision>2</cp:revision>
  <cp:lastPrinted>2011-02-24T17:58:00Z</cp:lastPrinted>
  <dcterms:created xsi:type="dcterms:W3CDTF">2011-03-01T13:04:00Z</dcterms:created>
  <dcterms:modified xsi:type="dcterms:W3CDTF">2011-03-01T13:04:00Z</dcterms:modified>
</cp:coreProperties>
</file>