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630FB4">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630FB4" w:rsidRDefault="00062AF2">
            <w:pPr>
              <w:pStyle w:val="Header"/>
            </w:pPr>
            <w:r>
              <w:t>358</w:t>
            </w:r>
            <w:r w:rsidR="009D7C0C">
              <w:t>N</w:t>
            </w:r>
            <w:r w:rsidR="00630FB4">
              <w:t>PRR Number</w:t>
            </w:r>
          </w:p>
        </w:tc>
        <w:tc>
          <w:tcPr>
            <w:tcW w:w="1260" w:type="dxa"/>
            <w:tcBorders>
              <w:bottom w:val="single" w:sz="4" w:space="0" w:color="auto"/>
            </w:tcBorders>
            <w:vAlign w:val="center"/>
          </w:tcPr>
          <w:p w:rsidR="00630FB4" w:rsidRDefault="00062AF2">
            <w:pPr>
              <w:pStyle w:val="Header"/>
            </w:pPr>
            <w:r>
              <w:t>358</w:t>
            </w:r>
          </w:p>
        </w:tc>
        <w:tc>
          <w:tcPr>
            <w:tcW w:w="900" w:type="dxa"/>
            <w:tcBorders>
              <w:bottom w:val="single" w:sz="4" w:space="0" w:color="auto"/>
            </w:tcBorders>
            <w:shd w:val="clear" w:color="auto" w:fill="FFFFFF"/>
            <w:vAlign w:val="center"/>
          </w:tcPr>
          <w:p w:rsidR="00630FB4" w:rsidRDefault="009D7C0C">
            <w:pPr>
              <w:pStyle w:val="Header"/>
            </w:pPr>
            <w:r>
              <w:t>N</w:t>
            </w:r>
            <w:r w:rsidR="00630FB4">
              <w:t>PRR Title</w:t>
            </w:r>
          </w:p>
        </w:tc>
        <w:tc>
          <w:tcPr>
            <w:tcW w:w="6660" w:type="dxa"/>
            <w:gridSpan w:val="2"/>
            <w:tcBorders>
              <w:bottom w:val="single" w:sz="4" w:space="0" w:color="auto"/>
            </w:tcBorders>
            <w:vAlign w:val="center"/>
          </w:tcPr>
          <w:p w:rsidR="00630FB4" w:rsidRDefault="00062AF2">
            <w:pPr>
              <w:pStyle w:val="Header"/>
            </w:pPr>
            <w:r w:rsidRPr="00062AF2">
              <w:t>Clarification of Responsible Entity for Binding Obligations</w:t>
            </w:r>
          </w:p>
        </w:tc>
      </w:tr>
      <w:tr w:rsidR="005543FA">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5543FA" w:rsidRPr="00F573FE" w:rsidRDefault="005543FA" w:rsidP="00730FA8">
            <w:pPr>
              <w:pStyle w:val="Header"/>
            </w:pPr>
            <w:r>
              <w:t>Timeline</w:t>
            </w:r>
          </w:p>
        </w:tc>
        <w:tc>
          <w:tcPr>
            <w:tcW w:w="1260" w:type="dxa"/>
            <w:tcBorders>
              <w:bottom w:val="single" w:sz="4" w:space="0" w:color="auto"/>
            </w:tcBorders>
            <w:vAlign w:val="center"/>
          </w:tcPr>
          <w:p w:rsidR="005543FA" w:rsidRDefault="00062AF2" w:rsidP="00730FA8">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5543FA" w:rsidRDefault="00C75ABB" w:rsidP="00730FA8">
            <w:pPr>
              <w:pStyle w:val="Header"/>
            </w:pPr>
            <w:r>
              <w:t>Action</w:t>
            </w:r>
          </w:p>
        </w:tc>
        <w:tc>
          <w:tcPr>
            <w:tcW w:w="4680" w:type="dxa"/>
            <w:tcBorders>
              <w:bottom w:val="single" w:sz="4" w:space="0" w:color="auto"/>
            </w:tcBorders>
            <w:shd w:val="clear" w:color="auto" w:fill="FFFFFF"/>
            <w:vAlign w:val="center"/>
          </w:tcPr>
          <w:p w:rsidR="005543FA" w:rsidRPr="00BD786A" w:rsidRDefault="000276B1" w:rsidP="00E0419C">
            <w:pPr>
              <w:pStyle w:val="Header"/>
              <w:rPr>
                <w:b w:val="0"/>
              </w:rPr>
            </w:pPr>
            <w:r>
              <w:rPr>
                <w:b w:val="0"/>
              </w:rPr>
              <w:t>Tabled</w:t>
            </w:r>
          </w:p>
        </w:tc>
      </w:tr>
      <w:tr w:rsidR="00E66305">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E66305" w:rsidRDefault="00E66305">
            <w:pPr>
              <w:pStyle w:val="Header"/>
            </w:pPr>
            <w:r>
              <w:t xml:space="preserve">Date of </w:t>
            </w:r>
            <w:r w:rsidR="00807265">
              <w:t>Decision</w:t>
            </w:r>
          </w:p>
        </w:tc>
        <w:tc>
          <w:tcPr>
            <w:tcW w:w="7560" w:type="dxa"/>
            <w:gridSpan w:val="3"/>
            <w:tcBorders>
              <w:top w:val="single" w:sz="4" w:space="0" w:color="auto"/>
            </w:tcBorders>
            <w:vAlign w:val="center"/>
          </w:tcPr>
          <w:p w:rsidR="00E66305" w:rsidRDefault="00062AF2" w:rsidP="006C3F70">
            <w:pPr>
              <w:pStyle w:val="NormalArial"/>
            </w:pPr>
            <w:r>
              <w:t>May 19, 2011</w:t>
            </w:r>
          </w:p>
        </w:tc>
      </w:tr>
      <w:tr w:rsidR="00B85BD1" w:rsidTr="00D051D0">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B85BD1" w:rsidRDefault="00B85BD1" w:rsidP="00D051D0">
            <w:pPr>
              <w:pStyle w:val="Header"/>
            </w:pPr>
            <w:r>
              <w:t>Proposed Effective Date</w:t>
            </w:r>
          </w:p>
        </w:tc>
        <w:tc>
          <w:tcPr>
            <w:tcW w:w="7560" w:type="dxa"/>
            <w:gridSpan w:val="3"/>
            <w:vAlign w:val="center"/>
          </w:tcPr>
          <w:p w:rsidR="00B85BD1" w:rsidRDefault="00062AF2" w:rsidP="00D051D0">
            <w:pPr>
              <w:pStyle w:val="NormalArial"/>
            </w:pPr>
            <w:r>
              <w:t>To be determined.</w:t>
            </w:r>
          </w:p>
        </w:tc>
      </w:tr>
      <w:tr w:rsidR="00B85BD1" w:rsidTr="00D051D0">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B85BD1" w:rsidRDefault="00B85BD1" w:rsidP="00D051D0">
            <w:pPr>
              <w:pStyle w:val="Header"/>
            </w:pPr>
            <w:r>
              <w:t>Priority and Rank Assigned</w:t>
            </w:r>
          </w:p>
        </w:tc>
        <w:tc>
          <w:tcPr>
            <w:tcW w:w="7560" w:type="dxa"/>
            <w:gridSpan w:val="3"/>
            <w:vAlign w:val="center"/>
          </w:tcPr>
          <w:p w:rsidR="00B85BD1" w:rsidRDefault="00062AF2" w:rsidP="00D051D0">
            <w:pPr>
              <w:pStyle w:val="NormalArial"/>
            </w:pPr>
            <w:r>
              <w:t>To be determined.</w:t>
            </w:r>
          </w:p>
        </w:tc>
      </w:tr>
      <w:tr w:rsidR="00383223">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383223" w:rsidRDefault="00383223" w:rsidP="002D5F2A">
            <w:pPr>
              <w:pStyle w:val="Header"/>
            </w:pPr>
            <w:r>
              <w:t>Nodal Protocol Sections Requiring Revision</w:t>
            </w:r>
          </w:p>
        </w:tc>
        <w:tc>
          <w:tcPr>
            <w:tcW w:w="7560" w:type="dxa"/>
            <w:gridSpan w:val="3"/>
            <w:tcBorders>
              <w:top w:val="single" w:sz="4" w:space="0" w:color="auto"/>
            </w:tcBorders>
            <w:vAlign w:val="center"/>
          </w:tcPr>
          <w:p w:rsidR="00062AF2" w:rsidRPr="00062AF2" w:rsidRDefault="00062AF2" w:rsidP="00062AF2">
            <w:pPr>
              <w:pStyle w:val="NormalArial"/>
            </w:pPr>
            <w:r w:rsidRPr="00062AF2">
              <w:t>2.1, Definitions</w:t>
            </w:r>
          </w:p>
          <w:p w:rsidR="00062AF2" w:rsidRPr="00062AF2" w:rsidRDefault="00062AF2" w:rsidP="00062AF2">
            <w:pPr>
              <w:pStyle w:val="NormalArial"/>
            </w:pPr>
            <w:r w:rsidRPr="00062AF2">
              <w:t>3.14.1.9, Generation Resource Return to Service Updates</w:t>
            </w:r>
          </w:p>
          <w:p w:rsidR="00062AF2" w:rsidRPr="00062AF2" w:rsidRDefault="00062AF2" w:rsidP="00062AF2">
            <w:pPr>
              <w:pStyle w:val="NormalArial"/>
            </w:pPr>
            <w:r w:rsidRPr="00062AF2">
              <w:t>3.14.1.10, Eligible Costs</w:t>
            </w:r>
          </w:p>
          <w:p w:rsidR="00062AF2" w:rsidRPr="00062AF2" w:rsidRDefault="00062AF2" w:rsidP="00062AF2">
            <w:pPr>
              <w:pStyle w:val="NormalArial"/>
            </w:pPr>
            <w:r w:rsidRPr="00062AF2">
              <w:t xml:space="preserve">3.14.1.12, Reporting Actual Eligible Cost </w:t>
            </w:r>
          </w:p>
          <w:p w:rsidR="00062AF2" w:rsidRPr="00062AF2" w:rsidRDefault="00062AF2" w:rsidP="00062AF2">
            <w:pPr>
              <w:pStyle w:val="NormalArial"/>
            </w:pPr>
            <w:r w:rsidRPr="00062AF2">
              <w:t>3.14.1.16, Reporting Actual Eligible Costs</w:t>
            </w:r>
          </w:p>
          <w:p w:rsidR="00062AF2" w:rsidRPr="00062AF2" w:rsidRDefault="00062AF2" w:rsidP="00062AF2">
            <w:pPr>
              <w:pStyle w:val="NormalArial"/>
            </w:pPr>
            <w:r w:rsidRPr="00062AF2">
              <w:t>5.6.1, Verifiable Costs</w:t>
            </w:r>
          </w:p>
          <w:p w:rsidR="00062AF2" w:rsidRPr="00062AF2" w:rsidRDefault="00062AF2" w:rsidP="00062AF2">
            <w:pPr>
              <w:pStyle w:val="NormalArial"/>
            </w:pPr>
            <w:r w:rsidRPr="00062AF2">
              <w:t>8.1.1.2.1.4, Voltage Support Service (VSS) Qualification</w:t>
            </w:r>
          </w:p>
          <w:p w:rsidR="00062AF2" w:rsidRPr="00062AF2" w:rsidRDefault="00062AF2" w:rsidP="00062AF2">
            <w:pPr>
              <w:pStyle w:val="NormalArial"/>
            </w:pPr>
            <w:r w:rsidRPr="00062AF2">
              <w:t>11.2.2, Data Provision and Verification of Non ERCOT Polled Settlement Metered Points</w:t>
            </w:r>
          </w:p>
          <w:p w:rsidR="00062AF2" w:rsidRPr="00062AF2" w:rsidRDefault="00062AF2" w:rsidP="00062AF2">
            <w:pPr>
              <w:pStyle w:val="NormalArial"/>
            </w:pPr>
            <w:r w:rsidRPr="00062AF2">
              <w:t>11.5.2, Generation Meter Data Aggregation</w:t>
            </w:r>
          </w:p>
          <w:p w:rsidR="00062AF2" w:rsidRPr="00062AF2" w:rsidRDefault="00062AF2" w:rsidP="00062AF2">
            <w:pPr>
              <w:pStyle w:val="NormalArial"/>
            </w:pPr>
            <w:r w:rsidRPr="00062AF2">
              <w:t>22, Attachment E:  Notification of Suspension of Operations</w:t>
            </w:r>
          </w:p>
          <w:p w:rsidR="00383223" w:rsidRDefault="00062AF2" w:rsidP="00062AF2">
            <w:pPr>
              <w:pStyle w:val="NormalArial"/>
            </w:pPr>
            <w:r w:rsidRPr="00062AF2">
              <w:t>22, Attachment H:  Notification of Change of Generation Resource Designation</w:t>
            </w:r>
          </w:p>
        </w:tc>
      </w:tr>
      <w:tr w:rsidR="00062AF2">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62AF2" w:rsidRDefault="00062AF2">
            <w:pPr>
              <w:pStyle w:val="Header"/>
            </w:pPr>
            <w:r>
              <w:t>Revision Description</w:t>
            </w:r>
          </w:p>
        </w:tc>
        <w:tc>
          <w:tcPr>
            <w:tcW w:w="7560" w:type="dxa"/>
            <w:gridSpan w:val="3"/>
            <w:tcBorders>
              <w:bottom w:val="single" w:sz="4" w:space="0" w:color="auto"/>
            </w:tcBorders>
            <w:vAlign w:val="center"/>
          </w:tcPr>
          <w:p w:rsidR="00062AF2" w:rsidRDefault="00062AF2" w:rsidP="00E65587">
            <w:pPr>
              <w:pStyle w:val="NormalArial"/>
            </w:pPr>
            <w:r>
              <w:t>This Nodal Protocol Revision Request (NPRR) replaces the term “Generation Entity” with “Resource Entity,” where appropriate, to provide clarity that for binding obligations the Resource Entity is designated as the Entity obligated under the Protocols.  This NPRR also modifies the definition of Generation Entity.</w:t>
            </w:r>
          </w:p>
        </w:tc>
      </w:tr>
      <w:tr w:rsidR="00062AF2" w:rsidTr="00D051D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62AF2" w:rsidRDefault="00062AF2" w:rsidP="00D051D0">
            <w:pPr>
              <w:pStyle w:val="Header"/>
            </w:pPr>
            <w:r>
              <w:t>Reason for Revision</w:t>
            </w:r>
          </w:p>
        </w:tc>
        <w:tc>
          <w:tcPr>
            <w:tcW w:w="7560" w:type="dxa"/>
            <w:gridSpan w:val="3"/>
            <w:tcBorders>
              <w:bottom w:val="single" w:sz="4" w:space="0" w:color="auto"/>
            </w:tcBorders>
            <w:vAlign w:val="center"/>
          </w:tcPr>
          <w:p w:rsidR="00062AF2" w:rsidRDefault="00062AF2" w:rsidP="002D5F2A">
            <w:pPr>
              <w:pStyle w:val="NormalArial"/>
            </w:pPr>
            <w:r>
              <w:t>This NPRR clarifies that the Resource Entity, a</w:t>
            </w:r>
            <w:r w:rsidRPr="00F13297">
              <w:t xml:space="preserve">s the Entity </w:t>
            </w:r>
            <w:r>
              <w:t xml:space="preserve">registered with ERCOT, via the </w:t>
            </w:r>
            <w:r w:rsidRPr="00F13297">
              <w:t>Standard Form Market Participant Agreement</w:t>
            </w:r>
            <w:r>
              <w:t>,</w:t>
            </w:r>
            <w:r w:rsidRPr="00F13297">
              <w:t xml:space="preserve"> </w:t>
            </w:r>
            <w:r>
              <w:t>is the Entity responsible for meeting binding obligations</w:t>
            </w:r>
            <w:r w:rsidR="002D5F2A">
              <w:t>,</w:t>
            </w:r>
            <w:r>
              <w:t xml:space="preserve"> and also modifie</w:t>
            </w:r>
            <w:r w:rsidR="002D5F2A">
              <w:t>s</w:t>
            </w:r>
            <w:r>
              <w:t xml:space="preserve"> the definition of Generation Entity to provide that unless </w:t>
            </w:r>
            <w:r w:rsidRPr="00807744">
              <w:t xml:space="preserve">otherwise specified in </w:t>
            </w:r>
            <w:r>
              <w:t>the P</w:t>
            </w:r>
            <w:r w:rsidRPr="00807744">
              <w:t>rotocol</w:t>
            </w:r>
            <w:r>
              <w:t>s</w:t>
            </w:r>
            <w:r w:rsidRPr="00807744">
              <w:t xml:space="preserve">, </w:t>
            </w:r>
            <w:r w:rsidR="002D5F2A">
              <w:t>it must be</w:t>
            </w:r>
            <w:r w:rsidRPr="00807744">
              <w:t xml:space="preserve"> registered as a Resource Entity. </w:t>
            </w:r>
          </w:p>
        </w:tc>
      </w:tr>
      <w:tr w:rsidR="00062AF2">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62AF2" w:rsidRDefault="00062AF2">
            <w:pPr>
              <w:pStyle w:val="Header"/>
            </w:pPr>
            <w:r>
              <w:t>Overall Market Benefit</w:t>
            </w:r>
          </w:p>
        </w:tc>
        <w:tc>
          <w:tcPr>
            <w:tcW w:w="7560" w:type="dxa"/>
            <w:gridSpan w:val="3"/>
            <w:tcBorders>
              <w:bottom w:val="single" w:sz="4" w:space="0" w:color="auto"/>
            </w:tcBorders>
            <w:vAlign w:val="center"/>
          </w:tcPr>
          <w:p w:rsidR="00062AF2" w:rsidRDefault="00062AF2" w:rsidP="00E65587">
            <w:pPr>
              <w:pStyle w:val="NormalArial"/>
            </w:pPr>
            <w:r w:rsidRPr="00F272A5">
              <w:t xml:space="preserve">Clarification </w:t>
            </w:r>
            <w:r>
              <w:t>of binding obligations.</w:t>
            </w:r>
          </w:p>
        </w:tc>
      </w:tr>
      <w:tr w:rsidR="00062AF2">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62AF2" w:rsidRDefault="00062AF2">
            <w:pPr>
              <w:pStyle w:val="Header"/>
            </w:pPr>
            <w:r>
              <w:t>Overall Market Impact</w:t>
            </w:r>
          </w:p>
        </w:tc>
        <w:tc>
          <w:tcPr>
            <w:tcW w:w="7560" w:type="dxa"/>
            <w:gridSpan w:val="3"/>
            <w:tcBorders>
              <w:bottom w:val="single" w:sz="4" w:space="0" w:color="auto"/>
            </w:tcBorders>
            <w:vAlign w:val="center"/>
          </w:tcPr>
          <w:p w:rsidR="00062AF2" w:rsidRDefault="00062AF2" w:rsidP="00E65587">
            <w:pPr>
              <w:pStyle w:val="NormalArial"/>
            </w:pPr>
            <w:r>
              <w:t>None.</w:t>
            </w:r>
          </w:p>
        </w:tc>
      </w:tr>
      <w:tr w:rsidR="00062AF2">
        <w:tblPrEx>
          <w:tblCellMar>
            <w:top w:w="0" w:type="dxa"/>
            <w:bottom w:w="0" w:type="dxa"/>
          </w:tblCellMar>
        </w:tblPrEx>
        <w:trPr>
          <w:trHeight w:val="512"/>
        </w:trPr>
        <w:tc>
          <w:tcPr>
            <w:tcW w:w="2880" w:type="dxa"/>
            <w:gridSpan w:val="2"/>
            <w:shd w:val="clear" w:color="auto" w:fill="FFFFFF"/>
            <w:vAlign w:val="center"/>
          </w:tcPr>
          <w:p w:rsidR="00062AF2" w:rsidRDefault="00062AF2">
            <w:pPr>
              <w:pStyle w:val="Header"/>
            </w:pPr>
            <w:r>
              <w:t>Consumer Impact</w:t>
            </w:r>
          </w:p>
        </w:tc>
        <w:tc>
          <w:tcPr>
            <w:tcW w:w="7560" w:type="dxa"/>
            <w:gridSpan w:val="3"/>
            <w:vAlign w:val="center"/>
          </w:tcPr>
          <w:p w:rsidR="00062AF2" w:rsidRDefault="00062AF2" w:rsidP="00E65587">
            <w:pPr>
              <w:pStyle w:val="NormalArial"/>
            </w:pPr>
            <w:r>
              <w:t>None.</w:t>
            </w:r>
          </w:p>
        </w:tc>
      </w:tr>
      <w:tr w:rsidR="00E0419C">
        <w:tblPrEx>
          <w:tblCellMar>
            <w:top w:w="0" w:type="dxa"/>
            <w:bottom w:w="0" w:type="dxa"/>
          </w:tblCellMar>
        </w:tblPrEx>
        <w:trPr>
          <w:trHeight w:val="1160"/>
        </w:trPr>
        <w:tc>
          <w:tcPr>
            <w:tcW w:w="2880" w:type="dxa"/>
            <w:gridSpan w:val="2"/>
            <w:shd w:val="clear" w:color="auto" w:fill="FFFFFF"/>
            <w:vAlign w:val="center"/>
          </w:tcPr>
          <w:p w:rsidR="00E0419C" w:rsidRDefault="00E0419C">
            <w:pPr>
              <w:pStyle w:val="Header"/>
            </w:pPr>
            <w:r>
              <w:t>Credit Impacts</w:t>
            </w:r>
          </w:p>
        </w:tc>
        <w:tc>
          <w:tcPr>
            <w:tcW w:w="7560" w:type="dxa"/>
            <w:gridSpan w:val="3"/>
            <w:vAlign w:val="center"/>
          </w:tcPr>
          <w:p w:rsidR="00E0419C" w:rsidRDefault="00062AF2" w:rsidP="000A42ED">
            <w:pPr>
              <w:pStyle w:val="NormalArial"/>
            </w:pPr>
            <w:r>
              <w:t>To be determined.</w:t>
            </w:r>
          </w:p>
        </w:tc>
      </w:tr>
      <w:tr w:rsidR="00226E82">
        <w:tblPrEx>
          <w:tblCellMar>
            <w:top w:w="0" w:type="dxa"/>
            <w:bottom w:w="0" w:type="dxa"/>
          </w:tblCellMar>
        </w:tblPrEx>
        <w:trPr>
          <w:trHeight w:val="458"/>
        </w:trPr>
        <w:tc>
          <w:tcPr>
            <w:tcW w:w="2880" w:type="dxa"/>
            <w:gridSpan w:val="2"/>
            <w:shd w:val="clear" w:color="auto" w:fill="FFFFFF"/>
            <w:vAlign w:val="center"/>
          </w:tcPr>
          <w:p w:rsidR="00226E82" w:rsidRDefault="00944960">
            <w:pPr>
              <w:pStyle w:val="Header"/>
            </w:pPr>
            <w:r>
              <w:t>Procedural History</w:t>
            </w:r>
          </w:p>
        </w:tc>
        <w:tc>
          <w:tcPr>
            <w:tcW w:w="7560" w:type="dxa"/>
            <w:gridSpan w:val="3"/>
            <w:vAlign w:val="center"/>
          </w:tcPr>
          <w:p w:rsidR="00062AF2" w:rsidRPr="00062AF2" w:rsidRDefault="00062AF2" w:rsidP="00062AF2">
            <w:pPr>
              <w:pStyle w:val="NormalArial"/>
              <w:numPr>
                <w:ilvl w:val="0"/>
                <w:numId w:val="17"/>
              </w:numPr>
              <w:tabs>
                <w:tab w:val="clear" w:pos="720"/>
                <w:tab w:val="num" w:pos="432"/>
              </w:tabs>
              <w:ind w:left="432"/>
            </w:pPr>
            <w:r>
              <w:t xml:space="preserve">On 5/4/11, </w:t>
            </w:r>
            <w:r w:rsidRPr="00062AF2">
              <w:t>NPRR3</w:t>
            </w:r>
            <w:r>
              <w:t>58</w:t>
            </w:r>
            <w:r w:rsidRPr="00062AF2">
              <w:t xml:space="preserve"> and an Impact Analysis were posted.</w:t>
            </w:r>
          </w:p>
          <w:p w:rsidR="00226E82" w:rsidRDefault="00062AF2" w:rsidP="00383223">
            <w:pPr>
              <w:pStyle w:val="NormalArial"/>
              <w:numPr>
                <w:ilvl w:val="0"/>
                <w:numId w:val="17"/>
              </w:numPr>
              <w:tabs>
                <w:tab w:val="clear" w:pos="720"/>
                <w:tab w:val="num" w:pos="432"/>
              </w:tabs>
              <w:ind w:left="432"/>
            </w:pPr>
            <w:r>
              <w:t>On 5/19/11, PRS considered NPRR358</w:t>
            </w:r>
          </w:p>
        </w:tc>
      </w:tr>
      <w:tr w:rsidR="0065442E">
        <w:tblPrEx>
          <w:tblCellMar>
            <w:top w:w="0" w:type="dxa"/>
            <w:bottom w:w="0" w:type="dxa"/>
          </w:tblCellMar>
        </w:tblPrEx>
        <w:trPr>
          <w:trHeight w:val="503"/>
        </w:trPr>
        <w:tc>
          <w:tcPr>
            <w:tcW w:w="2880" w:type="dxa"/>
            <w:gridSpan w:val="2"/>
            <w:shd w:val="clear" w:color="auto" w:fill="FFFFFF"/>
            <w:vAlign w:val="center"/>
          </w:tcPr>
          <w:p w:rsidR="0065442E" w:rsidRDefault="0065442E">
            <w:pPr>
              <w:pStyle w:val="Header"/>
            </w:pPr>
            <w:smartTag w:uri="urn:schemas-microsoft-com:office:smarttags" w:element="place">
              <w:r>
                <w:lastRenderedPageBreak/>
                <w:t>PRS</w:t>
              </w:r>
            </w:smartTag>
            <w:r>
              <w:t xml:space="preserve"> </w:t>
            </w:r>
            <w:r w:rsidR="00C75ABB">
              <w:t>Decision</w:t>
            </w:r>
            <w:r>
              <w:t xml:space="preserve"> </w:t>
            </w:r>
          </w:p>
        </w:tc>
        <w:tc>
          <w:tcPr>
            <w:tcW w:w="7560" w:type="dxa"/>
            <w:gridSpan w:val="3"/>
            <w:vAlign w:val="center"/>
          </w:tcPr>
          <w:p w:rsidR="0065442E" w:rsidRDefault="00062AF2" w:rsidP="000276B1">
            <w:pPr>
              <w:pStyle w:val="NormalArial"/>
            </w:pPr>
            <w:r>
              <w:t xml:space="preserve">On 5/19/11, </w:t>
            </w:r>
            <w:r w:rsidR="000276B1" w:rsidRPr="000276B1">
              <w:t>PRS unanimously voted to table NPRR3</w:t>
            </w:r>
            <w:r w:rsidR="000276B1">
              <w:t>58</w:t>
            </w:r>
            <w:r w:rsidR="000276B1" w:rsidRPr="000276B1">
              <w:t xml:space="preserve"> for one month.  All Market Segments were present for the votes.</w:t>
            </w:r>
          </w:p>
        </w:tc>
      </w:tr>
      <w:tr w:rsidR="006C3F70">
        <w:tblPrEx>
          <w:tblCellMar>
            <w:top w:w="0" w:type="dxa"/>
            <w:bottom w:w="0" w:type="dxa"/>
          </w:tblCellMar>
        </w:tblPrEx>
        <w:trPr>
          <w:trHeight w:val="557"/>
        </w:trPr>
        <w:tc>
          <w:tcPr>
            <w:tcW w:w="2880" w:type="dxa"/>
            <w:gridSpan w:val="2"/>
            <w:shd w:val="clear" w:color="auto" w:fill="FFFFFF"/>
            <w:vAlign w:val="center"/>
          </w:tcPr>
          <w:p w:rsidR="006C3F70" w:rsidRDefault="00226E82">
            <w:pPr>
              <w:pStyle w:val="Header"/>
            </w:pPr>
            <w:r>
              <w:t xml:space="preserve">Summary of </w:t>
            </w:r>
            <w:smartTag w:uri="urn:schemas-microsoft-com:office:smarttags" w:element="place">
              <w:r>
                <w:t>PRS</w:t>
              </w:r>
            </w:smartTag>
            <w:r>
              <w:t xml:space="preserve"> </w:t>
            </w:r>
            <w:r w:rsidR="0072080C">
              <w:t>D</w:t>
            </w:r>
            <w:r>
              <w:t>iscussion</w:t>
            </w:r>
          </w:p>
        </w:tc>
        <w:tc>
          <w:tcPr>
            <w:tcW w:w="7560" w:type="dxa"/>
            <w:gridSpan w:val="3"/>
            <w:vAlign w:val="center"/>
          </w:tcPr>
          <w:p w:rsidR="006C3F70" w:rsidRDefault="00062AF2" w:rsidP="002D5F2A">
            <w:pPr>
              <w:pStyle w:val="NormalArial"/>
            </w:pPr>
            <w:r>
              <w:t xml:space="preserve">On 5/19/11, </w:t>
            </w:r>
            <w:r w:rsidR="002D5F2A">
              <w:t>it was noted that NPRR358 may have North American Electric Reliability Corporation (NERC) ramifications</w:t>
            </w:r>
            <w:r w:rsidR="000276B1">
              <w:t>.</w:t>
            </w:r>
          </w:p>
        </w:tc>
      </w:tr>
    </w:tbl>
    <w:p w:rsidR="00204D5F" w:rsidRDefault="00204D5F"/>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BF6F01" w:rsidTr="00E65587">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BF6F01" w:rsidRDefault="00BF6F01">
            <w:pPr>
              <w:pStyle w:val="Header"/>
              <w:jc w:val="center"/>
            </w:pPr>
            <w:r>
              <w:br w:type="page"/>
              <w:t>Quantitative Impacts and Benefits</w:t>
            </w:r>
          </w:p>
        </w:tc>
      </w:tr>
      <w:tr w:rsidR="00BF6F01" w:rsidRPr="00AC6C3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BF6F01" w:rsidRPr="00E41BCF" w:rsidRDefault="00BF6F01">
            <w:pPr>
              <w:pStyle w:val="Header"/>
            </w:pPr>
            <w:r w:rsidRPr="00E41BCF">
              <w:t>Assumptions</w:t>
            </w:r>
          </w:p>
        </w:tc>
        <w:tc>
          <w:tcPr>
            <w:tcW w:w="360" w:type="dxa"/>
            <w:tcBorders>
              <w:top w:val="single" w:sz="12" w:space="0" w:color="auto"/>
              <w:bottom w:val="single" w:sz="8" w:space="0" w:color="auto"/>
            </w:tcBorders>
            <w:vAlign w:val="center"/>
          </w:tcPr>
          <w:p w:rsidR="00BF6F01" w:rsidRPr="00BD6AA7" w:rsidRDefault="00BF6F01">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BF6F01" w:rsidRPr="00AC6C37" w:rsidRDefault="00BF6F01">
            <w:pPr>
              <w:pStyle w:val="Header"/>
              <w:rPr>
                <w:b w:val="0"/>
                <w:i/>
                <w:sz w:val="20"/>
                <w:szCs w:val="20"/>
              </w:rPr>
            </w:pPr>
          </w:p>
        </w:tc>
      </w:tr>
      <w:tr w:rsidR="00BF6F01" w:rsidRPr="00AC6C3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41BCF" w:rsidRDefault="00BF6F01">
            <w:pPr>
              <w:pStyle w:val="Header"/>
            </w:pPr>
          </w:p>
        </w:tc>
        <w:tc>
          <w:tcPr>
            <w:tcW w:w="360" w:type="dxa"/>
            <w:tcBorders>
              <w:top w:val="single" w:sz="8" w:space="0" w:color="auto"/>
            </w:tcBorders>
            <w:vAlign w:val="center"/>
          </w:tcPr>
          <w:p w:rsidR="00BF6F01" w:rsidRPr="00864358" w:rsidRDefault="00BF6F01">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BF6F01" w:rsidRPr="00AC6C37" w:rsidRDefault="00BF6F01">
            <w:pPr>
              <w:pStyle w:val="Header"/>
              <w:rPr>
                <w:b w:val="0"/>
                <w:i/>
                <w:sz w:val="20"/>
                <w:szCs w:val="20"/>
              </w:rPr>
            </w:pPr>
          </w:p>
        </w:tc>
      </w:tr>
      <w:tr w:rsidR="00BF6F01" w:rsidRPr="00AC6C3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41BCF" w:rsidRDefault="00BF6F01">
            <w:pPr>
              <w:pStyle w:val="Header"/>
            </w:pPr>
          </w:p>
        </w:tc>
        <w:tc>
          <w:tcPr>
            <w:tcW w:w="360" w:type="dxa"/>
            <w:vAlign w:val="center"/>
          </w:tcPr>
          <w:p w:rsidR="00BF6F01" w:rsidRPr="00864358" w:rsidRDefault="00BF6F01">
            <w:pPr>
              <w:pStyle w:val="Header"/>
              <w:jc w:val="center"/>
              <w:rPr>
                <w:b w:val="0"/>
                <w:sz w:val="20"/>
                <w:szCs w:val="20"/>
              </w:rPr>
            </w:pPr>
            <w:r w:rsidRPr="00864358">
              <w:rPr>
                <w:b w:val="0"/>
                <w:sz w:val="20"/>
                <w:szCs w:val="20"/>
              </w:rPr>
              <w:t>3</w:t>
            </w:r>
          </w:p>
        </w:tc>
        <w:tc>
          <w:tcPr>
            <w:tcW w:w="8273" w:type="dxa"/>
            <w:gridSpan w:val="2"/>
            <w:vAlign w:val="center"/>
          </w:tcPr>
          <w:p w:rsidR="00BF6F01" w:rsidRPr="00AC6C37" w:rsidRDefault="00BF6F01">
            <w:pPr>
              <w:pStyle w:val="Header"/>
              <w:rPr>
                <w:b w:val="0"/>
                <w:i/>
                <w:sz w:val="20"/>
                <w:szCs w:val="20"/>
              </w:rPr>
            </w:pPr>
          </w:p>
        </w:tc>
      </w:tr>
      <w:tr w:rsidR="00BF6F01" w:rsidRPr="00AC6C3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F6F01" w:rsidRPr="00E41BCF" w:rsidRDefault="00BF6F01">
            <w:pPr>
              <w:pStyle w:val="Header"/>
            </w:pPr>
          </w:p>
        </w:tc>
        <w:tc>
          <w:tcPr>
            <w:tcW w:w="360" w:type="dxa"/>
            <w:tcBorders>
              <w:bottom w:val="single" w:sz="12" w:space="0" w:color="auto"/>
            </w:tcBorders>
            <w:vAlign w:val="center"/>
          </w:tcPr>
          <w:p w:rsidR="00BF6F01" w:rsidRPr="00864358" w:rsidRDefault="00BF6F01">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BF6F01" w:rsidRPr="00AC6C37" w:rsidRDefault="00BF6F01">
            <w:pPr>
              <w:pStyle w:val="Header"/>
              <w:rPr>
                <w:b w:val="0"/>
                <w:i/>
                <w:sz w:val="20"/>
                <w:szCs w:val="20"/>
              </w:rPr>
            </w:pPr>
          </w:p>
        </w:tc>
      </w:tr>
      <w:tr w:rsidR="00BF6F01" w:rsidRPr="000C3592"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BF6F01" w:rsidRPr="00E41BCF" w:rsidRDefault="00BF6F01">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BF6F01" w:rsidRDefault="00BF6F01">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BF6F01" w:rsidRPr="000C3592" w:rsidRDefault="00BF6F01">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BF6F01" w:rsidRPr="000C3592" w:rsidRDefault="00BF6F01">
            <w:pPr>
              <w:pStyle w:val="NormalArial"/>
              <w:jc w:val="center"/>
              <w:rPr>
                <w:b/>
                <w:sz w:val="20"/>
              </w:rPr>
            </w:pPr>
            <w:r>
              <w:rPr>
                <w:b/>
                <w:sz w:val="20"/>
              </w:rPr>
              <w:t>Monetary Impact</w:t>
            </w: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F6F01" w:rsidRPr="00E41BCF" w:rsidRDefault="00BF6F01">
            <w:pPr>
              <w:pStyle w:val="Header"/>
              <w:jc w:val="cent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BF6F01" w:rsidRPr="00C90F7E" w:rsidRDefault="002D5F2A">
            <w:pPr>
              <w:pStyle w:val="NormalArial"/>
              <w:rPr>
                <w:i/>
                <w:sz w:val="20"/>
              </w:rPr>
            </w:pPr>
            <w:r>
              <w:rPr>
                <w:i/>
                <w:sz w:val="20"/>
              </w:rPr>
              <w:t>None.</w:t>
            </w:r>
          </w:p>
        </w:tc>
        <w:tc>
          <w:tcPr>
            <w:tcW w:w="4673" w:type="dxa"/>
            <w:tcBorders>
              <w:top w:val="single" w:sz="8" w:space="0" w:color="auto"/>
              <w:bottom w:val="single" w:sz="8" w:space="0" w:color="auto"/>
            </w:tcBorders>
            <w:vAlign w:val="center"/>
          </w:tcPr>
          <w:p w:rsidR="00BF6F01" w:rsidRPr="00C90F7E" w:rsidRDefault="00BF6F01">
            <w:pPr>
              <w:pStyle w:val="NormalArial"/>
              <w:rPr>
                <w:i/>
                <w:sz w:val="20"/>
              </w:rPr>
            </w:pP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41BCF" w:rsidRDefault="00BF6F01">
            <w:pPr>
              <w:pStyle w:val="Header"/>
              <w:jc w:val="center"/>
            </w:pPr>
          </w:p>
        </w:tc>
        <w:tc>
          <w:tcPr>
            <w:tcW w:w="360" w:type="dxa"/>
            <w:tcBorders>
              <w:top w:val="single" w:sz="8" w:space="0" w:color="auto"/>
              <w:bottom w:val="single" w:sz="8" w:space="0" w:color="auto"/>
            </w:tcBorders>
            <w:shd w:val="clear" w:color="auto" w:fill="auto"/>
            <w:vAlign w:val="center"/>
          </w:tcPr>
          <w:p w:rsidR="00BF6F01" w:rsidRDefault="00BF6F01">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BF6F01" w:rsidRPr="00C90F7E" w:rsidRDefault="00BF6F01">
            <w:pPr>
              <w:pStyle w:val="NormalArial"/>
              <w:rPr>
                <w:i/>
                <w:sz w:val="20"/>
              </w:rPr>
            </w:pPr>
          </w:p>
        </w:tc>
        <w:tc>
          <w:tcPr>
            <w:tcW w:w="4673" w:type="dxa"/>
            <w:tcBorders>
              <w:top w:val="single" w:sz="8" w:space="0" w:color="auto"/>
              <w:bottom w:val="single" w:sz="8" w:space="0" w:color="auto"/>
            </w:tcBorders>
            <w:shd w:val="clear" w:color="auto" w:fill="auto"/>
            <w:vAlign w:val="center"/>
          </w:tcPr>
          <w:p w:rsidR="00BF6F01" w:rsidRPr="00C90F7E" w:rsidRDefault="00BF6F01">
            <w:pPr>
              <w:pStyle w:val="NormalArial"/>
              <w:rPr>
                <w:i/>
                <w:sz w:val="20"/>
              </w:rPr>
            </w:pP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41BCF" w:rsidRDefault="00BF6F01">
            <w:pPr>
              <w:pStyle w:val="Header"/>
              <w:jc w:val="cent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BF6F01" w:rsidRPr="00C90F7E" w:rsidRDefault="00BF6F01">
            <w:pPr>
              <w:pStyle w:val="NormalArial"/>
              <w:rPr>
                <w:i/>
                <w:sz w:val="20"/>
              </w:rPr>
            </w:pPr>
          </w:p>
        </w:tc>
        <w:tc>
          <w:tcPr>
            <w:tcW w:w="4673" w:type="dxa"/>
            <w:tcBorders>
              <w:top w:val="single" w:sz="8" w:space="0" w:color="auto"/>
              <w:bottom w:val="single" w:sz="8" w:space="0" w:color="auto"/>
            </w:tcBorders>
            <w:vAlign w:val="center"/>
          </w:tcPr>
          <w:p w:rsidR="00BF6F01" w:rsidRPr="00C90F7E" w:rsidRDefault="00BF6F01">
            <w:pPr>
              <w:pStyle w:val="NormalArial"/>
              <w:rPr>
                <w:i/>
                <w:sz w:val="20"/>
              </w:rPr>
            </w:pP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F6F01" w:rsidRPr="00E41BCF" w:rsidRDefault="00BF6F01">
            <w:pPr>
              <w:pStyle w:val="Header"/>
              <w:jc w:val="center"/>
            </w:pPr>
          </w:p>
        </w:tc>
        <w:tc>
          <w:tcPr>
            <w:tcW w:w="360" w:type="dxa"/>
            <w:tcBorders>
              <w:top w:val="single" w:sz="8" w:space="0" w:color="auto"/>
              <w:bottom w:val="single" w:sz="12" w:space="0" w:color="auto"/>
            </w:tcBorders>
            <w:vAlign w:val="center"/>
          </w:tcPr>
          <w:p w:rsidR="00BF6F01" w:rsidRDefault="00BF6F01">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BF6F01" w:rsidRPr="00C90F7E" w:rsidRDefault="00BF6F01">
            <w:pPr>
              <w:pStyle w:val="NormalArial"/>
              <w:rPr>
                <w:i/>
                <w:sz w:val="20"/>
              </w:rPr>
            </w:pPr>
          </w:p>
        </w:tc>
        <w:tc>
          <w:tcPr>
            <w:tcW w:w="4673" w:type="dxa"/>
            <w:tcBorders>
              <w:top w:val="single" w:sz="8" w:space="0" w:color="auto"/>
              <w:bottom w:val="single" w:sz="12" w:space="0" w:color="auto"/>
            </w:tcBorders>
            <w:vAlign w:val="center"/>
          </w:tcPr>
          <w:p w:rsidR="00BF6F01" w:rsidRPr="00C90F7E" w:rsidRDefault="00BF6F01">
            <w:pPr>
              <w:pStyle w:val="NormalArial"/>
              <w:rPr>
                <w:i/>
                <w:sz w:val="20"/>
              </w:rPr>
            </w:pPr>
          </w:p>
        </w:tc>
      </w:tr>
      <w:tr w:rsidR="00BF6F01" w:rsidRPr="000C3592"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BF6F01" w:rsidRPr="00E41BCF" w:rsidRDefault="00BF6F01">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BF6F01" w:rsidRDefault="00BF6F01">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BF6F01" w:rsidRPr="000C3592" w:rsidRDefault="00BF6F01">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BF6F01" w:rsidRPr="000C3592" w:rsidRDefault="00BF6F01">
            <w:pPr>
              <w:pStyle w:val="NormalArial"/>
              <w:jc w:val="center"/>
              <w:rPr>
                <w:b/>
                <w:sz w:val="20"/>
              </w:rPr>
            </w:pPr>
            <w:r>
              <w:rPr>
                <w:b/>
                <w:sz w:val="20"/>
              </w:rPr>
              <w:t>Monetary Impact</w:t>
            </w: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F6F01" w:rsidRPr="00E41BCF" w:rsidRDefault="00BF6F01">
            <w:pPr>
              <w:pStyle w:val="Header"/>
              <w:jc w:val="cent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BF6F01" w:rsidRPr="00C90F7E" w:rsidRDefault="000276B1">
            <w:pPr>
              <w:pStyle w:val="NormalArial"/>
              <w:rPr>
                <w:i/>
                <w:sz w:val="20"/>
              </w:rPr>
            </w:pPr>
            <w:r w:rsidRPr="000276B1">
              <w:rPr>
                <w:i/>
                <w:sz w:val="20"/>
              </w:rPr>
              <w:t>Clarification of binding obligations.</w:t>
            </w:r>
          </w:p>
        </w:tc>
        <w:tc>
          <w:tcPr>
            <w:tcW w:w="4673" w:type="dxa"/>
            <w:tcBorders>
              <w:top w:val="single" w:sz="8" w:space="0" w:color="auto"/>
              <w:bottom w:val="single" w:sz="8" w:space="0" w:color="auto"/>
            </w:tcBorders>
            <w:vAlign w:val="center"/>
          </w:tcPr>
          <w:p w:rsidR="00BF6F01" w:rsidRPr="00C90F7E" w:rsidRDefault="002D5F2A">
            <w:pPr>
              <w:pStyle w:val="NormalArial"/>
              <w:rPr>
                <w:i/>
                <w:sz w:val="20"/>
              </w:rPr>
            </w:pPr>
            <w:r>
              <w:rPr>
                <w:i/>
                <w:sz w:val="20"/>
              </w:rPr>
              <w:t>Unknown.</w:t>
            </w: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41BCF" w:rsidRDefault="00BF6F01">
            <w:pPr>
              <w:pStyle w:val="Header"/>
              <w:jc w:val="cent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BF6F01" w:rsidRPr="00C90F7E" w:rsidRDefault="00BF6F01">
            <w:pPr>
              <w:pStyle w:val="NormalArial"/>
              <w:rPr>
                <w:i/>
                <w:sz w:val="20"/>
              </w:rPr>
            </w:pPr>
          </w:p>
        </w:tc>
        <w:tc>
          <w:tcPr>
            <w:tcW w:w="4673" w:type="dxa"/>
            <w:tcBorders>
              <w:top w:val="single" w:sz="8" w:space="0" w:color="auto"/>
              <w:bottom w:val="single" w:sz="8" w:space="0" w:color="auto"/>
            </w:tcBorders>
            <w:vAlign w:val="center"/>
          </w:tcPr>
          <w:p w:rsidR="00BF6F01" w:rsidRPr="00C90F7E" w:rsidRDefault="00BF6F01">
            <w:pPr>
              <w:pStyle w:val="NormalArial"/>
              <w:rPr>
                <w:i/>
                <w:sz w:val="20"/>
              </w:rPr>
            </w:pP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41BCF" w:rsidRDefault="00BF6F01">
            <w:pPr>
              <w:pStyle w:val="Header"/>
              <w:jc w:val="cent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BF6F01" w:rsidRPr="00C90F7E" w:rsidRDefault="00BF6F01">
            <w:pPr>
              <w:pStyle w:val="NormalArial"/>
              <w:rPr>
                <w:i/>
                <w:sz w:val="20"/>
              </w:rPr>
            </w:pPr>
          </w:p>
        </w:tc>
        <w:tc>
          <w:tcPr>
            <w:tcW w:w="4673" w:type="dxa"/>
            <w:tcBorders>
              <w:top w:val="single" w:sz="8" w:space="0" w:color="auto"/>
              <w:bottom w:val="single" w:sz="8" w:space="0" w:color="auto"/>
            </w:tcBorders>
            <w:vAlign w:val="center"/>
          </w:tcPr>
          <w:p w:rsidR="00BF6F01" w:rsidRPr="00C90F7E" w:rsidRDefault="00BF6F01">
            <w:pPr>
              <w:pStyle w:val="NormalArial"/>
              <w:rPr>
                <w:i/>
                <w:sz w:val="20"/>
              </w:rPr>
            </w:pPr>
          </w:p>
        </w:tc>
      </w:tr>
      <w:tr w:rsidR="00BF6F01" w:rsidRPr="00C90F7E"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F6F01" w:rsidRPr="00E41BCF" w:rsidRDefault="00BF6F01">
            <w:pPr>
              <w:pStyle w:val="Header"/>
              <w:jc w:val="center"/>
            </w:pPr>
          </w:p>
        </w:tc>
        <w:tc>
          <w:tcPr>
            <w:tcW w:w="360" w:type="dxa"/>
            <w:tcBorders>
              <w:top w:val="single" w:sz="8" w:space="0" w:color="auto"/>
              <w:bottom w:val="single" w:sz="12" w:space="0" w:color="auto"/>
            </w:tcBorders>
            <w:vAlign w:val="center"/>
          </w:tcPr>
          <w:p w:rsidR="00BF6F01" w:rsidRDefault="00BF6F01">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BF6F01" w:rsidRPr="00C90F7E" w:rsidRDefault="00BF6F01">
            <w:pPr>
              <w:pStyle w:val="NormalArial"/>
              <w:rPr>
                <w:i/>
                <w:sz w:val="20"/>
              </w:rPr>
            </w:pPr>
          </w:p>
        </w:tc>
        <w:tc>
          <w:tcPr>
            <w:tcW w:w="4673" w:type="dxa"/>
            <w:tcBorders>
              <w:top w:val="single" w:sz="8" w:space="0" w:color="auto"/>
              <w:bottom w:val="single" w:sz="12" w:space="0" w:color="auto"/>
            </w:tcBorders>
            <w:vAlign w:val="center"/>
          </w:tcPr>
          <w:p w:rsidR="00BF6F01" w:rsidRPr="00C90F7E" w:rsidRDefault="00BF6F01">
            <w:pPr>
              <w:pStyle w:val="NormalArial"/>
              <w:rPr>
                <w:i/>
                <w:sz w:val="20"/>
              </w:rPr>
            </w:pPr>
          </w:p>
        </w:tc>
      </w:tr>
      <w:tr w:rsidR="00BF6F01" w:rsidRPr="00B40AA6"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BF6F01" w:rsidRPr="00E41BCF" w:rsidRDefault="00BF6F01">
            <w:pPr>
              <w:pStyle w:val="Header"/>
            </w:pPr>
            <w:r w:rsidRPr="00E41BCF">
              <w:t>Additional Qualitative Information</w:t>
            </w:r>
          </w:p>
        </w:tc>
        <w:tc>
          <w:tcPr>
            <w:tcW w:w="360" w:type="dxa"/>
            <w:tcBorders>
              <w:top w:val="single" w:sz="12" w:space="0" w:color="auto"/>
              <w:bottom w:val="single" w:sz="8" w:space="0" w:color="auto"/>
            </w:tcBorders>
            <w:vAlign w:val="center"/>
          </w:tcPr>
          <w:p w:rsidR="00BF6F01" w:rsidRDefault="00BF6F01">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BF6F01" w:rsidRPr="00B40AA6" w:rsidRDefault="00BF6F01">
            <w:pPr>
              <w:pStyle w:val="NormalArial"/>
              <w:rPr>
                <w:i/>
                <w:sz w:val="20"/>
              </w:rPr>
            </w:pPr>
          </w:p>
        </w:tc>
      </w:tr>
      <w:tr w:rsidR="00BF6F01" w:rsidRPr="00B40AA6"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F6F01" w:rsidRPr="00E41BCF" w:rsidRDefault="00BF6F01">
            <w:pPr>
              <w:pStyle w:val="Header"/>
              <w:jc w:val="cent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BF6F01" w:rsidRPr="00B40AA6" w:rsidRDefault="00BF6F01">
            <w:pPr>
              <w:pStyle w:val="NormalArial"/>
              <w:rPr>
                <w:i/>
                <w:sz w:val="20"/>
              </w:rPr>
            </w:pPr>
          </w:p>
        </w:tc>
      </w:tr>
      <w:tr w:rsidR="00BF6F01" w:rsidRPr="00B40AA6"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41BCF" w:rsidRDefault="00BF6F01">
            <w:pPr>
              <w:pStyle w:val="Head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BF6F01" w:rsidRPr="00B40AA6" w:rsidRDefault="00BF6F01">
            <w:pPr>
              <w:pStyle w:val="NormalArial"/>
              <w:rPr>
                <w:i/>
                <w:sz w:val="20"/>
              </w:rPr>
            </w:pPr>
          </w:p>
        </w:tc>
      </w:tr>
      <w:tr w:rsidR="00BF6F01" w:rsidRPr="00B40AA6"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F6F01" w:rsidRPr="00E41BCF" w:rsidRDefault="00BF6F01">
            <w:pPr>
              <w:pStyle w:val="Header"/>
            </w:pPr>
          </w:p>
        </w:tc>
        <w:tc>
          <w:tcPr>
            <w:tcW w:w="360" w:type="dxa"/>
            <w:tcBorders>
              <w:top w:val="single" w:sz="8" w:space="0" w:color="auto"/>
              <w:bottom w:val="single" w:sz="12" w:space="0" w:color="auto"/>
            </w:tcBorders>
            <w:vAlign w:val="center"/>
          </w:tcPr>
          <w:p w:rsidR="00BF6F01" w:rsidRDefault="00BF6F01">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BF6F01" w:rsidRPr="00B40AA6" w:rsidRDefault="00BF6F01">
            <w:pPr>
              <w:pStyle w:val="NormalArial"/>
              <w:rPr>
                <w:i/>
                <w:sz w:val="20"/>
              </w:rPr>
            </w:pPr>
          </w:p>
        </w:tc>
      </w:tr>
      <w:tr w:rsidR="00BF6F01" w:rsidRPr="00E966F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BF6F01" w:rsidRPr="00E41BCF" w:rsidRDefault="00BF6F01">
            <w:pPr>
              <w:pStyle w:val="Header"/>
              <w:jc w:val="center"/>
            </w:pPr>
            <w:r w:rsidRPr="00E41BCF">
              <w:t>Other Comments</w:t>
            </w:r>
          </w:p>
        </w:tc>
        <w:tc>
          <w:tcPr>
            <w:tcW w:w="360" w:type="dxa"/>
            <w:tcBorders>
              <w:top w:val="single" w:sz="12" w:space="0" w:color="auto"/>
              <w:bottom w:val="single" w:sz="8" w:space="0" w:color="auto"/>
            </w:tcBorders>
            <w:vAlign w:val="center"/>
          </w:tcPr>
          <w:p w:rsidR="00BF6F01" w:rsidRDefault="00BF6F01">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BF6F01" w:rsidRPr="00E966F7" w:rsidRDefault="00BF6F01">
            <w:pPr>
              <w:pStyle w:val="NormalArial"/>
              <w:rPr>
                <w:i/>
                <w:sz w:val="20"/>
              </w:rPr>
            </w:pPr>
          </w:p>
        </w:tc>
      </w:tr>
      <w:tr w:rsidR="00BF6F01" w:rsidRPr="00E966F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F6F01" w:rsidRPr="00E966F7" w:rsidRDefault="00BF6F01">
            <w:pPr>
              <w:pStyle w:val="Header"/>
              <w:jc w:val="center"/>
              <w:rPr>
                <w:sz w:val="20"/>
                <w:szCs w:val="20"/>
              </w:rPr>
            </w:pPr>
          </w:p>
        </w:tc>
        <w:tc>
          <w:tcPr>
            <w:tcW w:w="360" w:type="dxa"/>
            <w:tcBorders>
              <w:top w:val="single" w:sz="8" w:space="0" w:color="auto"/>
            </w:tcBorders>
            <w:vAlign w:val="center"/>
          </w:tcPr>
          <w:p w:rsidR="00BF6F01" w:rsidRDefault="00BF6F01">
            <w:pPr>
              <w:pStyle w:val="NormalArial"/>
              <w:jc w:val="center"/>
              <w:rPr>
                <w:sz w:val="20"/>
              </w:rPr>
            </w:pPr>
            <w:r>
              <w:rPr>
                <w:sz w:val="20"/>
              </w:rPr>
              <w:t>2</w:t>
            </w:r>
          </w:p>
        </w:tc>
        <w:tc>
          <w:tcPr>
            <w:tcW w:w="8273" w:type="dxa"/>
            <w:gridSpan w:val="2"/>
            <w:tcBorders>
              <w:top w:val="single" w:sz="8" w:space="0" w:color="auto"/>
            </w:tcBorders>
            <w:vAlign w:val="center"/>
          </w:tcPr>
          <w:p w:rsidR="00BF6F01" w:rsidRPr="00E966F7" w:rsidRDefault="00BF6F01">
            <w:pPr>
              <w:pStyle w:val="NormalArial"/>
              <w:rPr>
                <w:i/>
                <w:sz w:val="20"/>
              </w:rPr>
            </w:pPr>
          </w:p>
        </w:tc>
      </w:tr>
      <w:tr w:rsidR="00BF6F01" w:rsidRPr="00E966F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F6F01" w:rsidRPr="00E966F7" w:rsidRDefault="00BF6F01">
            <w:pPr>
              <w:pStyle w:val="Head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BF6F01" w:rsidRPr="00E966F7" w:rsidRDefault="00BF6F01">
            <w:pPr>
              <w:pStyle w:val="NormalArial"/>
              <w:rPr>
                <w:i/>
                <w:sz w:val="20"/>
              </w:rPr>
            </w:pPr>
          </w:p>
        </w:tc>
      </w:tr>
      <w:tr w:rsidR="00BF6F01" w:rsidRPr="00E966F7" w:rsidTr="00E6558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BF6F01" w:rsidRPr="00E966F7" w:rsidRDefault="00BF6F01">
            <w:pPr>
              <w:pStyle w:val="Header"/>
            </w:pPr>
          </w:p>
        </w:tc>
        <w:tc>
          <w:tcPr>
            <w:tcW w:w="360" w:type="dxa"/>
            <w:tcBorders>
              <w:top w:val="single" w:sz="8" w:space="0" w:color="auto"/>
              <w:bottom w:val="single" w:sz="8" w:space="0" w:color="auto"/>
            </w:tcBorders>
            <w:vAlign w:val="center"/>
          </w:tcPr>
          <w:p w:rsidR="00BF6F01" w:rsidRDefault="00BF6F01">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BF6F01" w:rsidRPr="00E966F7" w:rsidRDefault="00BF6F01">
            <w:pPr>
              <w:pStyle w:val="NormalArial"/>
              <w:rPr>
                <w:i/>
                <w:sz w:val="20"/>
              </w:rPr>
            </w:pPr>
          </w:p>
        </w:tc>
      </w:tr>
    </w:tbl>
    <w:p w:rsidR="00BF6F01" w:rsidRDefault="00BF6F0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BF6F01" w:rsidTr="00E65587">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BF6F01" w:rsidRDefault="00BF6F01">
            <w:pPr>
              <w:pStyle w:val="Header"/>
              <w:jc w:val="center"/>
            </w:pPr>
            <w:r>
              <w:t>Sponsor</w:t>
            </w:r>
          </w:p>
        </w:tc>
      </w:tr>
      <w:tr w:rsidR="00BF6F01" w:rsidTr="00E65587">
        <w:tblPrEx>
          <w:tblCellMar>
            <w:top w:w="0" w:type="dxa"/>
            <w:bottom w:w="0" w:type="dxa"/>
          </w:tblCellMar>
        </w:tblPrEx>
        <w:trPr>
          <w:trHeight w:val="432"/>
        </w:trPr>
        <w:tc>
          <w:tcPr>
            <w:tcW w:w="2880" w:type="dxa"/>
            <w:shd w:val="clear" w:color="auto" w:fill="FFFFFF"/>
            <w:vAlign w:val="center"/>
          </w:tcPr>
          <w:p w:rsidR="00BF6F01" w:rsidRPr="00B93CA0" w:rsidRDefault="00BF6F01">
            <w:pPr>
              <w:pStyle w:val="Header"/>
              <w:rPr>
                <w:bCs w:val="0"/>
              </w:rPr>
            </w:pPr>
            <w:r w:rsidRPr="00B93CA0">
              <w:rPr>
                <w:bCs w:val="0"/>
              </w:rPr>
              <w:t>Name</w:t>
            </w:r>
          </w:p>
        </w:tc>
        <w:tc>
          <w:tcPr>
            <w:tcW w:w="7560" w:type="dxa"/>
            <w:vAlign w:val="center"/>
          </w:tcPr>
          <w:p w:rsidR="00BF6F01" w:rsidRDefault="00BF6F01" w:rsidP="00E65587">
            <w:pPr>
              <w:pStyle w:val="NormalArial"/>
            </w:pPr>
            <w:r>
              <w:t>Patrick Coon</w:t>
            </w:r>
          </w:p>
        </w:tc>
      </w:tr>
      <w:tr w:rsidR="00BF6F01" w:rsidTr="00E65587">
        <w:tblPrEx>
          <w:tblCellMar>
            <w:top w:w="0" w:type="dxa"/>
            <w:bottom w:w="0" w:type="dxa"/>
          </w:tblCellMar>
        </w:tblPrEx>
        <w:trPr>
          <w:trHeight w:val="432"/>
        </w:trPr>
        <w:tc>
          <w:tcPr>
            <w:tcW w:w="2880" w:type="dxa"/>
            <w:shd w:val="clear" w:color="auto" w:fill="FFFFFF"/>
            <w:vAlign w:val="center"/>
          </w:tcPr>
          <w:p w:rsidR="00BF6F01" w:rsidRPr="00B93CA0" w:rsidRDefault="00BF6F01">
            <w:pPr>
              <w:pStyle w:val="Header"/>
              <w:rPr>
                <w:bCs w:val="0"/>
              </w:rPr>
            </w:pPr>
            <w:r w:rsidRPr="00B93CA0">
              <w:rPr>
                <w:bCs w:val="0"/>
              </w:rPr>
              <w:t>E-mail Address</w:t>
            </w:r>
          </w:p>
        </w:tc>
        <w:tc>
          <w:tcPr>
            <w:tcW w:w="7560" w:type="dxa"/>
            <w:vAlign w:val="center"/>
          </w:tcPr>
          <w:p w:rsidR="00BF6F01" w:rsidRDefault="00BF6F01" w:rsidP="00E65587">
            <w:pPr>
              <w:pStyle w:val="NormalArial"/>
            </w:pPr>
            <w:hyperlink r:id="rId7" w:history="1">
              <w:r w:rsidRPr="00021EE3">
                <w:rPr>
                  <w:rStyle w:val="Hyperlink"/>
                </w:rPr>
                <w:t>pcoon@ercot.com</w:t>
              </w:r>
            </w:hyperlink>
          </w:p>
        </w:tc>
      </w:tr>
      <w:tr w:rsidR="00BF6F01" w:rsidTr="00E65587">
        <w:tblPrEx>
          <w:tblCellMar>
            <w:top w:w="0" w:type="dxa"/>
            <w:bottom w:w="0" w:type="dxa"/>
          </w:tblCellMar>
        </w:tblPrEx>
        <w:trPr>
          <w:trHeight w:val="432"/>
        </w:trPr>
        <w:tc>
          <w:tcPr>
            <w:tcW w:w="2880" w:type="dxa"/>
            <w:shd w:val="clear" w:color="auto" w:fill="FFFFFF"/>
            <w:vAlign w:val="center"/>
          </w:tcPr>
          <w:p w:rsidR="00BF6F01" w:rsidRPr="00B93CA0" w:rsidRDefault="00BF6F01">
            <w:pPr>
              <w:pStyle w:val="Header"/>
              <w:rPr>
                <w:bCs w:val="0"/>
              </w:rPr>
            </w:pPr>
            <w:r w:rsidRPr="00B93CA0">
              <w:rPr>
                <w:bCs w:val="0"/>
              </w:rPr>
              <w:t>Company</w:t>
            </w:r>
          </w:p>
        </w:tc>
        <w:tc>
          <w:tcPr>
            <w:tcW w:w="7560" w:type="dxa"/>
            <w:vAlign w:val="center"/>
          </w:tcPr>
          <w:p w:rsidR="00BF6F01" w:rsidRDefault="00BF6F01" w:rsidP="00E65587">
            <w:pPr>
              <w:pStyle w:val="NormalArial"/>
            </w:pPr>
            <w:r>
              <w:t>ERCOT</w:t>
            </w:r>
          </w:p>
        </w:tc>
      </w:tr>
      <w:tr w:rsidR="00BF6F01" w:rsidTr="00E65587">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BF6F01" w:rsidRPr="00B93CA0" w:rsidRDefault="00BF6F01">
            <w:pPr>
              <w:pStyle w:val="Header"/>
              <w:rPr>
                <w:bCs w:val="0"/>
              </w:rPr>
            </w:pPr>
            <w:r w:rsidRPr="00B93CA0">
              <w:rPr>
                <w:bCs w:val="0"/>
              </w:rPr>
              <w:t>Phone Number</w:t>
            </w:r>
          </w:p>
        </w:tc>
        <w:tc>
          <w:tcPr>
            <w:tcW w:w="7560" w:type="dxa"/>
            <w:tcBorders>
              <w:bottom w:val="single" w:sz="4" w:space="0" w:color="auto"/>
            </w:tcBorders>
            <w:vAlign w:val="center"/>
          </w:tcPr>
          <w:p w:rsidR="00BF6F01" w:rsidRDefault="00BF6F01" w:rsidP="00E65587">
            <w:pPr>
              <w:pStyle w:val="NormalArial"/>
            </w:pPr>
            <w:r>
              <w:t>512 248-3911</w:t>
            </w:r>
          </w:p>
        </w:tc>
      </w:tr>
      <w:tr w:rsidR="00BF6F01" w:rsidTr="00E65587">
        <w:tblPrEx>
          <w:tblCellMar>
            <w:top w:w="0" w:type="dxa"/>
            <w:bottom w:w="0" w:type="dxa"/>
          </w:tblCellMar>
        </w:tblPrEx>
        <w:trPr>
          <w:trHeight w:val="432"/>
        </w:trPr>
        <w:tc>
          <w:tcPr>
            <w:tcW w:w="2880" w:type="dxa"/>
            <w:shd w:val="clear" w:color="auto" w:fill="FFFFFF"/>
            <w:vAlign w:val="center"/>
          </w:tcPr>
          <w:p w:rsidR="00BF6F01" w:rsidRPr="00B93CA0" w:rsidRDefault="00BF6F01">
            <w:pPr>
              <w:pStyle w:val="Header"/>
              <w:rPr>
                <w:bCs w:val="0"/>
              </w:rPr>
            </w:pPr>
            <w:r>
              <w:rPr>
                <w:bCs w:val="0"/>
              </w:rPr>
              <w:t>Cell</w:t>
            </w:r>
            <w:r w:rsidRPr="00B93CA0">
              <w:rPr>
                <w:bCs w:val="0"/>
              </w:rPr>
              <w:t xml:space="preserve"> Number</w:t>
            </w:r>
          </w:p>
        </w:tc>
        <w:tc>
          <w:tcPr>
            <w:tcW w:w="7560" w:type="dxa"/>
            <w:vAlign w:val="center"/>
          </w:tcPr>
          <w:p w:rsidR="00BF6F01" w:rsidRDefault="00BF6F01" w:rsidP="00E65587">
            <w:pPr>
              <w:pStyle w:val="NormalArial"/>
            </w:pPr>
          </w:p>
        </w:tc>
      </w:tr>
      <w:tr w:rsidR="00BF6F01" w:rsidTr="00E65587">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BF6F01" w:rsidRPr="00B93CA0" w:rsidRDefault="00BF6F01">
            <w:pPr>
              <w:pStyle w:val="Header"/>
              <w:rPr>
                <w:bCs w:val="0"/>
              </w:rPr>
            </w:pPr>
            <w:r>
              <w:rPr>
                <w:bCs w:val="0"/>
              </w:rPr>
              <w:t>Market Segment</w:t>
            </w:r>
          </w:p>
        </w:tc>
        <w:tc>
          <w:tcPr>
            <w:tcW w:w="7560" w:type="dxa"/>
            <w:tcBorders>
              <w:bottom w:val="single" w:sz="4" w:space="0" w:color="auto"/>
            </w:tcBorders>
            <w:vAlign w:val="center"/>
          </w:tcPr>
          <w:p w:rsidR="00BF6F01" w:rsidRDefault="00BF6F01" w:rsidP="00E65587">
            <w:pPr>
              <w:pStyle w:val="NormalArial"/>
            </w:pPr>
            <w:r>
              <w:t>N/A</w:t>
            </w:r>
          </w:p>
        </w:tc>
      </w:tr>
    </w:tbl>
    <w:p w:rsidR="00BF6F01" w:rsidRPr="00D56D61" w:rsidRDefault="00BF6F0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BF6F01" w:rsidRPr="00D56D61" w:rsidTr="00E65587">
        <w:trPr>
          <w:trHeight w:val="432"/>
        </w:trPr>
        <w:tc>
          <w:tcPr>
            <w:tcW w:w="10440" w:type="dxa"/>
            <w:gridSpan w:val="2"/>
            <w:vAlign w:val="center"/>
          </w:tcPr>
          <w:p w:rsidR="00BF6F01" w:rsidRPr="007C199B" w:rsidRDefault="00BF6F01" w:rsidP="00E65587">
            <w:pPr>
              <w:pStyle w:val="NormalArial"/>
              <w:jc w:val="center"/>
              <w:rPr>
                <w:b/>
              </w:rPr>
            </w:pPr>
            <w:r w:rsidRPr="007C199B">
              <w:rPr>
                <w:b/>
              </w:rPr>
              <w:t>Market Rules Staff Contact</w:t>
            </w:r>
          </w:p>
        </w:tc>
      </w:tr>
      <w:tr w:rsidR="00BF6F01" w:rsidRPr="00D56D61" w:rsidTr="00E65587">
        <w:trPr>
          <w:trHeight w:val="432"/>
        </w:trPr>
        <w:tc>
          <w:tcPr>
            <w:tcW w:w="2880" w:type="dxa"/>
            <w:vAlign w:val="center"/>
          </w:tcPr>
          <w:p w:rsidR="00BF6F01" w:rsidRPr="007C199B" w:rsidRDefault="00BF6F01">
            <w:pPr>
              <w:pStyle w:val="NormalArial"/>
              <w:rPr>
                <w:b/>
              </w:rPr>
            </w:pPr>
            <w:r w:rsidRPr="007C199B">
              <w:rPr>
                <w:b/>
              </w:rPr>
              <w:t>Name</w:t>
            </w:r>
          </w:p>
        </w:tc>
        <w:tc>
          <w:tcPr>
            <w:tcW w:w="7560" w:type="dxa"/>
            <w:vAlign w:val="center"/>
          </w:tcPr>
          <w:p w:rsidR="00BF6F01" w:rsidRPr="00D56D61" w:rsidRDefault="00BF6F01" w:rsidP="00E65587">
            <w:pPr>
              <w:pStyle w:val="NormalArial"/>
            </w:pPr>
            <w:r>
              <w:t>Sandra Tindall</w:t>
            </w:r>
          </w:p>
        </w:tc>
      </w:tr>
      <w:tr w:rsidR="00BF6F01" w:rsidRPr="00D56D61" w:rsidTr="00E65587">
        <w:trPr>
          <w:trHeight w:val="432"/>
        </w:trPr>
        <w:tc>
          <w:tcPr>
            <w:tcW w:w="2880" w:type="dxa"/>
            <w:vAlign w:val="center"/>
          </w:tcPr>
          <w:p w:rsidR="00BF6F01" w:rsidRPr="007C199B" w:rsidRDefault="00BF6F01">
            <w:pPr>
              <w:pStyle w:val="NormalArial"/>
              <w:rPr>
                <w:b/>
              </w:rPr>
            </w:pPr>
            <w:r w:rsidRPr="007C199B">
              <w:rPr>
                <w:b/>
              </w:rPr>
              <w:t>E-Mail Address</w:t>
            </w:r>
          </w:p>
        </w:tc>
        <w:tc>
          <w:tcPr>
            <w:tcW w:w="7560" w:type="dxa"/>
            <w:vAlign w:val="center"/>
          </w:tcPr>
          <w:p w:rsidR="00BF6F01" w:rsidRPr="00D56D61" w:rsidRDefault="00BF6F01" w:rsidP="00E65587">
            <w:pPr>
              <w:pStyle w:val="NormalArial"/>
            </w:pPr>
            <w:hyperlink r:id="rId8" w:history="1">
              <w:r w:rsidRPr="00AE1C88">
                <w:rPr>
                  <w:rStyle w:val="Hyperlink"/>
                </w:rPr>
                <w:t>stindall@ercot.com</w:t>
              </w:r>
            </w:hyperlink>
          </w:p>
        </w:tc>
      </w:tr>
      <w:tr w:rsidR="00BF6F01" w:rsidRPr="005370B5" w:rsidTr="00E65587">
        <w:trPr>
          <w:trHeight w:val="432"/>
        </w:trPr>
        <w:tc>
          <w:tcPr>
            <w:tcW w:w="2880" w:type="dxa"/>
            <w:vAlign w:val="center"/>
          </w:tcPr>
          <w:p w:rsidR="00BF6F01" w:rsidRPr="007C199B" w:rsidRDefault="00BF6F01">
            <w:pPr>
              <w:pStyle w:val="NormalArial"/>
              <w:rPr>
                <w:b/>
              </w:rPr>
            </w:pPr>
            <w:r w:rsidRPr="007C199B">
              <w:rPr>
                <w:b/>
              </w:rPr>
              <w:t>Phone Number</w:t>
            </w:r>
          </w:p>
        </w:tc>
        <w:tc>
          <w:tcPr>
            <w:tcW w:w="7560" w:type="dxa"/>
            <w:vAlign w:val="center"/>
          </w:tcPr>
          <w:p w:rsidR="00BF6F01" w:rsidRDefault="00BF6F01" w:rsidP="00E65587">
            <w:pPr>
              <w:pStyle w:val="NormalArial"/>
            </w:pPr>
            <w:r>
              <w:t>512-248-3867</w:t>
            </w:r>
          </w:p>
        </w:tc>
      </w:tr>
    </w:tbl>
    <w:tbl>
      <w:tblPr>
        <w:tblpPr w:leftFromText="180" w:rightFromText="180" w:vertAnchor="text" w:horzAnchor="page" w:tblpX="913" w:tblpY="180"/>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BF6F01" w:rsidTr="00BF6F01">
        <w:tblPrEx>
          <w:tblCellMar>
            <w:top w:w="0" w:type="dxa"/>
            <w:bottom w:w="0" w:type="dxa"/>
          </w:tblCellMar>
        </w:tblPrEx>
        <w:tc>
          <w:tcPr>
            <w:tcW w:w="10440" w:type="dxa"/>
            <w:gridSpan w:val="2"/>
            <w:shd w:val="clear" w:color="auto" w:fill="FFFFFF"/>
            <w:vAlign w:val="center"/>
          </w:tcPr>
          <w:p w:rsidR="00BF6F01" w:rsidRPr="00895AB9" w:rsidRDefault="00BF6F01" w:rsidP="00BF6F01">
            <w:pPr>
              <w:pStyle w:val="NormalArial"/>
              <w:jc w:val="center"/>
              <w:rPr>
                <w:b/>
              </w:rPr>
            </w:pPr>
            <w:r w:rsidRPr="00895AB9">
              <w:rPr>
                <w:b/>
              </w:rPr>
              <w:lastRenderedPageBreak/>
              <w:t xml:space="preserve">Comments </w:t>
            </w:r>
            <w:r>
              <w:rPr>
                <w:b/>
              </w:rPr>
              <w:t>Received</w:t>
            </w:r>
          </w:p>
        </w:tc>
      </w:tr>
      <w:tr w:rsidR="00BF6F01" w:rsidTr="00BF6F01">
        <w:tblPrEx>
          <w:tblCellMar>
            <w:top w:w="0" w:type="dxa"/>
            <w:bottom w:w="0" w:type="dxa"/>
          </w:tblCellMar>
        </w:tblPrEx>
        <w:tc>
          <w:tcPr>
            <w:tcW w:w="2880" w:type="dxa"/>
            <w:shd w:val="clear" w:color="auto" w:fill="FFFFFF"/>
            <w:vAlign w:val="center"/>
          </w:tcPr>
          <w:p w:rsidR="00BF6F01" w:rsidRPr="00895AB9" w:rsidRDefault="00BF6F01" w:rsidP="00BF6F01">
            <w:pPr>
              <w:pStyle w:val="Header"/>
              <w:rPr>
                <w:bCs w:val="0"/>
              </w:rPr>
            </w:pPr>
            <w:r w:rsidRPr="00895AB9">
              <w:rPr>
                <w:bCs w:val="0"/>
              </w:rPr>
              <w:t>Comment Author</w:t>
            </w:r>
          </w:p>
        </w:tc>
        <w:tc>
          <w:tcPr>
            <w:tcW w:w="7560" w:type="dxa"/>
            <w:vAlign w:val="center"/>
          </w:tcPr>
          <w:p w:rsidR="00BF6F01" w:rsidRPr="00895AB9" w:rsidRDefault="00BF6F01" w:rsidP="00BF6F01">
            <w:pPr>
              <w:pStyle w:val="NormalArial"/>
              <w:rPr>
                <w:b/>
              </w:rPr>
            </w:pPr>
            <w:r w:rsidRPr="00895AB9">
              <w:rPr>
                <w:b/>
              </w:rPr>
              <w:t xml:space="preserve">Comment </w:t>
            </w:r>
            <w:r>
              <w:rPr>
                <w:b/>
              </w:rPr>
              <w:t>Summary</w:t>
            </w:r>
          </w:p>
        </w:tc>
      </w:tr>
      <w:tr w:rsidR="00BF6F01" w:rsidTr="00BF6F01">
        <w:tblPrEx>
          <w:tblCellMar>
            <w:top w:w="0" w:type="dxa"/>
            <w:bottom w:w="0" w:type="dxa"/>
          </w:tblCellMar>
        </w:tblPrEx>
        <w:tc>
          <w:tcPr>
            <w:tcW w:w="2880" w:type="dxa"/>
            <w:shd w:val="clear" w:color="auto" w:fill="FFFFFF"/>
            <w:vAlign w:val="center"/>
          </w:tcPr>
          <w:p w:rsidR="00BF6F01" w:rsidRPr="00502A1F" w:rsidRDefault="00BF6F01" w:rsidP="00BF6F01">
            <w:pPr>
              <w:pStyle w:val="Header"/>
              <w:rPr>
                <w:b w:val="0"/>
                <w:bCs w:val="0"/>
              </w:rPr>
            </w:pPr>
            <w:r>
              <w:rPr>
                <w:b w:val="0"/>
                <w:bCs w:val="0"/>
              </w:rPr>
              <w:t>None.</w:t>
            </w:r>
          </w:p>
        </w:tc>
        <w:tc>
          <w:tcPr>
            <w:tcW w:w="7560" w:type="dxa"/>
            <w:vAlign w:val="center"/>
          </w:tcPr>
          <w:p w:rsidR="00BF6F01" w:rsidRDefault="00BF6F01" w:rsidP="00BF6F01">
            <w:pPr>
              <w:pStyle w:val="NormalArial"/>
            </w:pPr>
          </w:p>
        </w:tc>
      </w:tr>
    </w:tbl>
    <w:p w:rsidR="00BF6F01" w:rsidRDefault="00BF6F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BF6F01" w:rsidRPr="003D7CEF" w:rsidTr="00E65587">
        <w:trPr>
          <w:trHeight w:val="350"/>
        </w:trPr>
        <w:tc>
          <w:tcPr>
            <w:tcW w:w="10440" w:type="dxa"/>
            <w:tcBorders>
              <w:bottom w:val="single" w:sz="4" w:space="0" w:color="auto"/>
            </w:tcBorders>
            <w:shd w:val="clear" w:color="auto" w:fill="FFFFFF"/>
            <w:vAlign w:val="center"/>
          </w:tcPr>
          <w:p w:rsidR="00BF6F01" w:rsidRPr="003D7CEF" w:rsidRDefault="00BF6F01" w:rsidP="00E65587">
            <w:pPr>
              <w:tabs>
                <w:tab w:val="num" w:pos="0"/>
              </w:tabs>
              <w:jc w:val="center"/>
              <w:rPr>
                <w:rFonts w:ascii="Arial" w:hAnsi="Arial" w:cs="Arial"/>
                <w:b/>
                <w:bCs/>
              </w:rPr>
            </w:pPr>
            <w:r w:rsidRPr="003D7CEF">
              <w:rPr>
                <w:rFonts w:ascii="Arial" w:hAnsi="Arial" w:cs="Arial"/>
                <w:b/>
                <w:bCs/>
              </w:rPr>
              <w:br w:type="page"/>
              <w:t>Comments</w:t>
            </w:r>
          </w:p>
        </w:tc>
      </w:tr>
    </w:tbl>
    <w:p w:rsidR="00BF6F01" w:rsidRPr="003D7CEF" w:rsidRDefault="00BF6F01" w:rsidP="00E65587">
      <w:pPr>
        <w:tabs>
          <w:tab w:val="num" w:pos="0"/>
        </w:tabs>
        <w:rPr>
          <w:rFonts w:ascii="Arial" w:hAnsi="Arial" w:cs="Arial"/>
        </w:rPr>
      </w:pPr>
    </w:p>
    <w:p w:rsidR="00BF6F01" w:rsidRPr="003D7CEF" w:rsidRDefault="00BF6F01" w:rsidP="00E65587">
      <w:pPr>
        <w:tabs>
          <w:tab w:val="num" w:pos="0"/>
        </w:tabs>
        <w:rPr>
          <w:rFonts w:ascii="Arial" w:hAnsi="Arial" w:cs="Arial"/>
        </w:rPr>
      </w:pPr>
      <w:r w:rsidRPr="003D7CEF">
        <w:rPr>
          <w:rFonts w:ascii="Arial" w:hAnsi="Arial" w:cs="Arial"/>
        </w:rPr>
        <w:t>Please note that NPRR3</w:t>
      </w:r>
      <w:r>
        <w:rPr>
          <w:rFonts w:ascii="Arial" w:hAnsi="Arial" w:cs="Arial"/>
        </w:rPr>
        <w:t>44</w:t>
      </w:r>
      <w:r w:rsidRPr="003D7CEF">
        <w:rPr>
          <w:rFonts w:ascii="Arial" w:hAnsi="Arial" w:cs="Arial"/>
        </w:rPr>
        <w:t xml:space="preserve">, </w:t>
      </w:r>
      <w:r w:rsidRPr="003D7CEF">
        <w:rPr>
          <w:rFonts w:ascii="Arial" w:hAnsi="Arial" w:cs="Arial"/>
          <w:bCs/>
        </w:rPr>
        <w:t>Define RMR Fuel Adder</w:t>
      </w:r>
      <w:r w:rsidRPr="003D7CEF">
        <w:rPr>
          <w:rFonts w:ascii="Arial" w:hAnsi="Arial" w:cs="Arial"/>
        </w:rPr>
        <w:t>, also proposes revisions to Section 3.14.1.16.</w:t>
      </w:r>
    </w:p>
    <w:p w:rsidR="00BF6F01" w:rsidRPr="00D56D61" w:rsidRDefault="00BF6F0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BF6F01">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BF6F01" w:rsidRDefault="00BF6F01">
            <w:pPr>
              <w:pStyle w:val="Header"/>
              <w:jc w:val="center"/>
            </w:pPr>
            <w:r>
              <w:t>Proposed Protocol Language Revision</w:t>
            </w:r>
          </w:p>
        </w:tc>
      </w:tr>
    </w:tbl>
    <w:p w:rsidR="00BF6F01" w:rsidRPr="009759A6" w:rsidRDefault="00BF6F01" w:rsidP="00E65587">
      <w:pPr>
        <w:keepNext/>
        <w:tabs>
          <w:tab w:val="left" w:pos="720"/>
        </w:tabs>
        <w:spacing w:before="240" w:after="240"/>
        <w:outlineLvl w:val="1"/>
        <w:rPr>
          <w:b/>
          <w:szCs w:val="20"/>
        </w:rPr>
      </w:pPr>
      <w:bookmarkStart w:id="0" w:name="_Toc73847662"/>
      <w:bookmarkStart w:id="1" w:name="_Toc118224377"/>
      <w:bookmarkStart w:id="2" w:name="_Toc118909445"/>
      <w:bookmarkStart w:id="3" w:name="_Toc205190238"/>
      <w:r>
        <w:rPr>
          <w:b/>
          <w:szCs w:val="20"/>
        </w:rPr>
        <w:t>2.1</w:t>
      </w:r>
      <w:r>
        <w:rPr>
          <w:b/>
          <w:szCs w:val="20"/>
        </w:rPr>
        <w:tab/>
      </w:r>
      <w:r w:rsidRPr="009759A6">
        <w:rPr>
          <w:b/>
          <w:szCs w:val="20"/>
        </w:rPr>
        <w:t>DEFINITIONS</w:t>
      </w:r>
      <w:bookmarkEnd w:id="0"/>
      <w:bookmarkEnd w:id="1"/>
      <w:bookmarkEnd w:id="2"/>
      <w:bookmarkEnd w:id="3"/>
    </w:p>
    <w:p w:rsidR="00BF6F01" w:rsidRDefault="00BF6F01" w:rsidP="00E65587">
      <w:pPr>
        <w:pStyle w:val="H2"/>
      </w:pPr>
      <w:r w:rsidRPr="007019FC">
        <w:t>Generation Entity</w:t>
      </w:r>
    </w:p>
    <w:p w:rsidR="00BF6F01" w:rsidRPr="009759A6" w:rsidRDefault="00BF6F01" w:rsidP="00E65587">
      <w:pPr>
        <w:pStyle w:val="BodyText"/>
        <w:rPr>
          <w:iCs/>
          <w:szCs w:val="20"/>
        </w:rPr>
      </w:pPr>
      <w:r w:rsidRPr="009759A6">
        <w:rPr>
          <w:iCs/>
          <w:szCs w:val="20"/>
        </w:rPr>
        <w:t>The owner of an All-Inclusive Generation Resource</w:t>
      </w:r>
      <w:ins w:id="4" w:author="ERCOT" w:date="2011-05-03T14:27:00Z">
        <w:r>
          <w:rPr>
            <w:iCs/>
            <w:szCs w:val="20"/>
          </w:rPr>
          <w:t xml:space="preserve"> and, unless otherwise specified in protocol, is registered as a Resource Entity</w:t>
        </w:r>
      </w:ins>
      <w:r w:rsidRPr="009759A6">
        <w:rPr>
          <w:iCs/>
          <w:szCs w:val="20"/>
        </w:rPr>
        <w:t xml:space="preserve">. </w:t>
      </w:r>
    </w:p>
    <w:p w:rsidR="00BF6F01" w:rsidRPr="001A1B64" w:rsidRDefault="00BF6F01" w:rsidP="00E65587">
      <w:pPr>
        <w:keepNext/>
        <w:widowControl w:val="0"/>
        <w:tabs>
          <w:tab w:val="left" w:pos="1260"/>
        </w:tabs>
        <w:spacing w:before="240" w:after="240"/>
        <w:ind w:left="1260" w:hanging="1260"/>
        <w:outlineLvl w:val="3"/>
        <w:rPr>
          <w:b/>
          <w:bCs/>
          <w:snapToGrid w:val="0"/>
          <w:szCs w:val="20"/>
        </w:rPr>
      </w:pPr>
      <w:bookmarkStart w:id="5" w:name="_Toc204048593"/>
      <w:bookmarkStart w:id="6" w:name="_Toc283791348"/>
      <w:r w:rsidRPr="001A1B64">
        <w:rPr>
          <w:b/>
          <w:bCs/>
          <w:snapToGrid w:val="0"/>
          <w:szCs w:val="20"/>
        </w:rPr>
        <w:t>3.14.1.9</w:t>
      </w:r>
      <w:r w:rsidRPr="001A1B64">
        <w:rPr>
          <w:b/>
          <w:bCs/>
          <w:snapToGrid w:val="0"/>
          <w:szCs w:val="20"/>
        </w:rPr>
        <w:tab/>
        <w:t>Generation Resource Return to Service Updates</w:t>
      </w:r>
      <w:bookmarkEnd w:id="5"/>
      <w:bookmarkEnd w:id="6"/>
    </w:p>
    <w:p w:rsidR="00BF6F01" w:rsidRPr="001A1B64" w:rsidRDefault="00BF6F01" w:rsidP="00E65587">
      <w:pPr>
        <w:spacing w:after="240"/>
        <w:ind w:left="720" w:hanging="720"/>
        <w:rPr>
          <w:szCs w:val="20"/>
        </w:rPr>
      </w:pPr>
      <w:r w:rsidRPr="001A1B64">
        <w:rPr>
          <w:szCs w:val="20"/>
        </w:rPr>
        <w:t>(1)</w:t>
      </w:r>
      <w:r w:rsidRPr="001A1B64">
        <w:rPr>
          <w:szCs w:val="20"/>
        </w:rPr>
        <w:tab/>
      </w:r>
      <w:r w:rsidRPr="007019FC">
        <w:rPr>
          <w:szCs w:val="20"/>
        </w:rPr>
        <w:t>By April 1</w:t>
      </w:r>
      <w:r w:rsidRPr="007019FC">
        <w:rPr>
          <w:szCs w:val="20"/>
          <w:vertAlign w:val="superscript"/>
        </w:rPr>
        <w:t>st</w:t>
      </w:r>
      <w:r w:rsidRPr="007019FC">
        <w:rPr>
          <w:szCs w:val="20"/>
        </w:rPr>
        <w:t xml:space="preserve"> and October 1</w:t>
      </w:r>
      <w:r w:rsidRPr="007019FC">
        <w:rPr>
          <w:szCs w:val="20"/>
          <w:vertAlign w:val="superscript"/>
        </w:rPr>
        <w:t>st</w:t>
      </w:r>
      <w:r w:rsidRPr="007019FC">
        <w:rPr>
          <w:szCs w:val="20"/>
        </w:rPr>
        <w:t xml:space="preserve"> of each year and when material changes occur, every </w:t>
      </w:r>
      <w:ins w:id="7" w:author="ERCOT" w:date="2011-05-03T14:27:00Z">
        <w:r w:rsidRPr="007019FC">
          <w:rPr>
            <w:szCs w:val="20"/>
          </w:rPr>
          <w:t>Resource</w:t>
        </w:r>
      </w:ins>
      <w:del w:id="8" w:author="ERCOT" w:date="2011-05-03T14:27:00Z">
        <w:r w:rsidRPr="007019FC" w:rsidDel="00D10B91">
          <w:rPr>
            <w:szCs w:val="20"/>
          </w:rPr>
          <w:delText xml:space="preserve">Generation </w:delText>
        </w:r>
      </w:del>
      <w:ins w:id="9" w:author="ERCOT" w:date="2011-05-03T14:27:00Z">
        <w:r w:rsidRPr="007019FC">
          <w:rPr>
            <w:szCs w:val="20"/>
          </w:rPr>
          <w:t xml:space="preserve"> </w:t>
        </w:r>
      </w:ins>
      <w:r w:rsidRPr="007019FC">
        <w:rPr>
          <w:szCs w:val="20"/>
        </w:rPr>
        <w:t xml:space="preserve">Entity that owns or controls a Mothballed Generation Resource or an RMR Unit with an approved exit strategy shall report to ERCOT, on a unit-specific basis, the estimated lead time required for each Resource to be capable of returning to service and, in percentage terms, report probable generation capacity from each Resource that the </w:t>
      </w:r>
      <w:ins w:id="10" w:author="ERCOT" w:date="2011-05-03T14:27:00Z">
        <w:r w:rsidRPr="007019FC">
          <w:rPr>
            <w:szCs w:val="20"/>
          </w:rPr>
          <w:t>Resource</w:t>
        </w:r>
      </w:ins>
      <w:del w:id="11" w:author="ERCOT" w:date="2011-05-03T14:27:00Z">
        <w:r w:rsidRPr="007019FC" w:rsidDel="00D10B91">
          <w:rPr>
            <w:szCs w:val="20"/>
          </w:rPr>
          <w:delText>Generation</w:delText>
        </w:r>
      </w:del>
      <w:r w:rsidRPr="007019FC">
        <w:rPr>
          <w:szCs w:val="20"/>
        </w:rPr>
        <w:t xml:space="preserve"> Entity expects</w:t>
      </w:r>
      <w:r w:rsidRPr="001A1B64">
        <w:rPr>
          <w:szCs w:val="20"/>
        </w:rPr>
        <w:t xml:space="preserve"> to return to service in each Season of each of the next five years.</w:t>
      </w:r>
    </w:p>
    <w:p w:rsidR="00BF6F01" w:rsidRPr="001A1B64" w:rsidRDefault="00BF6F01" w:rsidP="00E65587">
      <w:pPr>
        <w:spacing w:after="240"/>
        <w:ind w:left="720" w:hanging="720"/>
        <w:rPr>
          <w:szCs w:val="20"/>
        </w:rPr>
      </w:pPr>
      <w:r w:rsidRPr="001A1B64">
        <w:rPr>
          <w:szCs w:val="20"/>
        </w:rPr>
        <w:t>(2)</w:t>
      </w:r>
      <w:r w:rsidRPr="001A1B64">
        <w:rPr>
          <w:szCs w:val="20"/>
        </w:rPr>
        <w:tab/>
        <w:t xml:space="preserve">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w:t>
      </w:r>
    </w:p>
    <w:p w:rsidR="00BF6F01" w:rsidRPr="001A1B64" w:rsidRDefault="00BF6F01" w:rsidP="00E65587">
      <w:pPr>
        <w:spacing w:after="240"/>
        <w:ind w:left="720" w:hanging="720"/>
        <w:rPr>
          <w:szCs w:val="20"/>
        </w:rPr>
      </w:pPr>
      <w:r w:rsidRPr="001A1B64">
        <w:rPr>
          <w:szCs w:val="20"/>
        </w:rPr>
        <w:t>(3)</w:t>
      </w:r>
      <w:r w:rsidRPr="001A1B64">
        <w:rPr>
          <w:szCs w:val="20"/>
        </w:rPr>
        <w:tab/>
      </w:r>
      <w:r w:rsidRPr="007019FC">
        <w:rPr>
          <w:szCs w:val="20"/>
        </w:rPr>
        <w:t xml:space="preserve">A </w:t>
      </w:r>
      <w:ins w:id="12" w:author="ERCOT" w:date="2011-05-03T14:27:00Z">
        <w:r w:rsidRPr="007019FC">
          <w:rPr>
            <w:szCs w:val="20"/>
          </w:rPr>
          <w:t>Resource</w:t>
        </w:r>
      </w:ins>
      <w:del w:id="13" w:author="ERCOT" w:date="2011-05-03T14:27:00Z">
        <w:r w:rsidRPr="007019FC" w:rsidDel="00D10B91">
          <w:rPr>
            <w:szCs w:val="20"/>
          </w:rPr>
          <w:delText>Generation</w:delText>
        </w:r>
      </w:del>
      <w:r w:rsidRPr="007019FC">
        <w:rPr>
          <w:szCs w:val="20"/>
        </w:rPr>
        <w:t xml:space="preserve"> Entity with a Mothballed Generation Resource that has been in mothballed status for 90 days or more shall notify ERCOT in writing no less than 30 days prior to the date on which the </w:t>
      </w:r>
      <w:ins w:id="14" w:author="ERCOT" w:date="2011-05-03T14:27:00Z">
        <w:r w:rsidRPr="007019FC">
          <w:rPr>
            <w:szCs w:val="20"/>
          </w:rPr>
          <w:t>Resource</w:t>
        </w:r>
      </w:ins>
      <w:del w:id="15" w:author="ERCOT" w:date="2011-05-03T14:27:00Z">
        <w:r w:rsidRPr="007019FC" w:rsidDel="00D10B91">
          <w:rPr>
            <w:szCs w:val="20"/>
          </w:rPr>
          <w:delText>Generation</w:delText>
        </w:r>
      </w:del>
      <w:r w:rsidRPr="007019FC">
        <w:rPr>
          <w:szCs w:val="20"/>
        </w:rPr>
        <w:t xml:space="preserve"> Entity intends to return a Mothballed Generation Resource to service by completing a Notification of Change of Generation Resource Designation.  A </w:t>
      </w:r>
      <w:ins w:id="16" w:author="ERCOT" w:date="2011-05-03T14:27:00Z">
        <w:r w:rsidRPr="007019FC">
          <w:rPr>
            <w:szCs w:val="20"/>
          </w:rPr>
          <w:t>Resource</w:t>
        </w:r>
      </w:ins>
      <w:del w:id="17" w:author="ERCOT" w:date="2011-05-03T14:27:00Z">
        <w:r w:rsidRPr="007019FC" w:rsidDel="00D10B91">
          <w:rPr>
            <w:szCs w:val="20"/>
          </w:rPr>
          <w:delText>Generation</w:delText>
        </w:r>
      </w:del>
      <w:r w:rsidRPr="007019FC">
        <w:rPr>
          <w:szCs w:val="20"/>
        </w:rPr>
        <w:t xml:space="preserve"> Entity with a Mothballed Generation Resource that has been in mothballed status for less than 90 days shall notify ERCOT in writing no less than 90 days prior to the date on which the </w:t>
      </w:r>
      <w:ins w:id="18" w:author="ERCOT" w:date="2011-05-03T14:27:00Z">
        <w:r w:rsidRPr="007019FC">
          <w:rPr>
            <w:szCs w:val="20"/>
          </w:rPr>
          <w:t>Resource</w:t>
        </w:r>
      </w:ins>
      <w:del w:id="19" w:author="ERCOT" w:date="2011-05-03T14:27:00Z">
        <w:r w:rsidRPr="007019FC" w:rsidDel="00D10B91">
          <w:rPr>
            <w:szCs w:val="20"/>
          </w:rPr>
          <w:delText>Generation</w:delText>
        </w:r>
      </w:del>
      <w:r w:rsidRPr="007019FC">
        <w:rPr>
          <w:szCs w:val="20"/>
        </w:rPr>
        <w:t xml:space="preserve"> Entity intends to return a Mothballed Generation Resource to service by completing a Notification of Change of Generation Resource Designation.  ERCOT shall post the Notification of Change of Generation Resource Designation on the MIS Secure Area </w:t>
      </w:r>
      <w:r w:rsidRPr="007019FC">
        <w:rPr>
          <w:szCs w:val="20"/>
        </w:rPr>
        <w:lastRenderedPageBreak/>
        <w:t xml:space="preserve">within five days of receipt.  If a </w:t>
      </w:r>
      <w:ins w:id="20" w:author="ERCOT" w:date="2011-05-03T14:27:00Z">
        <w:r w:rsidRPr="007019FC">
          <w:rPr>
            <w:szCs w:val="20"/>
          </w:rPr>
          <w:t>Resource</w:t>
        </w:r>
      </w:ins>
      <w:del w:id="21" w:author="ERCOT" w:date="2011-05-03T14:27:00Z">
        <w:r w:rsidRPr="007019FC" w:rsidDel="00D10B91">
          <w:rPr>
            <w:szCs w:val="20"/>
          </w:rPr>
          <w:delText>Generation</w:delText>
        </w:r>
      </w:del>
      <w:r w:rsidRPr="007019FC">
        <w:rPr>
          <w:szCs w:val="20"/>
        </w:rPr>
        <w:t xml:space="preserve"> Entity wishes</w:t>
      </w:r>
      <w:r w:rsidRPr="001A1B64">
        <w:rPr>
          <w:szCs w:val="20"/>
        </w:rPr>
        <w:t xml:space="preserve"> to change the operational designation of a Generation Resource upon conclusion of an RMR Agreement, it must submit a Notification of Change of Generation Resource Designation no later than 60 days prior to the conclusion of the RMR Agreement.</w:t>
      </w:r>
    </w:p>
    <w:p w:rsidR="00BF6F01" w:rsidRPr="001A1B64" w:rsidRDefault="00BF6F01" w:rsidP="00E65587">
      <w:pPr>
        <w:spacing w:after="240"/>
        <w:ind w:left="720" w:hanging="720"/>
        <w:rPr>
          <w:szCs w:val="20"/>
        </w:rPr>
      </w:pPr>
      <w:r w:rsidRPr="001A1B64">
        <w:rPr>
          <w:szCs w:val="20"/>
        </w:rPr>
        <w:t>(4)</w:t>
      </w:r>
      <w:r w:rsidRPr="001A1B64">
        <w:rPr>
          <w:szCs w:val="20"/>
        </w:rPr>
        <w:tab/>
        <w:t xml:space="preserve">If a Generation Resource is designated as decommissioned and retired under either Notification, ERCOT will permanently remove the Generation Resource from the ERCOT registration systems in accordance with Section 3.10.1, Time Line for Network Operations Model Changes.  </w:t>
      </w:r>
      <w:r w:rsidRPr="007019FC">
        <w:rPr>
          <w:szCs w:val="20"/>
        </w:rPr>
        <w:t xml:space="preserve">If a </w:t>
      </w:r>
      <w:ins w:id="22" w:author="ERCOT" w:date="2011-05-03T14:27:00Z">
        <w:r w:rsidRPr="007019FC">
          <w:rPr>
            <w:szCs w:val="20"/>
          </w:rPr>
          <w:t>Resource</w:t>
        </w:r>
      </w:ins>
      <w:del w:id="23" w:author="ERCOT" w:date="2011-05-03T14:27:00Z">
        <w:r w:rsidRPr="007019FC" w:rsidDel="00D10B91">
          <w:rPr>
            <w:szCs w:val="20"/>
          </w:rPr>
          <w:delText>Generation</w:delText>
        </w:r>
      </w:del>
      <w:r w:rsidRPr="007019FC">
        <w:rPr>
          <w:szCs w:val="20"/>
        </w:rPr>
        <w:t xml:space="preserve"> Entity decides to bring a Decommissioned Generation Resource back to service at a later date, it will be considered a new Resource and must follow the procedures for generation interconnection.  If the Generation Resource is designated as mothballed, ERCOT and TSPs will consider the Generation Resource mothballed until the </w:t>
      </w:r>
      <w:ins w:id="24" w:author="ERCOT" w:date="2011-05-03T14:27:00Z">
        <w:r w:rsidRPr="007019FC">
          <w:rPr>
            <w:szCs w:val="20"/>
          </w:rPr>
          <w:t>Resource</w:t>
        </w:r>
      </w:ins>
      <w:del w:id="25" w:author="ERCOT" w:date="2011-05-03T14:27:00Z">
        <w:r w:rsidRPr="007019FC" w:rsidDel="00D10B91">
          <w:rPr>
            <w:szCs w:val="20"/>
          </w:rPr>
          <w:delText>Generation</w:delText>
        </w:r>
      </w:del>
      <w:r w:rsidRPr="007019FC">
        <w:rPr>
          <w:szCs w:val="20"/>
        </w:rPr>
        <w:t xml:space="preserve"> Entity indicates a definitive return to service date pursuant to this Section.</w:t>
      </w:r>
    </w:p>
    <w:p w:rsidR="00BF6F01" w:rsidRPr="001A1B64" w:rsidRDefault="00BF6F01" w:rsidP="00E65587">
      <w:pPr>
        <w:keepNext/>
        <w:widowControl w:val="0"/>
        <w:tabs>
          <w:tab w:val="left" w:pos="1260"/>
        </w:tabs>
        <w:spacing w:before="240" w:after="240"/>
        <w:ind w:left="1260" w:hanging="1260"/>
        <w:outlineLvl w:val="3"/>
        <w:rPr>
          <w:b/>
          <w:bCs/>
          <w:snapToGrid w:val="0"/>
          <w:szCs w:val="20"/>
        </w:rPr>
      </w:pPr>
      <w:bookmarkStart w:id="26" w:name="_Toc144691983"/>
      <w:bookmarkStart w:id="27" w:name="_Toc204048594"/>
      <w:bookmarkStart w:id="28" w:name="_Toc283791349"/>
      <w:r w:rsidRPr="001A1B64">
        <w:rPr>
          <w:b/>
          <w:bCs/>
          <w:snapToGrid w:val="0"/>
          <w:szCs w:val="20"/>
        </w:rPr>
        <w:t>3.14.1.10</w:t>
      </w:r>
      <w:r w:rsidRPr="001A1B64">
        <w:rPr>
          <w:b/>
          <w:bCs/>
          <w:snapToGrid w:val="0"/>
          <w:szCs w:val="20"/>
        </w:rPr>
        <w:tab/>
        <w:t>Eligible Costs</w:t>
      </w:r>
      <w:bookmarkEnd w:id="26"/>
      <w:bookmarkEnd w:id="27"/>
      <w:bookmarkEnd w:id="28"/>
    </w:p>
    <w:p w:rsidR="00BF6F01" w:rsidRPr="001A1B64" w:rsidRDefault="00BF6F01" w:rsidP="00E65587">
      <w:pPr>
        <w:spacing w:after="240"/>
        <w:rPr>
          <w:iCs/>
          <w:szCs w:val="20"/>
        </w:rPr>
      </w:pPr>
      <w:r w:rsidRPr="001A1B64">
        <w:rPr>
          <w:iCs/>
          <w:szCs w:val="20"/>
        </w:rPr>
        <w:t xml:space="preserve">“Eligible Costs” are costs that would be incurred by the RMR Unit owner to provide the RMR Service, excluding fuel costs, above the costs, excluding fuel costs, the RMR Unit would have incurred anyway had it been mothballed or shut down.  </w:t>
      </w:r>
    </w:p>
    <w:p w:rsidR="00BF6F01" w:rsidRPr="001A1B64" w:rsidRDefault="00BF6F01" w:rsidP="00E65587">
      <w:pPr>
        <w:spacing w:after="240"/>
        <w:ind w:left="1440" w:hanging="720"/>
        <w:rPr>
          <w:szCs w:val="20"/>
        </w:rPr>
      </w:pPr>
      <w:r w:rsidRPr="001A1B64">
        <w:rPr>
          <w:szCs w:val="20"/>
        </w:rPr>
        <w:t>(a)</w:t>
      </w:r>
      <w:r w:rsidRPr="001A1B64">
        <w:rPr>
          <w:szCs w:val="20"/>
        </w:rPr>
        <w:tab/>
        <w:t>Examples of Eligible Costs include the following to the extent they each meet the standard for eligibility:</w:t>
      </w:r>
    </w:p>
    <w:p w:rsidR="00BF6F01" w:rsidRPr="001A1B64" w:rsidRDefault="00BF6F01" w:rsidP="00E65587">
      <w:pPr>
        <w:spacing w:after="240"/>
        <w:ind w:left="2160" w:hanging="720"/>
        <w:rPr>
          <w:szCs w:val="20"/>
        </w:rPr>
      </w:pPr>
      <w:r w:rsidRPr="001A1B64">
        <w:rPr>
          <w:szCs w:val="20"/>
        </w:rPr>
        <w:t>(i)</w:t>
      </w:r>
      <w:r w:rsidRPr="001A1B64">
        <w:rPr>
          <w:szCs w:val="20"/>
        </w:rPr>
        <w:tab/>
        <w:t>Labor to operate the RMR Unit during the term of the RMR Agreement;</w:t>
      </w:r>
    </w:p>
    <w:p w:rsidR="00BF6F01" w:rsidRPr="001A1B64" w:rsidRDefault="00BF6F01" w:rsidP="00E65587">
      <w:pPr>
        <w:spacing w:after="240"/>
        <w:ind w:left="2160" w:hanging="720"/>
        <w:rPr>
          <w:szCs w:val="20"/>
        </w:rPr>
      </w:pPr>
      <w:r w:rsidRPr="001A1B64">
        <w:rPr>
          <w:szCs w:val="20"/>
        </w:rPr>
        <w:t>(ii)</w:t>
      </w:r>
      <w:r w:rsidRPr="001A1B64">
        <w:rPr>
          <w:szCs w:val="20"/>
        </w:rPr>
        <w:tab/>
        <w:t>Materials and supplies consumed or used in operation of the RMR Unit during the term of the RMR Agreement;</w:t>
      </w:r>
    </w:p>
    <w:p w:rsidR="00BF6F01" w:rsidRPr="001A1B64" w:rsidRDefault="00BF6F01" w:rsidP="00E65587">
      <w:pPr>
        <w:spacing w:after="240"/>
        <w:ind w:left="2160" w:hanging="720"/>
        <w:rPr>
          <w:szCs w:val="20"/>
        </w:rPr>
      </w:pPr>
      <w:r w:rsidRPr="001A1B64">
        <w:rPr>
          <w:szCs w:val="20"/>
        </w:rPr>
        <w:t>(iii)</w:t>
      </w:r>
      <w:r w:rsidRPr="001A1B64">
        <w:rPr>
          <w:szCs w:val="20"/>
        </w:rPr>
        <w:tab/>
        <w:t>Services necessary to operate the RMR Unit during the term of the</w:t>
      </w:r>
      <w:del w:id="29" w:author="ERCOT" w:date="2011-05-03T14:37:00Z">
        <w:r w:rsidRPr="001A1B64" w:rsidDel="00FD5048">
          <w:rPr>
            <w:szCs w:val="20"/>
          </w:rPr>
          <w:delText xml:space="preserve"> </w:delText>
        </w:r>
      </w:del>
      <w:r w:rsidRPr="001A1B64">
        <w:rPr>
          <w:szCs w:val="20"/>
        </w:rPr>
        <w:t xml:space="preserve"> RMR Agreement;</w:t>
      </w:r>
    </w:p>
    <w:p w:rsidR="00BF6F01" w:rsidRPr="001A1B64" w:rsidRDefault="00BF6F01" w:rsidP="00E65587">
      <w:pPr>
        <w:spacing w:after="240"/>
        <w:ind w:left="2160" w:hanging="720"/>
        <w:rPr>
          <w:szCs w:val="20"/>
        </w:rPr>
      </w:pPr>
      <w:r w:rsidRPr="001A1B64">
        <w:rPr>
          <w:szCs w:val="20"/>
        </w:rPr>
        <w:t>(iv)</w:t>
      </w:r>
      <w:r w:rsidRPr="001A1B64">
        <w:rPr>
          <w:szCs w:val="20"/>
        </w:rPr>
        <w:tab/>
        <w:t>Costs associated with emissions credits used as a direct result of operation of the RMR Unit under direction from ERCOT, or emissions reduction equipment as may be required according to terms of the RMR Agreement;</w:t>
      </w:r>
    </w:p>
    <w:p w:rsidR="00BF6F01" w:rsidRPr="001A1B64" w:rsidRDefault="00BF6F01" w:rsidP="00E65587">
      <w:pPr>
        <w:spacing w:after="240"/>
        <w:ind w:left="2160" w:hanging="720"/>
        <w:rPr>
          <w:szCs w:val="20"/>
        </w:rPr>
      </w:pPr>
      <w:r w:rsidRPr="001A1B64">
        <w:rPr>
          <w:szCs w:val="20"/>
        </w:rPr>
        <w:t>(v)</w:t>
      </w:r>
      <w:r w:rsidRPr="001A1B64">
        <w:rPr>
          <w:szCs w:val="20"/>
        </w:rPr>
        <w:tab/>
        <w:t>Costs associated with maintenance:</w:t>
      </w:r>
    </w:p>
    <w:p w:rsidR="00BF6F01" w:rsidRPr="001A1B64" w:rsidRDefault="00BF6F01" w:rsidP="00E65587">
      <w:pPr>
        <w:spacing w:after="240"/>
        <w:ind w:left="2880" w:hanging="720"/>
        <w:rPr>
          <w:szCs w:val="20"/>
        </w:rPr>
      </w:pPr>
      <w:r w:rsidRPr="001A1B64">
        <w:rPr>
          <w:szCs w:val="20"/>
        </w:rPr>
        <w:t>(A)</w:t>
      </w:r>
      <w:r w:rsidRPr="001A1B64">
        <w:rPr>
          <w:szCs w:val="20"/>
        </w:rPr>
        <w:tab/>
        <w:t xml:space="preserve">Due to required equipment maintenance;  </w:t>
      </w:r>
    </w:p>
    <w:p w:rsidR="00BF6F01" w:rsidRPr="001A1B64" w:rsidRDefault="00BF6F01" w:rsidP="00E65587">
      <w:pPr>
        <w:spacing w:after="240"/>
        <w:ind w:left="2880" w:hanging="720"/>
        <w:rPr>
          <w:szCs w:val="20"/>
        </w:rPr>
      </w:pPr>
      <w:r w:rsidRPr="001A1B64">
        <w:rPr>
          <w:szCs w:val="20"/>
        </w:rPr>
        <w:t>(B)</w:t>
      </w:r>
      <w:r w:rsidRPr="001A1B64">
        <w:rPr>
          <w:szCs w:val="20"/>
        </w:rPr>
        <w:tab/>
        <w:t xml:space="preserve">Due to replacement to alleviate unsafe operating conditions; </w:t>
      </w:r>
    </w:p>
    <w:p w:rsidR="00BF6F01" w:rsidRPr="001A1B64" w:rsidRDefault="00BF6F01" w:rsidP="00E65587">
      <w:pPr>
        <w:spacing w:after="240"/>
        <w:ind w:left="2880" w:hanging="720"/>
        <w:rPr>
          <w:szCs w:val="20"/>
        </w:rPr>
      </w:pPr>
      <w:r w:rsidRPr="001A1B64">
        <w:rPr>
          <w:szCs w:val="20"/>
        </w:rPr>
        <w:t>(C)</w:t>
      </w:r>
      <w:r w:rsidRPr="001A1B64">
        <w:rPr>
          <w:szCs w:val="20"/>
        </w:rPr>
        <w:tab/>
        <w:t xml:space="preserve">Due to regulatory requirements, with compliance dates during the term of the RMR Agreement (any such compliance dates and requirements shall be explicitly defined in the RMR Agreement); or </w:t>
      </w:r>
    </w:p>
    <w:p w:rsidR="00BF6F01" w:rsidRPr="001A1B64" w:rsidRDefault="00BF6F01" w:rsidP="00E65587">
      <w:pPr>
        <w:spacing w:after="240"/>
        <w:ind w:left="2880" w:hanging="720"/>
        <w:rPr>
          <w:szCs w:val="20"/>
        </w:rPr>
      </w:pPr>
      <w:r w:rsidRPr="001A1B64">
        <w:rPr>
          <w:szCs w:val="20"/>
        </w:rPr>
        <w:lastRenderedPageBreak/>
        <w:t>(D)</w:t>
      </w:r>
      <w:r w:rsidRPr="001A1B64">
        <w:rPr>
          <w:szCs w:val="20"/>
        </w:rPr>
        <w:tab/>
        <w:t>To ensure the ability to operate the RMR Unit consistent with Good Utility Practice;</w:t>
      </w:r>
    </w:p>
    <w:p w:rsidR="00BF6F01" w:rsidRPr="001A1B64" w:rsidRDefault="00BF6F01" w:rsidP="00E65587">
      <w:pPr>
        <w:spacing w:after="240"/>
        <w:ind w:left="2160" w:hanging="720"/>
        <w:rPr>
          <w:szCs w:val="20"/>
        </w:rPr>
      </w:pPr>
      <w:r w:rsidRPr="001A1B64">
        <w:rPr>
          <w:szCs w:val="20"/>
        </w:rPr>
        <w:t>(vi)</w:t>
      </w:r>
      <w:r w:rsidRPr="001A1B64">
        <w:rPr>
          <w:szCs w:val="20"/>
        </w:rPr>
        <w:tab/>
        <w:t>Reservation and transportation costs associated with firm fuel supplies not recovered under Section 6.6.6.2, RMR Payment for Energy;</w:t>
      </w:r>
    </w:p>
    <w:p w:rsidR="00BF6F01" w:rsidRPr="001A1B64" w:rsidRDefault="00BF6F01" w:rsidP="00E65587">
      <w:pPr>
        <w:spacing w:after="240"/>
        <w:ind w:left="2160" w:hanging="720"/>
        <w:rPr>
          <w:szCs w:val="20"/>
        </w:rPr>
      </w:pPr>
      <w:r w:rsidRPr="001A1B64">
        <w:rPr>
          <w:szCs w:val="20"/>
        </w:rPr>
        <w:t>(vii)</w:t>
      </w:r>
      <w:r w:rsidRPr="001A1B64">
        <w:rPr>
          <w:szCs w:val="20"/>
        </w:rPr>
        <w:tab/>
        <w:t>Property taxes and other taxes attributable to continuing to operate the RMR Unit during the term of the RMR Agreement; and</w:t>
      </w:r>
    </w:p>
    <w:p w:rsidR="00BF6F01" w:rsidRPr="001A1B64" w:rsidRDefault="00BF6F01" w:rsidP="00E65587">
      <w:pPr>
        <w:spacing w:after="240"/>
        <w:ind w:left="2160" w:hanging="720"/>
        <w:rPr>
          <w:szCs w:val="20"/>
        </w:rPr>
      </w:pPr>
      <w:r w:rsidRPr="001A1B64">
        <w:rPr>
          <w:szCs w:val="20"/>
        </w:rPr>
        <w:t>(viii)</w:t>
      </w:r>
      <w:r w:rsidRPr="001A1B64">
        <w:rPr>
          <w:szCs w:val="20"/>
        </w:rPr>
        <w:tab/>
        <w:t xml:space="preserve">Nodal implementation surcharges. </w:t>
      </w:r>
    </w:p>
    <w:p w:rsidR="00BF6F01" w:rsidRPr="001A1B64" w:rsidRDefault="00BF6F01" w:rsidP="00E65587">
      <w:pPr>
        <w:spacing w:after="240"/>
        <w:ind w:left="1440" w:hanging="720"/>
        <w:rPr>
          <w:szCs w:val="20"/>
        </w:rPr>
      </w:pPr>
      <w:r w:rsidRPr="001A1B64">
        <w:rPr>
          <w:szCs w:val="20"/>
        </w:rPr>
        <w:t>(b)</w:t>
      </w:r>
      <w:r w:rsidRPr="001A1B64">
        <w:rPr>
          <w:szCs w:val="20"/>
        </w:rPr>
        <w:tab/>
        <w:t>Examples of costs not included as Eligible Costs are:</w:t>
      </w:r>
    </w:p>
    <w:p w:rsidR="00BF6F01" w:rsidRPr="001A1B64" w:rsidRDefault="00BF6F01" w:rsidP="00E65587">
      <w:pPr>
        <w:spacing w:after="240"/>
        <w:ind w:left="2160" w:hanging="720"/>
        <w:rPr>
          <w:szCs w:val="20"/>
        </w:rPr>
      </w:pPr>
      <w:r w:rsidRPr="001A1B64">
        <w:rPr>
          <w:szCs w:val="20"/>
        </w:rPr>
        <w:t>(i)</w:t>
      </w:r>
      <w:r w:rsidRPr="001A1B64">
        <w:rPr>
          <w:szCs w:val="20"/>
        </w:rPr>
        <w:tab/>
        <w:t>Depreciation expense, return on equity, and debt and interest costs;</w:t>
      </w:r>
    </w:p>
    <w:p w:rsidR="00BF6F01" w:rsidRPr="001A1B64" w:rsidRDefault="00BF6F01" w:rsidP="00E65587">
      <w:pPr>
        <w:spacing w:after="240"/>
        <w:ind w:left="2160" w:hanging="720"/>
        <w:rPr>
          <w:szCs w:val="20"/>
        </w:rPr>
      </w:pPr>
      <w:r w:rsidRPr="001A1B64">
        <w:rPr>
          <w:szCs w:val="20"/>
        </w:rPr>
        <w:t>(ii)</w:t>
      </w:r>
      <w:r w:rsidRPr="001A1B64">
        <w:rPr>
          <w:szCs w:val="20"/>
        </w:rPr>
        <w:tab/>
        <w:t>Property taxes and other taxes not attributable to continuing to operate the RMR Unit;</w:t>
      </w:r>
    </w:p>
    <w:p w:rsidR="00BF6F01" w:rsidRPr="001A1B64" w:rsidRDefault="00BF6F01" w:rsidP="00E65587">
      <w:pPr>
        <w:spacing w:after="240"/>
        <w:ind w:left="2160" w:hanging="720"/>
        <w:rPr>
          <w:szCs w:val="20"/>
        </w:rPr>
      </w:pPr>
      <w:r w:rsidRPr="001A1B64">
        <w:rPr>
          <w:szCs w:val="20"/>
        </w:rPr>
        <w:t>(iii)</w:t>
      </w:r>
      <w:r w:rsidRPr="001A1B64">
        <w:rPr>
          <w:szCs w:val="20"/>
        </w:rPr>
        <w:tab/>
        <w:t xml:space="preserve">Income taxes of the RMR Unit owner or operator; </w:t>
      </w:r>
    </w:p>
    <w:p w:rsidR="00BF6F01" w:rsidRPr="001A1B64" w:rsidRDefault="00BF6F01" w:rsidP="00E65587">
      <w:pPr>
        <w:spacing w:after="240"/>
        <w:ind w:left="2160" w:hanging="720"/>
        <w:rPr>
          <w:szCs w:val="20"/>
        </w:rPr>
      </w:pPr>
      <w:r w:rsidRPr="001A1B64">
        <w:rPr>
          <w:szCs w:val="20"/>
        </w:rPr>
        <w:t>(iv)</w:t>
      </w:r>
      <w:r w:rsidRPr="001A1B64">
        <w:rPr>
          <w:szCs w:val="20"/>
        </w:rPr>
        <w:tab/>
        <w:t>Labor costs associated with other, non-RMR Generation Resources at the same facility; and</w:t>
      </w:r>
    </w:p>
    <w:p w:rsidR="00BF6F01" w:rsidRPr="001A1B64" w:rsidRDefault="00BF6F01" w:rsidP="00E65587">
      <w:pPr>
        <w:spacing w:after="240"/>
        <w:ind w:left="2160" w:hanging="720"/>
        <w:rPr>
          <w:szCs w:val="20"/>
        </w:rPr>
      </w:pPr>
      <w:r w:rsidRPr="001A1B64">
        <w:rPr>
          <w:szCs w:val="20"/>
        </w:rPr>
        <w:t>(v)</w:t>
      </w:r>
      <w:r w:rsidRPr="001A1B64">
        <w:rPr>
          <w:szCs w:val="20"/>
        </w:rPr>
        <w:tab/>
        <w:t xml:space="preserve">Any other costs the </w:t>
      </w:r>
      <w:ins w:id="30" w:author="ERCOT" w:date="2011-05-03T14:27:00Z">
        <w:r w:rsidRPr="007019FC">
          <w:rPr>
            <w:szCs w:val="20"/>
          </w:rPr>
          <w:t>Resource</w:t>
        </w:r>
      </w:ins>
      <w:del w:id="31" w:author="ERCOT" w:date="2011-05-03T14:27:00Z">
        <w:r w:rsidRPr="007019FC" w:rsidDel="00D10B91">
          <w:rPr>
            <w:szCs w:val="20"/>
          </w:rPr>
          <w:delText>Generation</w:delText>
        </w:r>
      </w:del>
      <w:r w:rsidRPr="007019FC">
        <w:rPr>
          <w:szCs w:val="20"/>
        </w:rPr>
        <w:t xml:space="preserve"> Entity that owns</w:t>
      </w:r>
      <w:r w:rsidRPr="001A1B64">
        <w:rPr>
          <w:szCs w:val="20"/>
        </w:rPr>
        <w:t xml:space="preserve"> the RMR Unit would have incurred even if the RMR Unit had been mothballed or shutdown.</w:t>
      </w:r>
    </w:p>
    <w:p w:rsidR="00BF6F01" w:rsidRDefault="00BF6F01" w:rsidP="00E65587">
      <w:pPr>
        <w:pStyle w:val="H4"/>
        <w:tabs>
          <w:tab w:val="clear" w:pos="1260"/>
        </w:tabs>
        <w:ind w:left="720" w:hanging="720"/>
      </w:pPr>
      <w:bookmarkStart w:id="32" w:name="_Toc204048596"/>
      <w:bookmarkStart w:id="33" w:name="_Toc283791351"/>
      <w:r>
        <w:t>3.14.1.12</w:t>
      </w:r>
      <w:r>
        <w:tab/>
        <w:t>Reporting Actual Eligible Cost</w:t>
      </w:r>
      <w:bookmarkEnd w:id="32"/>
      <w:bookmarkEnd w:id="33"/>
      <w:r>
        <w:t xml:space="preserve"> </w:t>
      </w:r>
    </w:p>
    <w:p w:rsidR="00BF6F01" w:rsidRDefault="00BF6F01" w:rsidP="00E65587">
      <w:pPr>
        <w:pStyle w:val="BodyTextNumbered"/>
        <w:ind w:left="0" w:firstLine="0"/>
      </w:pPr>
      <w:r>
        <w:t xml:space="preserve">The RMR Unit owner shall provide ERCOT with actual Eligible Costs on a monthly basis in a level of detail sufficient for ERCOT to verify that all Eligible Costs are actual and appropriate.  Actual cost data must be submitted </w:t>
      </w:r>
      <w:r w:rsidRPr="007019FC">
        <w:t xml:space="preserve">on time by the </w:t>
      </w:r>
      <w:ins w:id="34" w:author="ERCOT" w:date="2011-05-03T14:27:00Z">
        <w:r w:rsidRPr="007019FC">
          <w:t>Resource</w:t>
        </w:r>
      </w:ins>
      <w:del w:id="35" w:author="ERCOT" w:date="2011-05-03T14:27:00Z">
        <w:r w:rsidRPr="007019FC" w:rsidDel="00D10B91">
          <w:delText>Generation</w:delText>
        </w:r>
      </w:del>
      <w:r w:rsidRPr="007019FC">
        <w:t xml:space="preserve"> Entity for the RMR Unit and then verified by ERCOT so the actual cost data can be reflected in the True-Up</w:t>
      </w:r>
      <w:r>
        <w:t xml:space="preserve"> Settlement Statement. To be considered timely for the final, actual cost data for month ‘x’ must be submitted by the 20</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Qualified Scheduling Entity (QSE) representing an RMR unit.  Such request for deviation shall contain the reason for the inability to meet the calendar and an expected date that the cost data will be provided to ERCOT. At its discretion ERCOT may choose to honor such a request. ERCOT shall post on the Public MIS any such request and response thereto.  In the event, that actual cost data is not submitted  in accordance with the calendar or approved deviation for the true-up, then the cost for the portion of eligible cost that has not been submitted is deemed to be zero.</w:t>
      </w:r>
    </w:p>
    <w:p w:rsidR="00BF6F01" w:rsidRPr="001A1B64" w:rsidRDefault="00BF6F01" w:rsidP="00E65587">
      <w:pPr>
        <w:keepNext/>
        <w:widowControl w:val="0"/>
        <w:spacing w:before="240" w:after="240"/>
        <w:ind w:left="1260" w:hanging="1260"/>
        <w:outlineLvl w:val="3"/>
        <w:rPr>
          <w:b/>
          <w:bCs/>
          <w:snapToGrid w:val="0"/>
          <w:szCs w:val="20"/>
        </w:rPr>
      </w:pPr>
      <w:bookmarkStart w:id="36" w:name="_Toc144691989"/>
      <w:bookmarkStart w:id="37" w:name="_Toc204048600"/>
      <w:bookmarkStart w:id="38" w:name="_Toc283791355"/>
      <w:commentRangeStart w:id="39"/>
      <w:r w:rsidRPr="001A1B64">
        <w:rPr>
          <w:b/>
          <w:bCs/>
          <w:snapToGrid w:val="0"/>
          <w:szCs w:val="20"/>
        </w:rPr>
        <w:lastRenderedPageBreak/>
        <w:t>3.14.1.16</w:t>
      </w:r>
      <w:r w:rsidRPr="001A1B64">
        <w:rPr>
          <w:b/>
          <w:bCs/>
          <w:snapToGrid w:val="0"/>
          <w:szCs w:val="20"/>
        </w:rPr>
        <w:tab/>
        <w:t xml:space="preserve">Reporting Actual Eligible </w:t>
      </w:r>
      <w:ins w:id="40" w:author="ERCOT" w:date="2011-05-03T14:27:00Z">
        <w:r>
          <w:rPr>
            <w:b/>
            <w:bCs/>
            <w:snapToGrid w:val="0"/>
            <w:szCs w:val="20"/>
          </w:rPr>
          <w:t xml:space="preserve">Fuel </w:t>
        </w:r>
      </w:ins>
      <w:r w:rsidRPr="001A1B64">
        <w:rPr>
          <w:b/>
          <w:bCs/>
          <w:snapToGrid w:val="0"/>
          <w:szCs w:val="20"/>
        </w:rPr>
        <w:t>Costs</w:t>
      </w:r>
      <w:bookmarkEnd w:id="36"/>
      <w:bookmarkEnd w:id="37"/>
      <w:bookmarkEnd w:id="38"/>
      <w:commentRangeEnd w:id="39"/>
      <w:r>
        <w:rPr>
          <w:rStyle w:val="CommentReference"/>
        </w:rPr>
        <w:commentReference w:id="39"/>
      </w:r>
    </w:p>
    <w:p w:rsidR="00BF6F01" w:rsidRPr="001A1B64" w:rsidRDefault="00BF6F01" w:rsidP="00E65587">
      <w:pPr>
        <w:spacing w:after="240"/>
        <w:ind w:left="720" w:hanging="720"/>
        <w:rPr>
          <w:iCs/>
          <w:szCs w:val="20"/>
        </w:rPr>
      </w:pPr>
      <w:r w:rsidRPr="001A1B64">
        <w:rPr>
          <w:iCs/>
          <w:szCs w:val="20"/>
        </w:rPr>
        <w:t>(1)</w:t>
      </w:r>
      <w:r w:rsidRPr="001A1B64">
        <w:rPr>
          <w:iCs/>
          <w:szCs w:val="20"/>
        </w:rP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ERCOT shall perform a true-up of the estimated fuel costs using the submitted and verified actual fuel costs for the RMR Unit. Actual cost data must be submitted on </w:t>
      </w:r>
      <w:r w:rsidRPr="007019FC">
        <w:rPr>
          <w:iCs/>
          <w:szCs w:val="20"/>
        </w:rPr>
        <w:t xml:space="preserve">time by the </w:t>
      </w:r>
      <w:ins w:id="41" w:author="ERCOT" w:date="2011-05-03T14:27:00Z">
        <w:r w:rsidRPr="007019FC">
          <w:rPr>
            <w:szCs w:val="20"/>
          </w:rPr>
          <w:t>Resource</w:t>
        </w:r>
      </w:ins>
      <w:del w:id="42" w:author="ERCOT" w:date="2011-05-03T14:27:00Z">
        <w:r w:rsidRPr="007019FC" w:rsidDel="00D10B91">
          <w:rPr>
            <w:iCs/>
            <w:szCs w:val="20"/>
          </w:rPr>
          <w:delText>Generation</w:delText>
        </w:r>
      </w:del>
      <w:r w:rsidRPr="007019FC">
        <w:rPr>
          <w:iCs/>
          <w:szCs w:val="20"/>
        </w:rPr>
        <w:t xml:space="preserve"> Entity for the RMR Unit and then verified by ERCOT so the actual cost data can be reflected in the True</w:t>
      </w:r>
      <w:r w:rsidRPr="001A1B64">
        <w:rPr>
          <w:iCs/>
          <w:szCs w:val="20"/>
        </w:rPr>
        <w:t>-Up Settlement Statement.  To be considered timely for the final, actual cost data for month ‘x’ must be submitted by the 20th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ERCOT shall post on the Public MIS any such request and response thereto.  In the event, that actual cost data is not submitted in accordance with the calendar or approved deviation for the true-up, then the cost for the portion of Eligible Cost that has not been submitted is deemed to be zero.</w:t>
      </w:r>
    </w:p>
    <w:p w:rsidR="00BF6F01" w:rsidRPr="001A1B64" w:rsidRDefault="00BF6F01" w:rsidP="00E65587">
      <w:pPr>
        <w:spacing w:after="240"/>
        <w:ind w:left="720" w:hanging="720"/>
        <w:rPr>
          <w:iCs/>
          <w:szCs w:val="20"/>
        </w:rPr>
      </w:pPr>
      <w:r w:rsidRPr="001A1B64">
        <w:rPr>
          <w:iCs/>
          <w:szCs w:val="20"/>
        </w:rPr>
        <w:t>(2)</w:t>
      </w:r>
      <w:r w:rsidRPr="001A1B64">
        <w:rPr>
          <w:iCs/>
          <w:szCs w:val="20"/>
        </w:rP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p>
    <w:p w:rsidR="00BF6F01" w:rsidRPr="001A0FB8" w:rsidRDefault="00BF6F01" w:rsidP="00E65587">
      <w:pPr>
        <w:keepNext/>
        <w:tabs>
          <w:tab w:val="left" w:pos="1080"/>
        </w:tabs>
        <w:spacing w:before="240" w:after="240"/>
        <w:ind w:left="1080" w:hanging="1080"/>
        <w:outlineLvl w:val="2"/>
        <w:rPr>
          <w:b/>
          <w:bCs/>
          <w:i/>
          <w:szCs w:val="20"/>
        </w:rPr>
      </w:pPr>
      <w:bookmarkStart w:id="43" w:name="_Toc141777774"/>
      <w:bookmarkStart w:id="44" w:name="_Toc203961355"/>
      <w:bookmarkStart w:id="45" w:name="_Toc283801861"/>
      <w:bookmarkStart w:id="46" w:name="_Toc74113621"/>
      <w:bookmarkStart w:id="47" w:name="_Toc88017251"/>
      <w:bookmarkStart w:id="48" w:name="_Toc101091050"/>
      <w:bookmarkStart w:id="49" w:name="_Toc274727453"/>
      <w:r w:rsidRPr="001A0FB8">
        <w:rPr>
          <w:b/>
          <w:bCs/>
          <w:i/>
          <w:szCs w:val="20"/>
        </w:rPr>
        <w:t>5.6.1</w:t>
      </w:r>
      <w:r w:rsidRPr="001A0FB8">
        <w:rPr>
          <w:b/>
          <w:bCs/>
          <w:i/>
          <w:szCs w:val="20"/>
        </w:rPr>
        <w:tab/>
        <w:t>Verifiable Costs</w:t>
      </w:r>
      <w:bookmarkEnd w:id="46"/>
      <w:bookmarkEnd w:id="47"/>
      <w:bookmarkEnd w:id="48"/>
      <w:bookmarkEnd w:id="49"/>
    </w:p>
    <w:p w:rsidR="00BF6F01" w:rsidRPr="001A0FB8" w:rsidRDefault="00BF6F01" w:rsidP="00E65587">
      <w:pPr>
        <w:spacing w:after="240"/>
        <w:ind w:left="720" w:hanging="720"/>
        <w:rPr>
          <w:iCs/>
          <w:szCs w:val="20"/>
        </w:rPr>
      </w:pPr>
      <w:r w:rsidRPr="001A0FB8">
        <w:rPr>
          <w:iCs/>
          <w:szCs w:val="20"/>
        </w:rPr>
        <w:t>(1)</w:t>
      </w:r>
      <w:r w:rsidRPr="001A0FB8">
        <w:rPr>
          <w:iCs/>
          <w:szCs w:val="20"/>
        </w:rP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rsidR="00BF6F01" w:rsidRPr="001A0FB8" w:rsidRDefault="00BF6F01" w:rsidP="00E65587">
      <w:pPr>
        <w:spacing w:after="240"/>
        <w:ind w:left="720" w:hanging="720"/>
        <w:rPr>
          <w:iCs/>
          <w:szCs w:val="20"/>
        </w:rPr>
      </w:pPr>
      <w:r w:rsidRPr="001A0FB8">
        <w:rPr>
          <w:iCs/>
          <w:szCs w:val="20"/>
        </w:rPr>
        <w:t>(2)</w:t>
      </w:r>
      <w:r w:rsidRPr="001A0FB8">
        <w:rPr>
          <w:iCs/>
          <w:szCs w:val="20"/>
        </w:rP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 or Resource Entity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w:t>
      </w:r>
      <w:r w:rsidRPr="001A0FB8">
        <w:rPr>
          <w:iCs/>
          <w:szCs w:val="20"/>
        </w:rPr>
        <w:lastRenderedPageBreak/>
        <w:t xml:space="preserve">of when the Resource shuts down or the end of the Operating Day.  The most recent ERCOT-approved verifiable costs must be used going forward. </w:t>
      </w:r>
    </w:p>
    <w:p w:rsidR="00BF6F01" w:rsidRPr="001A0FB8" w:rsidRDefault="00BF6F01" w:rsidP="00E65587">
      <w:pPr>
        <w:spacing w:after="240"/>
        <w:ind w:left="720" w:hanging="720"/>
        <w:rPr>
          <w:iCs/>
          <w:szCs w:val="20"/>
        </w:rPr>
      </w:pPr>
      <w:r w:rsidRPr="001A0FB8">
        <w:rPr>
          <w:iCs/>
          <w:szCs w:val="20"/>
        </w:rPr>
        <w:t>(3)</w:t>
      </w:r>
      <w:r w:rsidRPr="001A0FB8">
        <w:rPr>
          <w:iCs/>
          <w:szCs w:val="20"/>
        </w:rPr>
        <w:tab/>
        <w:t>These unit-specific verifiable costs may include and are limited to the following average incremental costs:</w:t>
      </w:r>
    </w:p>
    <w:p w:rsidR="00BF6F01" w:rsidRPr="001A0FB8" w:rsidRDefault="00BF6F01" w:rsidP="00E65587">
      <w:pPr>
        <w:spacing w:after="240"/>
        <w:ind w:left="1440" w:hanging="720"/>
        <w:rPr>
          <w:szCs w:val="20"/>
        </w:rPr>
      </w:pPr>
      <w:r w:rsidRPr="001A0FB8">
        <w:rPr>
          <w:szCs w:val="20"/>
        </w:rPr>
        <w:t>(a)</w:t>
      </w:r>
      <w:r w:rsidRPr="001A0FB8">
        <w:rPr>
          <w:szCs w:val="20"/>
        </w:rPr>
        <w:tab/>
        <w:t>Allocation of maintenance requirements based on number of starts between maintenance events using, at the option of the QSE or Resource Entity, either:</w:t>
      </w:r>
    </w:p>
    <w:p w:rsidR="00BF6F01" w:rsidRPr="001A0FB8" w:rsidRDefault="00BF6F01" w:rsidP="00E65587">
      <w:pPr>
        <w:spacing w:after="240"/>
        <w:ind w:left="2160" w:hanging="720"/>
        <w:rPr>
          <w:szCs w:val="20"/>
        </w:rPr>
      </w:pPr>
      <w:r w:rsidRPr="001A0FB8">
        <w:rPr>
          <w:szCs w:val="20"/>
        </w:rPr>
        <w:t>(i)</w:t>
      </w:r>
      <w:r w:rsidRPr="001A0FB8">
        <w:rPr>
          <w:szCs w:val="20"/>
        </w:rPr>
        <w:tab/>
        <w:t xml:space="preserve">Manufacturer-recommended maintenance schedule; </w:t>
      </w:r>
    </w:p>
    <w:p w:rsidR="00BF6F01" w:rsidRPr="001A0FB8" w:rsidRDefault="00BF6F01" w:rsidP="00E65587">
      <w:pPr>
        <w:spacing w:after="240"/>
        <w:ind w:left="2160" w:hanging="720"/>
        <w:rPr>
          <w:szCs w:val="20"/>
        </w:rPr>
      </w:pPr>
      <w:r w:rsidRPr="001A0FB8">
        <w:rPr>
          <w:szCs w:val="20"/>
        </w:rPr>
        <w:t>(ii)</w:t>
      </w:r>
      <w:r w:rsidRPr="001A0FB8">
        <w:rPr>
          <w:szCs w:val="20"/>
        </w:rPr>
        <w:tab/>
        <w:t>Historical data for the unit and actual maintenance practices; or</w:t>
      </w:r>
    </w:p>
    <w:p w:rsidR="00BF6F01" w:rsidRPr="001A0FB8" w:rsidRDefault="00BF6F01" w:rsidP="00E65587">
      <w:pPr>
        <w:spacing w:after="240"/>
        <w:ind w:left="2160" w:hanging="720"/>
        <w:rPr>
          <w:szCs w:val="20"/>
        </w:rPr>
      </w:pPr>
      <w:r w:rsidRPr="001A0FB8">
        <w:rPr>
          <w:szCs w:val="20"/>
        </w:rPr>
        <w:t>(iii)</w:t>
      </w:r>
      <w:r w:rsidRPr="001A0FB8">
        <w:rPr>
          <w:szCs w:val="20"/>
        </w:rPr>
        <w:tab/>
        <w:t>Another method approved in advance by ERCOT in writing;</w:t>
      </w:r>
    </w:p>
    <w:p w:rsidR="00BF6F01" w:rsidRPr="001A0FB8" w:rsidRDefault="00BF6F01" w:rsidP="00E65587">
      <w:pPr>
        <w:spacing w:after="240"/>
        <w:ind w:left="1440" w:hanging="720"/>
        <w:rPr>
          <w:szCs w:val="20"/>
        </w:rPr>
      </w:pPr>
      <w:r w:rsidRPr="001A0FB8">
        <w:rPr>
          <w:szCs w:val="20"/>
        </w:rPr>
        <w:t>(b)</w:t>
      </w:r>
      <w:r w:rsidRPr="001A0FB8">
        <w:rPr>
          <w:szCs w:val="20"/>
        </w:rPr>
        <w:tab/>
        <w:t>Startup fuel calculations based on recorded actual measured flows when the data is available or based on averages of historical flows for similar starts (for example, hot, cold, intermediate) when actual data is not available.  Startup fuel will include filing separately the startup fuel required to reach breaker close and fuel after breaker close to Low Sustained Limit (LSL).  Any fuel required to shutdown a resource will be submitted as the fuel from breaker open to shutdown;</w:t>
      </w:r>
    </w:p>
    <w:p w:rsidR="00BF6F01" w:rsidRPr="001A0FB8" w:rsidRDefault="00BF6F01" w:rsidP="00E65587">
      <w:pPr>
        <w:spacing w:after="240"/>
        <w:ind w:left="1440" w:hanging="720"/>
        <w:rPr>
          <w:szCs w:val="20"/>
        </w:rPr>
      </w:pPr>
      <w:r w:rsidRPr="001A0FB8">
        <w:rPr>
          <w:szCs w:val="20"/>
        </w:rPr>
        <w:t>(c)</w:t>
      </w:r>
      <w:r w:rsidRPr="001A0FB8">
        <w:rPr>
          <w:szCs w:val="20"/>
        </w:rPr>
        <w:tab/>
        <w:t>Operation costs;</w:t>
      </w:r>
    </w:p>
    <w:p w:rsidR="00BF6F01" w:rsidRPr="001A0FB8" w:rsidRDefault="00BF6F01" w:rsidP="00E65587">
      <w:pPr>
        <w:spacing w:after="240"/>
        <w:ind w:left="1440" w:hanging="720"/>
        <w:rPr>
          <w:szCs w:val="20"/>
        </w:rPr>
      </w:pPr>
      <w:r w:rsidRPr="001A0FB8">
        <w:rPr>
          <w:szCs w:val="20"/>
        </w:rPr>
        <w:t>(d)</w:t>
      </w:r>
      <w:r w:rsidRPr="001A0FB8">
        <w:rPr>
          <w:szCs w:val="20"/>
        </w:rPr>
        <w:tab/>
        <w:t>Chemical costs;</w:t>
      </w:r>
    </w:p>
    <w:p w:rsidR="00BF6F01" w:rsidRPr="001A0FB8" w:rsidRDefault="00BF6F01" w:rsidP="00E65587">
      <w:pPr>
        <w:spacing w:after="240"/>
        <w:ind w:left="1440" w:hanging="720"/>
        <w:rPr>
          <w:szCs w:val="20"/>
        </w:rPr>
      </w:pPr>
      <w:r w:rsidRPr="001A0FB8">
        <w:rPr>
          <w:szCs w:val="20"/>
        </w:rPr>
        <w:t>(e)</w:t>
      </w:r>
      <w:r w:rsidRPr="001A0FB8">
        <w:rPr>
          <w:szCs w:val="20"/>
        </w:rPr>
        <w:tab/>
        <w:t xml:space="preserve">Water costs; </w:t>
      </w:r>
    </w:p>
    <w:p w:rsidR="00BF6F01" w:rsidRPr="001A0FB8" w:rsidRDefault="00BF6F01" w:rsidP="00E65587">
      <w:pPr>
        <w:spacing w:after="240"/>
        <w:ind w:left="1440" w:hanging="720"/>
        <w:rPr>
          <w:szCs w:val="20"/>
        </w:rPr>
      </w:pPr>
      <w:r w:rsidRPr="001A0FB8">
        <w:rPr>
          <w:szCs w:val="20"/>
        </w:rPr>
        <w:t>(f)</w:t>
      </w:r>
      <w:r w:rsidRPr="001A0FB8">
        <w:rPr>
          <w:szCs w:val="20"/>
        </w:rPr>
        <w:tab/>
        <w:t>Emission credits; and</w:t>
      </w:r>
    </w:p>
    <w:p w:rsidR="00BF6F01" w:rsidRPr="001A0FB8" w:rsidRDefault="00BF6F01" w:rsidP="00E65587">
      <w:pPr>
        <w:spacing w:after="240"/>
        <w:ind w:left="1440" w:hanging="720"/>
        <w:rPr>
          <w:szCs w:val="20"/>
        </w:rPr>
      </w:pPr>
      <w:r w:rsidRPr="001A0FB8">
        <w:rPr>
          <w:szCs w:val="20"/>
        </w:rPr>
        <w:t>(g)</w:t>
      </w:r>
      <w:r w:rsidRPr="001A0FB8">
        <w:rPr>
          <w:szCs w:val="20"/>
        </w:rPr>
        <w:tab/>
        <w:t xml:space="preserve">Nodal Implementation Surcharges (NISs). </w:t>
      </w:r>
    </w:p>
    <w:p w:rsidR="00BF6F01" w:rsidRPr="001A0FB8" w:rsidRDefault="00BF6F01" w:rsidP="00E65587">
      <w:pPr>
        <w:spacing w:after="240"/>
        <w:ind w:left="720" w:hanging="720"/>
        <w:rPr>
          <w:szCs w:val="20"/>
        </w:rPr>
      </w:pPr>
      <w:r w:rsidRPr="001A0FB8">
        <w:rPr>
          <w:szCs w:val="20"/>
        </w:rPr>
        <w:t>(4)</w:t>
      </w:r>
      <w:r w:rsidRPr="001A0FB8">
        <w:rPr>
          <w:szCs w:val="20"/>
        </w:rPr>
        <w:tab/>
        <w:t xml:space="preserve">Standard Operations and Maintenance (O&amp;M) costs pursuant to paragraph (6) below may be used in lieu of the incremental O&amp;M costs set forth in items (3)(a), (c), (d) and (e) above. </w:t>
      </w:r>
    </w:p>
    <w:p w:rsidR="00BF6F01" w:rsidRPr="001A0FB8" w:rsidRDefault="00BF6F01" w:rsidP="00E65587">
      <w:pPr>
        <w:spacing w:after="240"/>
        <w:ind w:left="720" w:hanging="720"/>
        <w:rPr>
          <w:iCs/>
          <w:szCs w:val="20"/>
        </w:rPr>
      </w:pPr>
      <w:r w:rsidRPr="001A0FB8">
        <w:rPr>
          <w:iCs/>
          <w:szCs w:val="20"/>
        </w:rPr>
        <w:t>(5)</w:t>
      </w:r>
      <w:r w:rsidRPr="001A0FB8">
        <w:rPr>
          <w:iCs/>
          <w:szCs w:val="20"/>
        </w:rPr>
        <w:tab/>
        <w:t>These unit-specific verifiable costs may not include:</w:t>
      </w:r>
    </w:p>
    <w:p w:rsidR="00BF6F01" w:rsidRPr="001A0FB8" w:rsidRDefault="00BF6F01" w:rsidP="00E65587">
      <w:pPr>
        <w:spacing w:after="240"/>
        <w:ind w:left="1440" w:hanging="720"/>
        <w:rPr>
          <w:szCs w:val="20"/>
        </w:rPr>
      </w:pPr>
      <w:r w:rsidRPr="001A0FB8">
        <w:rPr>
          <w:szCs w:val="20"/>
        </w:rPr>
        <w:t>(a)</w:t>
      </w:r>
      <w:r w:rsidRPr="001A0FB8">
        <w:rPr>
          <w:szCs w:val="20"/>
        </w:rPr>
        <w:tab/>
        <w:t>Fixed costs, which are any cost that is incurred regardless of whether the unit is deployed or not; and</w:t>
      </w:r>
    </w:p>
    <w:p w:rsidR="00BF6F01" w:rsidRPr="001A0FB8" w:rsidRDefault="00BF6F01" w:rsidP="00E65587">
      <w:pPr>
        <w:spacing w:after="240"/>
        <w:ind w:left="1440" w:hanging="720"/>
        <w:rPr>
          <w:szCs w:val="20"/>
        </w:rPr>
      </w:pPr>
      <w:r w:rsidRPr="001A0FB8">
        <w:rPr>
          <w:szCs w:val="20"/>
        </w:rPr>
        <w:t>(b)</w:t>
      </w:r>
      <w:r w:rsidRPr="001A0FB8">
        <w:rPr>
          <w:szCs w:val="20"/>
        </w:rPr>
        <w:tab/>
        <w:t>Costs for which the QSE or Resource Entity cannot provide sufficient documentation for ERCOT to verify the costs.</w:t>
      </w:r>
    </w:p>
    <w:p w:rsidR="00BF6F01" w:rsidRPr="001A0FB8" w:rsidRDefault="00BF6F01" w:rsidP="00E65587">
      <w:pPr>
        <w:spacing w:after="240"/>
        <w:ind w:left="720" w:hanging="720"/>
        <w:rPr>
          <w:szCs w:val="20"/>
        </w:rPr>
      </w:pPr>
      <w:r w:rsidRPr="001A0FB8">
        <w:rPr>
          <w:szCs w:val="20"/>
        </w:rPr>
        <w:t>(6)</w:t>
      </w:r>
      <w:r w:rsidRPr="001A0FB8">
        <w:rPr>
          <w:szCs w:val="20"/>
        </w:rPr>
        <w:tab/>
        <w:t>At their election, QSEs or Resource Entities may receive standard O&amp;M costs for both startup and minimum energy until January 1, 2012.  This election may be made by submitting an election form to ERCOT.  If a QSE or Resource has received final approval for actual verifiable O&amp;M costs under the verifiable cost process, it may not elect to receive standard O&amp;M costs.  Standard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88"/>
        <w:gridCol w:w="1574"/>
        <w:gridCol w:w="1574"/>
        <w:gridCol w:w="1574"/>
        <w:gridCol w:w="1575"/>
      </w:tblGrid>
      <w:tr w:rsidR="00BF6F01" w:rsidRPr="001A0FB8" w:rsidTr="00E65587">
        <w:trPr>
          <w:cantSplit/>
          <w:trHeight w:val="279"/>
        </w:trPr>
        <w:tc>
          <w:tcPr>
            <w:tcW w:w="2988" w:type="dxa"/>
            <w:tcBorders>
              <w:bottom w:val="nil"/>
            </w:tcBorders>
            <w:noWrap/>
          </w:tcPr>
          <w:p w:rsidR="00BF6F01" w:rsidRPr="001A0FB8" w:rsidRDefault="00BF6F01" w:rsidP="00E65587">
            <w:pPr>
              <w:rPr>
                <w:b/>
                <w:color w:val="000000"/>
                <w:sz w:val="20"/>
                <w:szCs w:val="20"/>
              </w:rPr>
            </w:pPr>
            <w:r w:rsidRPr="001A0FB8">
              <w:rPr>
                <w:b/>
                <w:color w:val="000000"/>
                <w:sz w:val="20"/>
                <w:szCs w:val="20"/>
              </w:rPr>
              <w:lastRenderedPageBreak/>
              <w:t>Resource Category</w:t>
            </w:r>
          </w:p>
          <w:p w:rsidR="00BF6F01" w:rsidRPr="001A0FB8" w:rsidRDefault="00BF6F01" w:rsidP="00E65587">
            <w:pPr>
              <w:rPr>
                <w:b/>
                <w:color w:val="000000"/>
                <w:sz w:val="20"/>
                <w:szCs w:val="20"/>
              </w:rPr>
            </w:pPr>
            <w:r w:rsidRPr="001A0FB8">
              <w:rPr>
                <w:b/>
                <w:color w:val="000000"/>
                <w:sz w:val="20"/>
                <w:szCs w:val="20"/>
              </w:rPr>
              <w:t>Start Year = 2009</w:t>
            </w:r>
          </w:p>
        </w:tc>
        <w:tc>
          <w:tcPr>
            <w:tcW w:w="1574" w:type="dxa"/>
            <w:tcBorders>
              <w:bottom w:val="nil"/>
            </w:tcBorders>
            <w:noWrap/>
          </w:tcPr>
          <w:p w:rsidR="00BF6F01" w:rsidRPr="001A0FB8" w:rsidRDefault="00BF6F01" w:rsidP="00E65587">
            <w:pPr>
              <w:rPr>
                <w:b/>
                <w:color w:val="000000"/>
                <w:sz w:val="20"/>
                <w:szCs w:val="20"/>
              </w:rPr>
            </w:pPr>
            <w:r w:rsidRPr="001A0FB8">
              <w:rPr>
                <w:b/>
                <w:color w:val="000000"/>
                <w:sz w:val="20"/>
                <w:szCs w:val="20"/>
              </w:rPr>
              <w:t>Cold Startup ($/start)</w:t>
            </w:r>
          </w:p>
        </w:tc>
        <w:tc>
          <w:tcPr>
            <w:tcW w:w="1574" w:type="dxa"/>
            <w:tcBorders>
              <w:bottom w:val="nil"/>
            </w:tcBorders>
            <w:noWrap/>
          </w:tcPr>
          <w:p w:rsidR="00BF6F01" w:rsidRPr="001A0FB8" w:rsidRDefault="00BF6F01" w:rsidP="00E65587">
            <w:pPr>
              <w:rPr>
                <w:b/>
                <w:color w:val="000000"/>
                <w:sz w:val="20"/>
                <w:szCs w:val="20"/>
              </w:rPr>
            </w:pPr>
            <w:r w:rsidRPr="001A0FB8">
              <w:rPr>
                <w:b/>
                <w:color w:val="000000"/>
                <w:sz w:val="20"/>
                <w:szCs w:val="20"/>
              </w:rPr>
              <w:t>Intermediate Startup ($/start)</w:t>
            </w:r>
          </w:p>
        </w:tc>
        <w:tc>
          <w:tcPr>
            <w:tcW w:w="1574" w:type="dxa"/>
            <w:tcBorders>
              <w:bottom w:val="nil"/>
            </w:tcBorders>
            <w:noWrap/>
          </w:tcPr>
          <w:p w:rsidR="00BF6F01" w:rsidRPr="001A0FB8" w:rsidRDefault="00BF6F01" w:rsidP="00E65587">
            <w:pPr>
              <w:rPr>
                <w:b/>
                <w:color w:val="000000"/>
                <w:sz w:val="20"/>
                <w:szCs w:val="20"/>
              </w:rPr>
            </w:pPr>
            <w:r w:rsidRPr="001A0FB8">
              <w:rPr>
                <w:b/>
                <w:color w:val="000000"/>
                <w:sz w:val="20"/>
                <w:szCs w:val="20"/>
              </w:rPr>
              <w:t>Hot Startup ($/start)</w:t>
            </w:r>
          </w:p>
        </w:tc>
        <w:tc>
          <w:tcPr>
            <w:tcW w:w="1575" w:type="dxa"/>
            <w:tcBorders>
              <w:bottom w:val="nil"/>
            </w:tcBorders>
            <w:noWrap/>
          </w:tcPr>
          <w:p w:rsidR="00BF6F01" w:rsidRPr="001A0FB8" w:rsidRDefault="00BF6F01" w:rsidP="00E65587">
            <w:pPr>
              <w:rPr>
                <w:b/>
                <w:color w:val="000000"/>
                <w:sz w:val="20"/>
                <w:szCs w:val="20"/>
              </w:rPr>
            </w:pPr>
            <w:r w:rsidRPr="001A0FB8">
              <w:rPr>
                <w:b/>
                <w:color w:val="000000"/>
                <w:sz w:val="20"/>
                <w:szCs w:val="20"/>
              </w:rPr>
              <w:t>Variable O&amp;M ($/MWh)</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Aeroderivative simple cycle commissioned after 1996</w:t>
            </w:r>
          </w:p>
        </w:tc>
        <w:tc>
          <w:tcPr>
            <w:tcW w:w="1574" w:type="dxa"/>
            <w:noWrap/>
          </w:tcPr>
          <w:p w:rsidR="00BF6F01" w:rsidRPr="001A0FB8" w:rsidRDefault="00BF6F01" w:rsidP="00E65587">
            <w:pPr>
              <w:rPr>
                <w:color w:val="000000"/>
                <w:sz w:val="20"/>
                <w:szCs w:val="20"/>
              </w:rPr>
            </w:pPr>
            <w:r w:rsidRPr="001A0FB8">
              <w:rPr>
                <w:color w:val="000000"/>
                <w:sz w:val="20"/>
                <w:szCs w:val="20"/>
              </w:rPr>
              <w:t>1,000.00</w:t>
            </w:r>
          </w:p>
        </w:tc>
        <w:tc>
          <w:tcPr>
            <w:tcW w:w="1574" w:type="dxa"/>
            <w:noWrap/>
          </w:tcPr>
          <w:p w:rsidR="00BF6F01" w:rsidRPr="001A0FB8" w:rsidRDefault="00BF6F01" w:rsidP="00E65587">
            <w:pPr>
              <w:rPr>
                <w:color w:val="000000"/>
                <w:sz w:val="20"/>
                <w:szCs w:val="20"/>
              </w:rPr>
            </w:pPr>
            <w:r w:rsidRPr="001A0FB8">
              <w:rPr>
                <w:color w:val="000000"/>
                <w:sz w:val="20"/>
                <w:szCs w:val="20"/>
              </w:rPr>
              <w:t>1,000.00</w:t>
            </w:r>
          </w:p>
        </w:tc>
        <w:tc>
          <w:tcPr>
            <w:tcW w:w="1574" w:type="dxa"/>
            <w:noWrap/>
          </w:tcPr>
          <w:p w:rsidR="00BF6F01" w:rsidRPr="001A0FB8" w:rsidRDefault="00BF6F01" w:rsidP="00E65587">
            <w:pPr>
              <w:rPr>
                <w:color w:val="000000"/>
                <w:sz w:val="20"/>
                <w:szCs w:val="20"/>
              </w:rPr>
            </w:pPr>
            <w:r w:rsidRPr="001A0FB8">
              <w:rPr>
                <w:color w:val="000000"/>
                <w:sz w:val="20"/>
                <w:szCs w:val="20"/>
              </w:rPr>
              <w:t>1,000.00</w:t>
            </w:r>
          </w:p>
        </w:tc>
        <w:tc>
          <w:tcPr>
            <w:tcW w:w="1575" w:type="dxa"/>
            <w:noWrap/>
          </w:tcPr>
          <w:p w:rsidR="00BF6F01" w:rsidRPr="001A0FB8" w:rsidRDefault="00BF6F01" w:rsidP="00E65587">
            <w:pPr>
              <w:rPr>
                <w:color w:val="000000"/>
                <w:sz w:val="20"/>
                <w:szCs w:val="20"/>
              </w:rPr>
            </w:pPr>
            <w:r w:rsidRPr="001A0FB8">
              <w:rPr>
                <w:color w:val="000000"/>
                <w:sz w:val="20"/>
                <w:szCs w:val="20"/>
              </w:rPr>
              <w:t>3.94</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Reciprocating Engine</w:t>
            </w:r>
          </w:p>
        </w:tc>
        <w:tc>
          <w:tcPr>
            <w:tcW w:w="1574" w:type="dxa"/>
            <w:noWrap/>
          </w:tcPr>
          <w:p w:rsidR="00BF6F01" w:rsidRPr="001A0FB8" w:rsidRDefault="00BF6F01" w:rsidP="00E65587">
            <w:pPr>
              <w:rPr>
                <w:color w:val="000000"/>
                <w:sz w:val="20"/>
                <w:szCs w:val="20"/>
              </w:rPr>
            </w:pPr>
            <w:r w:rsidRPr="001A0FB8">
              <w:rPr>
                <w:color w:val="000000"/>
                <w:sz w:val="20"/>
                <w:szCs w:val="20"/>
              </w:rPr>
              <w:t>487.00</w:t>
            </w:r>
          </w:p>
        </w:tc>
        <w:tc>
          <w:tcPr>
            <w:tcW w:w="1574" w:type="dxa"/>
            <w:noWrap/>
          </w:tcPr>
          <w:p w:rsidR="00BF6F01" w:rsidRPr="001A0FB8" w:rsidRDefault="00BF6F01" w:rsidP="00E65587">
            <w:pPr>
              <w:rPr>
                <w:color w:val="000000"/>
                <w:sz w:val="20"/>
                <w:szCs w:val="20"/>
              </w:rPr>
            </w:pPr>
            <w:r w:rsidRPr="001A0FB8">
              <w:rPr>
                <w:color w:val="000000"/>
                <w:sz w:val="20"/>
                <w:szCs w:val="20"/>
              </w:rPr>
              <w:t>487.00</w:t>
            </w:r>
          </w:p>
        </w:tc>
        <w:tc>
          <w:tcPr>
            <w:tcW w:w="1574" w:type="dxa"/>
            <w:noWrap/>
          </w:tcPr>
          <w:p w:rsidR="00BF6F01" w:rsidRPr="001A0FB8" w:rsidRDefault="00BF6F01" w:rsidP="00E65587">
            <w:pPr>
              <w:rPr>
                <w:color w:val="000000"/>
                <w:sz w:val="20"/>
                <w:szCs w:val="20"/>
              </w:rPr>
            </w:pPr>
            <w:r w:rsidRPr="001A0FB8">
              <w:rPr>
                <w:color w:val="000000"/>
                <w:sz w:val="20"/>
                <w:szCs w:val="20"/>
              </w:rPr>
              <w:t>487.00</w:t>
            </w:r>
          </w:p>
        </w:tc>
        <w:tc>
          <w:tcPr>
            <w:tcW w:w="1575" w:type="dxa"/>
            <w:noWrap/>
          </w:tcPr>
          <w:p w:rsidR="00BF6F01" w:rsidRPr="001A0FB8" w:rsidRDefault="00BF6F01" w:rsidP="00E65587">
            <w:pPr>
              <w:rPr>
                <w:color w:val="000000"/>
                <w:sz w:val="20"/>
                <w:szCs w:val="20"/>
              </w:rPr>
            </w:pPr>
            <w:r w:rsidRPr="001A0FB8">
              <w:rPr>
                <w:color w:val="000000"/>
                <w:sz w:val="20"/>
                <w:szCs w:val="20"/>
              </w:rPr>
              <w:t>5.09</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Simple cycle ≤ 90 MW</w:t>
            </w:r>
          </w:p>
        </w:tc>
        <w:tc>
          <w:tcPr>
            <w:tcW w:w="1574" w:type="dxa"/>
            <w:noWrap/>
          </w:tcPr>
          <w:p w:rsidR="00BF6F01" w:rsidRPr="001A0FB8" w:rsidRDefault="00BF6F01" w:rsidP="00E65587">
            <w:pPr>
              <w:rPr>
                <w:color w:val="000000"/>
                <w:sz w:val="20"/>
                <w:szCs w:val="20"/>
              </w:rPr>
            </w:pPr>
            <w:r w:rsidRPr="001A0FB8">
              <w:rPr>
                <w:color w:val="000000"/>
                <w:sz w:val="20"/>
                <w:szCs w:val="20"/>
              </w:rPr>
              <w:t>2,300.00</w:t>
            </w:r>
          </w:p>
        </w:tc>
        <w:tc>
          <w:tcPr>
            <w:tcW w:w="1574" w:type="dxa"/>
            <w:noWrap/>
          </w:tcPr>
          <w:p w:rsidR="00BF6F01" w:rsidRPr="001A0FB8" w:rsidRDefault="00BF6F01" w:rsidP="00E65587">
            <w:pPr>
              <w:rPr>
                <w:color w:val="000000"/>
                <w:sz w:val="20"/>
                <w:szCs w:val="20"/>
              </w:rPr>
            </w:pPr>
            <w:r w:rsidRPr="001A0FB8">
              <w:rPr>
                <w:color w:val="000000"/>
                <w:sz w:val="20"/>
                <w:szCs w:val="20"/>
              </w:rPr>
              <w:t>2,300.00</w:t>
            </w:r>
          </w:p>
        </w:tc>
        <w:tc>
          <w:tcPr>
            <w:tcW w:w="1574" w:type="dxa"/>
            <w:noWrap/>
          </w:tcPr>
          <w:p w:rsidR="00BF6F01" w:rsidRPr="001A0FB8" w:rsidRDefault="00BF6F01" w:rsidP="00E65587">
            <w:pPr>
              <w:rPr>
                <w:color w:val="000000"/>
                <w:sz w:val="20"/>
                <w:szCs w:val="20"/>
              </w:rPr>
            </w:pPr>
            <w:r w:rsidRPr="001A0FB8">
              <w:rPr>
                <w:color w:val="000000"/>
                <w:sz w:val="20"/>
                <w:szCs w:val="20"/>
              </w:rPr>
              <w:t>2,300.00</w:t>
            </w:r>
          </w:p>
        </w:tc>
        <w:tc>
          <w:tcPr>
            <w:tcW w:w="1575" w:type="dxa"/>
            <w:noWrap/>
          </w:tcPr>
          <w:p w:rsidR="00BF6F01" w:rsidRPr="001A0FB8" w:rsidRDefault="00BF6F01" w:rsidP="00E65587">
            <w:pPr>
              <w:rPr>
                <w:color w:val="000000"/>
                <w:sz w:val="20"/>
                <w:szCs w:val="20"/>
              </w:rPr>
            </w:pPr>
            <w:r w:rsidRPr="001A0FB8">
              <w:rPr>
                <w:color w:val="000000"/>
                <w:sz w:val="20"/>
                <w:szCs w:val="20"/>
              </w:rPr>
              <w:t>3.94</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Simple cycle ≥ 90 MW</w:t>
            </w:r>
          </w:p>
        </w:tc>
        <w:tc>
          <w:tcPr>
            <w:tcW w:w="1574" w:type="dxa"/>
            <w:noWrap/>
          </w:tcPr>
          <w:p w:rsidR="00BF6F01" w:rsidRPr="001A0FB8" w:rsidRDefault="00BF6F01" w:rsidP="00E65587">
            <w:pPr>
              <w:rPr>
                <w:color w:val="000000"/>
                <w:sz w:val="20"/>
                <w:szCs w:val="20"/>
              </w:rPr>
            </w:pPr>
            <w:r w:rsidRPr="001A0FB8">
              <w:rPr>
                <w:color w:val="000000"/>
                <w:sz w:val="20"/>
                <w:szCs w:val="20"/>
              </w:rPr>
              <w:t>5,000.00</w:t>
            </w:r>
          </w:p>
        </w:tc>
        <w:tc>
          <w:tcPr>
            <w:tcW w:w="1574" w:type="dxa"/>
            <w:noWrap/>
          </w:tcPr>
          <w:p w:rsidR="00BF6F01" w:rsidRPr="001A0FB8" w:rsidRDefault="00BF6F01" w:rsidP="00E65587">
            <w:pPr>
              <w:rPr>
                <w:color w:val="000000"/>
                <w:sz w:val="20"/>
                <w:szCs w:val="20"/>
              </w:rPr>
            </w:pPr>
            <w:r w:rsidRPr="001A0FB8">
              <w:rPr>
                <w:color w:val="000000"/>
                <w:sz w:val="20"/>
                <w:szCs w:val="20"/>
              </w:rPr>
              <w:t>5,000.00</w:t>
            </w:r>
          </w:p>
        </w:tc>
        <w:tc>
          <w:tcPr>
            <w:tcW w:w="1574" w:type="dxa"/>
            <w:noWrap/>
          </w:tcPr>
          <w:p w:rsidR="00BF6F01" w:rsidRPr="001A0FB8" w:rsidRDefault="00BF6F01" w:rsidP="00E65587">
            <w:pPr>
              <w:rPr>
                <w:color w:val="000000"/>
                <w:sz w:val="20"/>
                <w:szCs w:val="20"/>
              </w:rPr>
            </w:pPr>
            <w:r w:rsidRPr="001A0FB8">
              <w:rPr>
                <w:color w:val="000000"/>
                <w:sz w:val="20"/>
                <w:szCs w:val="20"/>
              </w:rPr>
              <w:t>5,000.00</w:t>
            </w:r>
          </w:p>
        </w:tc>
        <w:tc>
          <w:tcPr>
            <w:tcW w:w="1575" w:type="dxa"/>
            <w:noWrap/>
          </w:tcPr>
          <w:p w:rsidR="00BF6F01" w:rsidRPr="001A0FB8" w:rsidRDefault="00BF6F01" w:rsidP="00E65587">
            <w:pPr>
              <w:rPr>
                <w:color w:val="000000"/>
                <w:sz w:val="20"/>
                <w:szCs w:val="20"/>
              </w:rPr>
            </w:pPr>
            <w:r w:rsidRPr="001A0FB8">
              <w:rPr>
                <w:color w:val="000000"/>
                <w:sz w:val="20"/>
                <w:szCs w:val="20"/>
              </w:rPr>
              <w:t>3.94</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Combined cycle:  for each  Combined-Cycle Configuration, the Startup Cost for that configuration is the sum of the Startup Costs for each unit within that configuration as follows:</w:t>
            </w:r>
          </w:p>
        </w:tc>
        <w:tc>
          <w:tcPr>
            <w:tcW w:w="1574" w:type="dxa"/>
            <w:noWrap/>
          </w:tcPr>
          <w:p w:rsidR="00BF6F01" w:rsidRPr="001A0FB8" w:rsidRDefault="00BF6F01" w:rsidP="00E65587">
            <w:pPr>
              <w:rPr>
                <w:color w:val="000000"/>
                <w:sz w:val="20"/>
                <w:szCs w:val="20"/>
              </w:rPr>
            </w:pPr>
          </w:p>
        </w:tc>
        <w:tc>
          <w:tcPr>
            <w:tcW w:w="1574" w:type="dxa"/>
            <w:noWrap/>
          </w:tcPr>
          <w:p w:rsidR="00BF6F01" w:rsidRPr="001A0FB8" w:rsidRDefault="00BF6F01" w:rsidP="00E65587">
            <w:pPr>
              <w:rPr>
                <w:color w:val="000000"/>
                <w:sz w:val="20"/>
                <w:szCs w:val="20"/>
              </w:rPr>
            </w:pPr>
          </w:p>
        </w:tc>
        <w:tc>
          <w:tcPr>
            <w:tcW w:w="1574" w:type="dxa"/>
            <w:noWrap/>
          </w:tcPr>
          <w:p w:rsidR="00BF6F01" w:rsidRPr="001A0FB8" w:rsidRDefault="00BF6F01" w:rsidP="00E65587">
            <w:pPr>
              <w:rPr>
                <w:color w:val="000000"/>
                <w:sz w:val="20"/>
                <w:szCs w:val="20"/>
              </w:rPr>
            </w:pPr>
          </w:p>
        </w:tc>
        <w:tc>
          <w:tcPr>
            <w:tcW w:w="1575" w:type="dxa"/>
            <w:noWrap/>
          </w:tcPr>
          <w:p w:rsidR="00BF6F01" w:rsidRPr="001A0FB8" w:rsidRDefault="00BF6F01" w:rsidP="00E65587">
            <w:pPr>
              <w:rPr>
                <w:color w:val="000000"/>
                <w:sz w:val="20"/>
                <w:szCs w:val="20"/>
              </w:rPr>
            </w:pPr>
            <w:r w:rsidRPr="001A0FB8">
              <w:rPr>
                <w:color w:val="000000"/>
                <w:sz w:val="20"/>
                <w:szCs w:val="20"/>
              </w:rPr>
              <w:t>3.19</w:t>
            </w:r>
          </w:p>
        </w:tc>
      </w:tr>
      <w:tr w:rsidR="00BF6F01" w:rsidRPr="001A0FB8" w:rsidTr="00E65587">
        <w:trPr>
          <w:cantSplit/>
          <w:trHeight w:val="279"/>
        </w:trPr>
        <w:tc>
          <w:tcPr>
            <w:tcW w:w="2988" w:type="dxa"/>
            <w:noWrap/>
          </w:tcPr>
          <w:p w:rsidR="00BF6F01" w:rsidRPr="001A0FB8" w:rsidRDefault="00BF6F01" w:rsidP="00E65587">
            <w:pPr>
              <w:ind w:left="360"/>
              <w:rPr>
                <w:color w:val="000000"/>
                <w:sz w:val="20"/>
                <w:szCs w:val="20"/>
              </w:rPr>
            </w:pPr>
            <w:r w:rsidRPr="001A0FB8">
              <w:rPr>
                <w:color w:val="000000"/>
                <w:sz w:val="20"/>
                <w:szCs w:val="20"/>
              </w:rPr>
              <w:t>Combustion turbine &lt; 90MW</w:t>
            </w:r>
          </w:p>
        </w:tc>
        <w:tc>
          <w:tcPr>
            <w:tcW w:w="1574" w:type="dxa"/>
            <w:noWrap/>
          </w:tcPr>
          <w:p w:rsidR="00BF6F01" w:rsidRPr="001A0FB8" w:rsidRDefault="00BF6F01" w:rsidP="00E65587">
            <w:pPr>
              <w:rPr>
                <w:color w:val="000000"/>
                <w:sz w:val="20"/>
                <w:szCs w:val="20"/>
              </w:rPr>
            </w:pPr>
            <w:r w:rsidRPr="001A0FB8">
              <w:rPr>
                <w:color w:val="000000"/>
                <w:sz w:val="20"/>
                <w:szCs w:val="20"/>
              </w:rPr>
              <w:t>2,300.00</w:t>
            </w:r>
          </w:p>
        </w:tc>
        <w:tc>
          <w:tcPr>
            <w:tcW w:w="1574" w:type="dxa"/>
            <w:noWrap/>
          </w:tcPr>
          <w:p w:rsidR="00BF6F01" w:rsidRPr="001A0FB8" w:rsidRDefault="00BF6F01" w:rsidP="00E65587">
            <w:pPr>
              <w:rPr>
                <w:color w:val="000000"/>
                <w:sz w:val="20"/>
                <w:szCs w:val="20"/>
              </w:rPr>
            </w:pPr>
            <w:r w:rsidRPr="001A0FB8">
              <w:rPr>
                <w:color w:val="000000"/>
                <w:sz w:val="20"/>
                <w:szCs w:val="20"/>
              </w:rPr>
              <w:t>2,300.00</w:t>
            </w:r>
          </w:p>
        </w:tc>
        <w:tc>
          <w:tcPr>
            <w:tcW w:w="1574" w:type="dxa"/>
            <w:noWrap/>
          </w:tcPr>
          <w:p w:rsidR="00BF6F01" w:rsidRPr="001A0FB8" w:rsidRDefault="00BF6F01" w:rsidP="00E65587">
            <w:pPr>
              <w:rPr>
                <w:color w:val="000000"/>
                <w:sz w:val="20"/>
                <w:szCs w:val="20"/>
              </w:rPr>
            </w:pPr>
            <w:r w:rsidRPr="001A0FB8">
              <w:rPr>
                <w:color w:val="000000"/>
                <w:sz w:val="20"/>
                <w:szCs w:val="20"/>
              </w:rPr>
              <w:t>2,300.00</w:t>
            </w:r>
          </w:p>
        </w:tc>
        <w:tc>
          <w:tcPr>
            <w:tcW w:w="1575" w:type="dxa"/>
            <w:noWrap/>
          </w:tcPr>
          <w:p w:rsidR="00BF6F01" w:rsidRPr="001A0FB8" w:rsidRDefault="00BF6F01" w:rsidP="00E65587">
            <w:pPr>
              <w:rPr>
                <w:color w:val="000000"/>
                <w:sz w:val="20"/>
                <w:szCs w:val="20"/>
              </w:rPr>
            </w:pPr>
          </w:p>
        </w:tc>
      </w:tr>
      <w:tr w:rsidR="00BF6F01" w:rsidRPr="001A0FB8" w:rsidTr="00E65587">
        <w:trPr>
          <w:cantSplit/>
          <w:trHeight w:val="279"/>
        </w:trPr>
        <w:tc>
          <w:tcPr>
            <w:tcW w:w="2988" w:type="dxa"/>
            <w:noWrap/>
          </w:tcPr>
          <w:p w:rsidR="00BF6F01" w:rsidRPr="001A0FB8" w:rsidRDefault="00BF6F01" w:rsidP="00E65587">
            <w:pPr>
              <w:ind w:left="360"/>
              <w:rPr>
                <w:color w:val="000000"/>
                <w:sz w:val="20"/>
                <w:szCs w:val="20"/>
              </w:rPr>
            </w:pPr>
            <w:r w:rsidRPr="001A0FB8">
              <w:rPr>
                <w:color w:val="000000"/>
                <w:sz w:val="20"/>
                <w:szCs w:val="20"/>
              </w:rPr>
              <w:t>Combustion turbine ≥ 90 MW</w:t>
            </w:r>
          </w:p>
        </w:tc>
        <w:tc>
          <w:tcPr>
            <w:tcW w:w="1574" w:type="dxa"/>
            <w:noWrap/>
          </w:tcPr>
          <w:p w:rsidR="00BF6F01" w:rsidRPr="001A0FB8" w:rsidRDefault="00BF6F01" w:rsidP="00E65587">
            <w:pPr>
              <w:rPr>
                <w:color w:val="000000"/>
                <w:sz w:val="20"/>
                <w:szCs w:val="20"/>
              </w:rPr>
            </w:pPr>
            <w:r w:rsidRPr="001A0FB8">
              <w:rPr>
                <w:color w:val="000000"/>
                <w:sz w:val="20"/>
                <w:szCs w:val="20"/>
              </w:rPr>
              <w:t>5,000.00</w:t>
            </w:r>
          </w:p>
        </w:tc>
        <w:tc>
          <w:tcPr>
            <w:tcW w:w="1574" w:type="dxa"/>
            <w:noWrap/>
          </w:tcPr>
          <w:p w:rsidR="00BF6F01" w:rsidRPr="001A0FB8" w:rsidRDefault="00BF6F01" w:rsidP="00E65587">
            <w:pPr>
              <w:rPr>
                <w:color w:val="000000"/>
                <w:sz w:val="20"/>
                <w:szCs w:val="20"/>
              </w:rPr>
            </w:pPr>
            <w:r w:rsidRPr="001A0FB8">
              <w:rPr>
                <w:color w:val="000000"/>
                <w:sz w:val="20"/>
                <w:szCs w:val="20"/>
              </w:rPr>
              <w:t>5,000.00</w:t>
            </w:r>
          </w:p>
        </w:tc>
        <w:tc>
          <w:tcPr>
            <w:tcW w:w="1574" w:type="dxa"/>
            <w:noWrap/>
          </w:tcPr>
          <w:p w:rsidR="00BF6F01" w:rsidRPr="001A0FB8" w:rsidRDefault="00BF6F01" w:rsidP="00E65587">
            <w:pPr>
              <w:rPr>
                <w:color w:val="000000"/>
                <w:sz w:val="20"/>
                <w:szCs w:val="20"/>
              </w:rPr>
            </w:pPr>
            <w:r w:rsidRPr="001A0FB8">
              <w:rPr>
                <w:color w:val="000000"/>
                <w:sz w:val="20"/>
                <w:szCs w:val="20"/>
              </w:rPr>
              <w:t>5,000.00</w:t>
            </w:r>
          </w:p>
        </w:tc>
        <w:tc>
          <w:tcPr>
            <w:tcW w:w="1575" w:type="dxa"/>
            <w:noWrap/>
          </w:tcPr>
          <w:p w:rsidR="00BF6F01" w:rsidRPr="001A0FB8" w:rsidRDefault="00BF6F01" w:rsidP="00E65587">
            <w:pPr>
              <w:rPr>
                <w:color w:val="000000"/>
                <w:sz w:val="20"/>
                <w:szCs w:val="20"/>
              </w:rPr>
            </w:pPr>
          </w:p>
        </w:tc>
      </w:tr>
      <w:tr w:rsidR="00BF6F01" w:rsidRPr="001A0FB8" w:rsidTr="00E65587">
        <w:trPr>
          <w:cantSplit/>
          <w:trHeight w:val="279"/>
        </w:trPr>
        <w:tc>
          <w:tcPr>
            <w:tcW w:w="2988" w:type="dxa"/>
            <w:noWrap/>
          </w:tcPr>
          <w:p w:rsidR="00BF6F01" w:rsidRPr="001A0FB8" w:rsidRDefault="00BF6F01" w:rsidP="00E65587">
            <w:pPr>
              <w:ind w:left="360"/>
              <w:rPr>
                <w:color w:val="000000"/>
                <w:sz w:val="20"/>
                <w:szCs w:val="20"/>
              </w:rPr>
            </w:pPr>
            <w:r w:rsidRPr="001A0FB8">
              <w:rPr>
                <w:color w:val="000000"/>
                <w:sz w:val="20"/>
                <w:szCs w:val="20"/>
              </w:rPr>
              <w:t>Steam turbine</w:t>
            </w:r>
          </w:p>
        </w:tc>
        <w:tc>
          <w:tcPr>
            <w:tcW w:w="1574" w:type="dxa"/>
            <w:noWrap/>
          </w:tcPr>
          <w:p w:rsidR="00BF6F01" w:rsidRPr="001A0FB8" w:rsidRDefault="00BF6F01" w:rsidP="00E65587">
            <w:pPr>
              <w:rPr>
                <w:color w:val="000000"/>
                <w:sz w:val="20"/>
                <w:szCs w:val="20"/>
              </w:rPr>
            </w:pPr>
            <w:r w:rsidRPr="001A0FB8">
              <w:rPr>
                <w:color w:val="000000"/>
                <w:sz w:val="20"/>
                <w:szCs w:val="20"/>
              </w:rPr>
              <w:t>3,000.00</w:t>
            </w:r>
          </w:p>
        </w:tc>
        <w:tc>
          <w:tcPr>
            <w:tcW w:w="1574" w:type="dxa"/>
            <w:noWrap/>
          </w:tcPr>
          <w:p w:rsidR="00BF6F01" w:rsidRPr="001A0FB8" w:rsidRDefault="00BF6F01" w:rsidP="00E65587">
            <w:pPr>
              <w:rPr>
                <w:color w:val="000000"/>
                <w:sz w:val="20"/>
                <w:szCs w:val="20"/>
              </w:rPr>
            </w:pPr>
            <w:r w:rsidRPr="001A0FB8">
              <w:rPr>
                <w:color w:val="000000"/>
                <w:sz w:val="20"/>
                <w:szCs w:val="20"/>
              </w:rPr>
              <w:t>2,250.00</w:t>
            </w:r>
          </w:p>
        </w:tc>
        <w:tc>
          <w:tcPr>
            <w:tcW w:w="1574" w:type="dxa"/>
            <w:noWrap/>
          </w:tcPr>
          <w:p w:rsidR="00BF6F01" w:rsidRPr="001A0FB8" w:rsidRDefault="00BF6F01" w:rsidP="00E65587">
            <w:pPr>
              <w:rPr>
                <w:color w:val="000000"/>
                <w:sz w:val="20"/>
                <w:szCs w:val="20"/>
              </w:rPr>
            </w:pPr>
            <w:r w:rsidRPr="001A0FB8">
              <w:rPr>
                <w:color w:val="000000"/>
                <w:sz w:val="20"/>
                <w:szCs w:val="20"/>
              </w:rPr>
              <w:t>1,250.00</w:t>
            </w:r>
          </w:p>
        </w:tc>
        <w:tc>
          <w:tcPr>
            <w:tcW w:w="1575" w:type="dxa"/>
            <w:noWrap/>
          </w:tcPr>
          <w:p w:rsidR="00BF6F01" w:rsidRPr="001A0FB8" w:rsidRDefault="00BF6F01" w:rsidP="00E65587">
            <w:pPr>
              <w:rPr>
                <w:color w:val="000000"/>
                <w:sz w:val="20"/>
                <w:szCs w:val="20"/>
              </w:rPr>
            </w:pP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Gas-steam non-reheat boiler</w:t>
            </w:r>
          </w:p>
        </w:tc>
        <w:tc>
          <w:tcPr>
            <w:tcW w:w="1574" w:type="dxa"/>
            <w:noWrap/>
          </w:tcPr>
          <w:p w:rsidR="00BF6F01" w:rsidRPr="001A0FB8" w:rsidRDefault="00BF6F01" w:rsidP="00E65587">
            <w:pPr>
              <w:rPr>
                <w:color w:val="000000"/>
                <w:sz w:val="20"/>
                <w:szCs w:val="20"/>
              </w:rPr>
            </w:pPr>
            <w:r w:rsidRPr="001A0FB8">
              <w:rPr>
                <w:color w:val="000000"/>
                <w:sz w:val="20"/>
                <w:szCs w:val="20"/>
              </w:rPr>
              <w:t>2,310.00</w:t>
            </w:r>
          </w:p>
        </w:tc>
        <w:tc>
          <w:tcPr>
            <w:tcW w:w="1574" w:type="dxa"/>
            <w:noWrap/>
          </w:tcPr>
          <w:p w:rsidR="00BF6F01" w:rsidRPr="001A0FB8" w:rsidRDefault="00BF6F01" w:rsidP="00E65587">
            <w:pPr>
              <w:rPr>
                <w:color w:val="000000"/>
                <w:sz w:val="20"/>
                <w:szCs w:val="20"/>
              </w:rPr>
            </w:pPr>
            <w:r w:rsidRPr="001A0FB8">
              <w:rPr>
                <w:color w:val="000000"/>
                <w:sz w:val="20"/>
                <w:szCs w:val="20"/>
              </w:rPr>
              <w:t>1,732.50</w:t>
            </w:r>
          </w:p>
        </w:tc>
        <w:tc>
          <w:tcPr>
            <w:tcW w:w="1574" w:type="dxa"/>
            <w:noWrap/>
          </w:tcPr>
          <w:p w:rsidR="00BF6F01" w:rsidRPr="001A0FB8" w:rsidRDefault="00BF6F01" w:rsidP="00E65587">
            <w:pPr>
              <w:rPr>
                <w:color w:val="000000"/>
                <w:sz w:val="20"/>
                <w:szCs w:val="20"/>
              </w:rPr>
            </w:pPr>
            <w:r w:rsidRPr="001A0FB8">
              <w:rPr>
                <w:color w:val="000000"/>
                <w:sz w:val="20"/>
                <w:szCs w:val="20"/>
              </w:rPr>
              <w:t>866.25</w:t>
            </w:r>
          </w:p>
        </w:tc>
        <w:tc>
          <w:tcPr>
            <w:tcW w:w="1575" w:type="dxa"/>
            <w:noWrap/>
          </w:tcPr>
          <w:p w:rsidR="00BF6F01" w:rsidRPr="001A0FB8" w:rsidRDefault="00BF6F01" w:rsidP="00E65587">
            <w:pPr>
              <w:rPr>
                <w:color w:val="000000"/>
                <w:sz w:val="20"/>
                <w:szCs w:val="20"/>
              </w:rPr>
            </w:pPr>
            <w:r w:rsidRPr="001A0FB8">
              <w:rPr>
                <w:color w:val="000000"/>
                <w:sz w:val="20"/>
                <w:szCs w:val="20"/>
              </w:rPr>
              <w:t>7.08</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Gas-steam reheat boiler</w:t>
            </w:r>
          </w:p>
        </w:tc>
        <w:tc>
          <w:tcPr>
            <w:tcW w:w="1574" w:type="dxa"/>
            <w:noWrap/>
          </w:tcPr>
          <w:p w:rsidR="00BF6F01" w:rsidRPr="001A0FB8" w:rsidRDefault="00BF6F01" w:rsidP="00E65587">
            <w:pPr>
              <w:rPr>
                <w:color w:val="000000"/>
                <w:sz w:val="20"/>
                <w:szCs w:val="20"/>
              </w:rPr>
            </w:pPr>
            <w:r w:rsidRPr="001A0FB8">
              <w:rPr>
                <w:color w:val="000000"/>
                <w:sz w:val="20"/>
                <w:szCs w:val="20"/>
              </w:rPr>
              <w:t>3,000.00</w:t>
            </w:r>
          </w:p>
        </w:tc>
        <w:tc>
          <w:tcPr>
            <w:tcW w:w="1574" w:type="dxa"/>
            <w:noWrap/>
          </w:tcPr>
          <w:p w:rsidR="00BF6F01" w:rsidRPr="001A0FB8" w:rsidRDefault="00BF6F01" w:rsidP="00E65587">
            <w:pPr>
              <w:rPr>
                <w:color w:val="000000"/>
                <w:sz w:val="20"/>
                <w:szCs w:val="20"/>
              </w:rPr>
            </w:pPr>
            <w:r w:rsidRPr="001A0FB8">
              <w:rPr>
                <w:color w:val="000000"/>
                <w:sz w:val="20"/>
                <w:szCs w:val="20"/>
              </w:rPr>
              <w:t>2,250.00</w:t>
            </w:r>
          </w:p>
        </w:tc>
        <w:tc>
          <w:tcPr>
            <w:tcW w:w="1574" w:type="dxa"/>
            <w:noWrap/>
          </w:tcPr>
          <w:p w:rsidR="00BF6F01" w:rsidRPr="001A0FB8" w:rsidRDefault="00BF6F01" w:rsidP="00E65587">
            <w:pPr>
              <w:rPr>
                <w:color w:val="000000"/>
                <w:sz w:val="20"/>
                <w:szCs w:val="20"/>
              </w:rPr>
            </w:pPr>
            <w:r w:rsidRPr="001A0FB8">
              <w:rPr>
                <w:color w:val="000000"/>
                <w:sz w:val="20"/>
                <w:szCs w:val="20"/>
              </w:rPr>
              <w:t>1,125.00</w:t>
            </w:r>
          </w:p>
        </w:tc>
        <w:tc>
          <w:tcPr>
            <w:tcW w:w="1575" w:type="dxa"/>
            <w:noWrap/>
          </w:tcPr>
          <w:p w:rsidR="00BF6F01" w:rsidRPr="001A0FB8" w:rsidRDefault="00BF6F01" w:rsidP="00E65587">
            <w:pPr>
              <w:rPr>
                <w:color w:val="000000"/>
                <w:sz w:val="20"/>
                <w:szCs w:val="20"/>
              </w:rPr>
            </w:pPr>
            <w:r w:rsidRPr="001A0FB8">
              <w:rPr>
                <w:color w:val="000000"/>
                <w:sz w:val="20"/>
                <w:szCs w:val="20"/>
              </w:rPr>
              <w:t>7.08</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Gas-steam supercritical boiler</w:t>
            </w:r>
          </w:p>
        </w:tc>
        <w:tc>
          <w:tcPr>
            <w:tcW w:w="1574" w:type="dxa"/>
            <w:noWrap/>
          </w:tcPr>
          <w:p w:rsidR="00BF6F01" w:rsidRPr="001A0FB8" w:rsidRDefault="00BF6F01" w:rsidP="00E65587">
            <w:pPr>
              <w:rPr>
                <w:color w:val="000000"/>
                <w:sz w:val="20"/>
                <w:szCs w:val="20"/>
              </w:rPr>
            </w:pPr>
            <w:r w:rsidRPr="001A0FB8">
              <w:rPr>
                <w:color w:val="000000"/>
                <w:sz w:val="20"/>
                <w:szCs w:val="20"/>
              </w:rPr>
              <w:t>4,800.00</w:t>
            </w:r>
          </w:p>
        </w:tc>
        <w:tc>
          <w:tcPr>
            <w:tcW w:w="1574" w:type="dxa"/>
            <w:noWrap/>
          </w:tcPr>
          <w:p w:rsidR="00BF6F01" w:rsidRPr="001A0FB8" w:rsidRDefault="00BF6F01" w:rsidP="00E65587">
            <w:pPr>
              <w:rPr>
                <w:color w:val="000000"/>
                <w:sz w:val="20"/>
                <w:szCs w:val="20"/>
              </w:rPr>
            </w:pPr>
            <w:r w:rsidRPr="001A0FB8">
              <w:rPr>
                <w:color w:val="000000"/>
                <w:sz w:val="20"/>
                <w:szCs w:val="20"/>
              </w:rPr>
              <w:t>3,600.00</w:t>
            </w:r>
          </w:p>
        </w:tc>
        <w:tc>
          <w:tcPr>
            <w:tcW w:w="1574" w:type="dxa"/>
            <w:noWrap/>
          </w:tcPr>
          <w:p w:rsidR="00BF6F01" w:rsidRPr="001A0FB8" w:rsidRDefault="00BF6F01" w:rsidP="00E65587">
            <w:pPr>
              <w:rPr>
                <w:color w:val="000000"/>
                <w:sz w:val="20"/>
                <w:szCs w:val="20"/>
              </w:rPr>
            </w:pPr>
            <w:r w:rsidRPr="001A0FB8">
              <w:rPr>
                <w:color w:val="000000"/>
                <w:sz w:val="20"/>
                <w:szCs w:val="20"/>
              </w:rPr>
              <w:t>1,800.00</w:t>
            </w:r>
          </w:p>
        </w:tc>
        <w:tc>
          <w:tcPr>
            <w:tcW w:w="1575" w:type="dxa"/>
            <w:noWrap/>
          </w:tcPr>
          <w:p w:rsidR="00BF6F01" w:rsidRPr="001A0FB8" w:rsidRDefault="00BF6F01" w:rsidP="00E65587">
            <w:pPr>
              <w:rPr>
                <w:color w:val="000000"/>
                <w:sz w:val="20"/>
                <w:szCs w:val="20"/>
              </w:rPr>
            </w:pPr>
            <w:r w:rsidRPr="001A0FB8">
              <w:rPr>
                <w:color w:val="000000"/>
                <w:sz w:val="20"/>
                <w:szCs w:val="20"/>
              </w:rPr>
              <w:t>7.08</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Nuclear, coal, lignite and hydro</w:t>
            </w:r>
          </w:p>
        </w:tc>
        <w:tc>
          <w:tcPr>
            <w:tcW w:w="1574" w:type="dxa"/>
            <w:noWrap/>
          </w:tcPr>
          <w:p w:rsidR="00BF6F01" w:rsidRPr="001A0FB8" w:rsidRDefault="00BF6F01" w:rsidP="00E65587">
            <w:pPr>
              <w:rPr>
                <w:color w:val="000000"/>
                <w:sz w:val="20"/>
                <w:szCs w:val="20"/>
              </w:rPr>
            </w:pPr>
            <w:r w:rsidRPr="001A0FB8">
              <w:rPr>
                <w:color w:val="000000"/>
                <w:sz w:val="20"/>
                <w:szCs w:val="20"/>
              </w:rPr>
              <w:t>7,200.00</w:t>
            </w:r>
          </w:p>
        </w:tc>
        <w:tc>
          <w:tcPr>
            <w:tcW w:w="1574" w:type="dxa"/>
            <w:noWrap/>
          </w:tcPr>
          <w:p w:rsidR="00BF6F01" w:rsidRPr="001A0FB8" w:rsidRDefault="00BF6F01" w:rsidP="00E65587">
            <w:pPr>
              <w:rPr>
                <w:color w:val="000000"/>
                <w:sz w:val="20"/>
                <w:szCs w:val="20"/>
              </w:rPr>
            </w:pPr>
            <w:r w:rsidRPr="001A0FB8">
              <w:rPr>
                <w:color w:val="000000"/>
                <w:sz w:val="20"/>
                <w:szCs w:val="20"/>
              </w:rPr>
              <w:t>5,400.00</w:t>
            </w:r>
          </w:p>
        </w:tc>
        <w:tc>
          <w:tcPr>
            <w:tcW w:w="1574" w:type="dxa"/>
            <w:noWrap/>
          </w:tcPr>
          <w:p w:rsidR="00BF6F01" w:rsidRPr="001A0FB8" w:rsidRDefault="00BF6F01" w:rsidP="00E65587">
            <w:pPr>
              <w:rPr>
                <w:color w:val="000000"/>
                <w:sz w:val="20"/>
                <w:szCs w:val="20"/>
              </w:rPr>
            </w:pPr>
            <w:r w:rsidRPr="001A0FB8">
              <w:rPr>
                <w:color w:val="000000"/>
                <w:sz w:val="20"/>
                <w:szCs w:val="20"/>
              </w:rPr>
              <w:t>2,700.00</w:t>
            </w:r>
          </w:p>
        </w:tc>
        <w:tc>
          <w:tcPr>
            <w:tcW w:w="1575" w:type="dxa"/>
            <w:noWrap/>
          </w:tcPr>
          <w:p w:rsidR="00BF6F01" w:rsidRPr="001A0FB8" w:rsidRDefault="00BF6F01" w:rsidP="00E65587">
            <w:pPr>
              <w:rPr>
                <w:color w:val="000000"/>
                <w:sz w:val="20"/>
                <w:szCs w:val="20"/>
              </w:rPr>
            </w:pPr>
            <w:r w:rsidRPr="001A0FB8">
              <w:rPr>
                <w:color w:val="000000"/>
                <w:sz w:val="20"/>
                <w:szCs w:val="20"/>
              </w:rPr>
              <w:t>5.02</w:t>
            </w:r>
          </w:p>
        </w:tc>
      </w:tr>
      <w:tr w:rsidR="00BF6F01" w:rsidRPr="001A0FB8" w:rsidTr="00E65587">
        <w:trPr>
          <w:cantSplit/>
          <w:trHeight w:val="279"/>
        </w:trPr>
        <w:tc>
          <w:tcPr>
            <w:tcW w:w="2988" w:type="dxa"/>
            <w:noWrap/>
          </w:tcPr>
          <w:p w:rsidR="00BF6F01" w:rsidRPr="001A0FB8" w:rsidRDefault="00BF6F01" w:rsidP="00E65587">
            <w:pPr>
              <w:rPr>
                <w:color w:val="000000"/>
                <w:sz w:val="20"/>
                <w:szCs w:val="20"/>
              </w:rPr>
            </w:pPr>
            <w:r w:rsidRPr="001A0FB8">
              <w:rPr>
                <w:color w:val="000000"/>
                <w:sz w:val="20"/>
                <w:szCs w:val="20"/>
              </w:rPr>
              <w:t>Renewable</w:t>
            </w:r>
          </w:p>
        </w:tc>
        <w:tc>
          <w:tcPr>
            <w:tcW w:w="1574" w:type="dxa"/>
            <w:noWrap/>
          </w:tcPr>
          <w:p w:rsidR="00BF6F01" w:rsidRPr="001A0FB8" w:rsidRDefault="00BF6F01" w:rsidP="00E65587">
            <w:pPr>
              <w:rPr>
                <w:color w:val="000000"/>
                <w:sz w:val="20"/>
                <w:szCs w:val="20"/>
              </w:rPr>
            </w:pPr>
            <w:r w:rsidRPr="001A0FB8">
              <w:rPr>
                <w:color w:val="000000"/>
                <w:sz w:val="20"/>
                <w:szCs w:val="20"/>
              </w:rPr>
              <w:t>Not Applicable</w:t>
            </w:r>
          </w:p>
        </w:tc>
        <w:tc>
          <w:tcPr>
            <w:tcW w:w="1574" w:type="dxa"/>
            <w:noWrap/>
          </w:tcPr>
          <w:p w:rsidR="00BF6F01" w:rsidRPr="001A0FB8" w:rsidRDefault="00BF6F01" w:rsidP="00E65587">
            <w:pPr>
              <w:rPr>
                <w:color w:val="000000"/>
                <w:sz w:val="20"/>
                <w:szCs w:val="20"/>
              </w:rPr>
            </w:pPr>
            <w:r w:rsidRPr="001A0FB8">
              <w:rPr>
                <w:color w:val="000000"/>
                <w:sz w:val="20"/>
                <w:szCs w:val="20"/>
              </w:rPr>
              <w:t>Not Applicable</w:t>
            </w:r>
          </w:p>
        </w:tc>
        <w:tc>
          <w:tcPr>
            <w:tcW w:w="1574" w:type="dxa"/>
            <w:noWrap/>
          </w:tcPr>
          <w:p w:rsidR="00BF6F01" w:rsidRPr="001A0FB8" w:rsidRDefault="00BF6F01" w:rsidP="00E65587">
            <w:pPr>
              <w:rPr>
                <w:color w:val="000000"/>
                <w:sz w:val="20"/>
                <w:szCs w:val="20"/>
              </w:rPr>
            </w:pPr>
            <w:r w:rsidRPr="001A0FB8">
              <w:rPr>
                <w:color w:val="000000"/>
                <w:sz w:val="20"/>
                <w:szCs w:val="20"/>
              </w:rPr>
              <w:t>Not Applicable</w:t>
            </w:r>
          </w:p>
        </w:tc>
        <w:tc>
          <w:tcPr>
            <w:tcW w:w="1575" w:type="dxa"/>
            <w:noWrap/>
          </w:tcPr>
          <w:p w:rsidR="00BF6F01" w:rsidRPr="001A0FB8" w:rsidRDefault="00BF6F01" w:rsidP="00E65587">
            <w:pPr>
              <w:rPr>
                <w:color w:val="000000"/>
                <w:sz w:val="20"/>
                <w:szCs w:val="20"/>
              </w:rPr>
            </w:pPr>
            <w:r w:rsidRPr="001A0FB8">
              <w:rPr>
                <w:color w:val="000000"/>
                <w:sz w:val="20"/>
                <w:szCs w:val="20"/>
              </w:rPr>
              <w:t>5.50</w:t>
            </w:r>
          </w:p>
        </w:tc>
      </w:tr>
    </w:tbl>
    <w:p w:rsidR="00BF6F01" w:rsidRPr="001A0FB8" w:rsidRDefault="00BF6F01" w:rsidP="00E65587">
      <w:pPr>
        <w:spacing w:before="240" w:after="240"/>
        <w:ind w:left="1440" w:hanging="720"/>
        <w:rPr>
          <w:szCs w:val="20"/>
        </w:rPr>
      </w:pPr>
      <w:r w:rsidRPr="001A0FB8">
        <w:rPr>
          <w:szCs w:val="20"/>
        </w:rPr>
        <w:t>(a)</w:t>
      </w:r>
      <w:r w:rsidRPr="001A0FB8">
        <w:rPr>
          <w:szCs w:val="20"/>
        </w:rPr>
        <w:tab/>
        <w:t>If the QSE or Resource Entity chooses to utilize the standard O&amp;M costs for O&amp;M, standard O&amp;M costs will be used by ERCOT going forward until either:</w:t>
      </w:r>
    </w:p>
    <w:p w:rsidR="00BF6F01" w:rsidRPr="001A0FB8" w:rsidRDefault="00BF6F01" w:rsidP="00E65587">
      <w:pPr>
        <w:spacing w:after="240"/>
        <w:ind w:left="2160" w:hanging="720"/>
        <w:rPr>
          <w:szCs w:val="20"/>
        </w:rPr>
      </w:pPr>
      <w:r w:rsidRPr="001A0FB8">
        <w:rPr>
          <w:szCs w:val="20"/>
        </w:rPr>
        <w:t>(i)</w:t>
      </w:r>
      <w:r w:rsidRPr="001A0FB8">
        <w:rPr>
          <w:szCs w:val="20"/>
        </w:rPr>
        <w:tab/>
        <w:t xml:space="preserve">Verifiable variable O&amp;M costs are filed; or </w:t>
      </w:r>
    </w:p>
    <w:p w:rsidR="00BF6F01" w:rsidRPr="001A0FB8" w:rsidRDefault="00BF6F01" w:rsidP="00E65587">
      <w:pPr>
        <w:spacing w:after="240"/>
        <w:ind w:left="2160" w:hanging="720"/>
        <w:rPr>
          <w:szCs w:val="20"/>
        </w:rPr>
      </w:pPr>
      <w:r w:rsidRPr="001A0FB8">
        <w:rPr>
          <w:szCs w:val="20"/>
        </w:rPr>
        <w:t>(ii)</w:t>
      </w:r>
      <w:r w:rsidRPr="001A0FB8">
        <w:rPr>
          <w:szCs w:val="20"/>
        </w:rPr>
        <w:tab/>
        <w:t>ERCOT notifies the QSE or Resource Entity to update its verifiable costs as set forth in either paragraph (10) or (11) below.  If a Resource is receiving standard O&amp;M costs, it may reelect standard O&amp;M costs when resubmitting verifiable costs.</w:t>
      </w:r>
    </w:p>
    <w:p w:rsidR="00BF6F01" w:rsidRPr="001A0FB8" w:rsidRDefault="00BF6F01" w:rsidP="00E65587">
      <w:pPr>
        <w:spacing w:after="240"/>
        <w:ind w:left="720" w:hanging="720"/>
        <w:rPr>
          <w:szCs w:val="20"/>
        </w:rPr>
      </w:pPr>
      <w:r w:rsidRPr="001A0FB8">
        <w:rPr>
          <w:szCs w:val="20"/>
        </w:rPr>
        <w:t>(7)</w:t>
      </w:r>
      <w:r w:rsidRPr="001A0FB8">
        <w:rPr>
          <w:szCs w:val="20"/>
        </w:rPr>
        <w:tab/>
        <w:t xml:space="preserve">When submitting verifiable costs for combined cycle Resources, the QSE or Resource Entity must elect standard O&amp;M costs for all Combined-Cycle Configurations or verifiable costs for all Combined-Cycle Configurations within the combined cycle train.  </w:t>
      </w:r>
    </w:p>
    <w:p w:rsidR="00BF6F01" w:rsidRPr="001A0FB8" w:rsidRDefault="00BF6F01" w:rsidP="00E65587">
      <w:pPr>
        <w:spacing w:after="240"/>
        <w:ind w:left="720" w:hanging="720"/>
        <w:rPr>
          <w:szCs w:val="20"/>
        </w:rPr>
      </w:pPr>
      <w:r w:rsidRPr="001A0FB8">
        <w:rPr>
          <w:szCs w:val="20"/>
        </w:rPr>
        <w:t>(8)</w:t>
      </w:r>
      <w:r w:rsidRPr="001A0FB8">
        <w:rPr>
          <w:szCs w:val="20"/>
        </w:rPr>
        <w:tab/>
        <w:t>QSEs submitting PPAs as Resource-specific verifiable costs documentation are subject to the guidelines detailed below and in the Verifiable Cost Manual.</w:t>
      </w:r>
    </w:p>
    <w:p w:rsidR="00BF6F01" w:rsidRPr="001A0FB8" w:rsidRDefault="00BF6F01" w:rsidP="00E65587">
      <w:pPr>
        <w:spacing w:before="120" w:after="120"/>
        <w:ind w:left="1440" w:hanging="720"/>
        <w:rPr>
          <w:szCs w:val="20"/>
        </w:rPr>
      </w:pPr>
      <w:r w:rsidRPr="001A0FB8">
        <w:rPr>
          <w:szCs w:val="20"/>
        </w:rPr>
        <w:t>(a)</w:t>
      </w:r>
      <w:r w:rsidRPr="001A0FB8">
        <w:rPr>
          <w:szCs w:val="20"/>
        </w:rPr>
        <w:tab/>
        <w:t>Only QSEs offering Three-Part Supply Offers for a specific Resource may submit a PPA as verifiable costs documentation.</w:t>
      </w:r>
    </w:p>
    <w:p w:rsidR="00BF6F01" w:rsidRPr="001A0FB8" w:rsidRDefault="00BF6F01" w:rsidP="00E65587">
      <w:pPr>
        <w:spacing w:before="120" w:after="120"/>
        <w:ind w:left="1440" w:hanging="720"/>
        <w:rPr>
          <w:szCs w:val="20"/>
        </w:rPr>
      </w:pPr>
      <w:r w:rsidRPr="001A0FB8">
        <w:rPr>
          <w:szCs w:val="20"/>
        </w:rPr>
        <w:t>(b)</w:t>
      </w:r>
      <w:r w:rsidRPr="001A0FB8">
        <w:rPr>
          <w:szCs w:val="20"/>
        </w:rPr>
        <w:tab/>
        <w:t xml:space="preserve">A QSE submitting a PPA as verifiable costs documentation must represent 100% of the Resource’s capacity.  </w:t>
      </w:r>
    </w:p>
    <w:p w:rsidR="00BF6F01" w:rsidRPr="001A0FB8" w:rsidRDefault="00BF6F01" w:rsidP="00E65587">
      <w:pPr>
        <w:spacing w:before="120" w:after="240"/>
        <w:ind w:left="1440" w:hanging="720"/>
      </w:pPr>
      <w:r w:rsidRPr="001A0FB8">
        <w:t>(c)</w:t>
      </w:r>
      <w:r w:rsidRPr="001A0FB8">
        <w:tab/>
        <w:t xml:space="preserve">Only PPAs:  </w:t>
      </w:r>
    </w:p>
    <w:p w:rsidR="00BF6F01" w:rsidRPr="001A0FB8" w:rsidRDefault="00BF6F01" w:rsidP="00E65587">
      <w:pPr>
        <w:spacing w:after="240"/>
        <w:ind w:left="2160" w:hanging="720"/>
      </w:pPr>
      <w:r w:rsidRPr="001A0FB8">
        <w:lastRenderedPageBreak/>
        <w:t xml:space="preserve">(i) </w:t>
      </w:r>
      <w:r w:rsidRPr="001A0FB8">
        <w:tab/>
        <w:t xml:space="preserve">Signed prior to July 16, 2008; and </w:t>
      </w:r>
    </w:p>
    <w:p w:rsidR="00BF6F01" w:rsidRPr="001A0FB8" w:rsidRDefault="00BF6F01" w:rsidP="00E65587">
      <w:pPr>
        <w:spacing w:after="240"/>
        <w:ind w:left="2160" w:hanging="720"/>
      </w:pPr>
      <w:r w:rsidRPr="001A0FB8">
        <w:t xml:space="preserve">(ii) </w:t>
      </w:r>
      <w:r w:rsidRPr="001A0FB8">
        <w:tab/>
        <w:t>Not between Affiliates, subsidiaries or partners will be accepted as verifiable cost documentation.</w:t>
      </w:r>
    </w:p>
    <w:p w:rsidR="00BF6F01" w:rsidRPr="001A0FB8" w:rsidRDefault="00BF6F01" w:rsidP="00E65587">
      <w:pPr>
        <w:spacing w:after="240"/>
        <w:ind w:left="1440" w:hanging="720"/>
      </w:pPr>
      <w:r w:rsidRPr="001A0FB8">
        <w:t>(d)</w:t>
      </w:r>
      <w:r w:rsidRPr="001A0FB8">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rsidR="00BF6F01" w:rsidRPr="001A0FB8" w:rsidRDefault="00BF6F01" w:rsidP="00E65587">
      <w:pPr>
        <w:spacing w:after="240"/>
        <w:ind w:left="1440"/>
      </w:pPr>
      <w:r w:rsidRPr="001A0FB8">
        <w:t xml:space="preserve">(i) </w:t>
      </w:r>
      <w:r w:rsidRPr="001A0FB8">
        <w:tab/>
        <w:t xml:space="preserve">The cap as described in paragraph (d) above; and </w:t>
      </w:r>
    </w:p>
    <w:p w:rsidR="00BF6F01" w:rsidRPr="001A0FB8" w:rsidRDefault="00BF6F01" w:rsidP="00E65587">
      <w:pPr>
        <w:spacing w:after="240"/>
        <w:ind w:left="720" w:firstLine="720"/>
      </w:pPr>
      <w:r w:rsidRPr="001A0FB8">
        <w:t xml:space="preserve">(ii) </w:t>
      </w:r>
      <w:r w:rsidRPr="001A0FB8">
        <w:tab/>
        <w:t>The costs from the PPA.</w:t>
      </w:r>
    </w:p>
    <w:p w:rsidR="00BF6F01" w:rsidRPr="001A0FB8" w:rsidRDefault="00BF6F01" w:rsidP="00E65587">
      <w:pPr>
        <w:spacing w:after="240"/>
        <w:ind w:left="1440" w:hanging="720"/>
      </w:pPr>
      <w:r w:rsidRPr="001A0FB8">
        <w:t>(e)</w:t>
      </w:r>
      <w:r w:rsidRPr="001A0FB8">
        <w:tab/>
        <w:t xml:space="preserve">ERCOT shall use the Resource actual fuel costs submitted by the QSE for startup and operation at minimum-energy level (LSL), and shall use the Resource Category Startup Offer Generic Costs as the cap for the O&amp;M portion of the Startup Costs until ERCOT receives and approves comparable Resource specific verifiable costs.  </w:t>
      </w:r>
    </w:p>
    <w:p w:rsidR="00BF6F01" w:rsidRPr="001A0FB8" w:rsidRDefault="00BF6F01" w:rsidP="00E65587">
      <w:pPr>
        <w:spacing w:after="240"/>
        <w:ind w:left="1440" w:hanging="720"/>
        <w:rPr>
          <w:szCs w:val="20"/>
        </w:rPr>
      </w:pPr>
      <w:r w:rsidRPr="001A0FB8">
        <w:rPr>
          <w:szCs w:val="20"/>
        </w:rPr>
        <w:t>(f)</w:t>
      </w:r>
      <w:r w:rsidRPr="001A0FB8">
        <w:rPr>
          <w:szCs w:val="20"/>
        </w:rPr>
        <w:tab/>
      </w:r>
      <w:r w:rsidRPr="001A0FB8">
        <w:t>PPAs</w:t>
      </w:r>
      <w:r w:rsidRPr="001A0FB8">
        <w:rPr>
          <w:szCs w:val="20"/>
        </w:rPr>
        <w:t xml:space="preserve"> will no longer be accepted as verifiable cost documentation after the primary term of the contract expires. </w:t>
      </w:r>
    </w:p>
    <w:p w:rsidR="00BF6F01" w:rsidRPr="001A0FB8" w:rsidRDefault="00BF6F01" w:rsidP="00E65587">
      <w:pPr>
        <w:spacing w:after="240"/>
        <w:ind w:left="1440" w:hanging="720"/>
        <w:rPr>
          <w:szCs w:val="20"/>
        </w:rPr>
      </w:pPr>
      <w:r w:rsidRPr="001A0FB8">
        <w:rPr>
          <w:szCs w:val="20"/>
        </w:rPr>
        <w:t>(g)</w:t>
      </w:r>
      <w:r w:rsidRPr="001A0FB8">
        <w:rPr>
          <w:szCs w:val="20"/>
        </w:rPr>
        <w:tab/>
      </w:r>
      <w:r w:rsidRPr="001A0FB8">
        <w:t>ERCOT</w:t>
      </w:r>
      <w:r w:rsidRPr="001A0FB8">
        <w:rPr>
          <w:szCs w:val="20"/>
        </w:rPr>
        <w:t xml:space="preserve"> shall produce a report each April that provides the percentage of RUC Make-Whole Payments for Resources with PPAs during the 12 months of the previous calendar year.  The report shall be based on the final Settlements and include the total number of Resources that used a PPA for their most recent verifiable cost submission that was approved by ERCOT.  ERCOT shall present the results of this study to the appropriate Technical Advisory Committee (TAC) subcommittee.</w:t>
      </w:r>
    </w:p>
    <w:p w:rsidR="00BF6F01" w:rsidRPr="001A0FB8" w:rsidRDefault="00BF6F01" w:rsidP="00E65587">
      <w:pPr>
        <w:spacing w:after="240"/>
        <w:ind w:left="1440" w:hanging="720"/>
        <w:rPr>
          <w:szCs w:val="20"/>
        </w:rPr>
      </w:pPr>
      <w:r w:rsidRPr="001A0FB8">
        <w:rPr>
          <w:szCs w:val="20"/>
        </w:rPr>
        <w:t>(h)</w:t>
      </w:r>
      <w:r w:rsidRPr="001A0FB8">
        <w:rPr>
          <w:szCs w:val="20"/>
        </w:rPr>
        <w:tab/>
      </w:r>
      <w:r w:rsidRPr="001A0FB8">
        <w:t>Notwithstanding</w:t>
      </w:r>
      <w:r w:rsidRPr="001A0FB8">
        <w:rPr>
          <w:szCs w:val="20"/>
        </w:rP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sidRPr="001A0FB8">
        <w:rPr>
          <w:color w:val="0000FF"/>
          <w:szCs w:val="20"/>
        </w:rPr>
        <w:t>.</w:t>
      </w:r>
    </w:p>
    <w:p w:rsidR="00BF6F01" w:rsidRPr="001A0FB8" w:rsidRDefault="00BF6F01" w:rsidP="00E65587">
      <w:pPr>
        <w:spacing w:after="240"/>
        <w:ind w:left="720" w:hanging="720"/>
        <w:rPr>
          <w:iCs/>
          <w:szCs w:val="20"/>
        </w:rPr>
      </w:pPr>
      <w:r w:rsidRPr="001A0FB8">
        <w:rPr>
          <w:iCs/>
          <w:szCs w:val="20"/>
        </w:rPr>
        <w:t>(9)</w:t>
      </w:r>
      <w:r w:rsidRPr="001A0FB8">
        <w:rPr>
          <w:iCs/>
          <w:szCs w:val="20"/>
        </w:rPr>
        <w:tab/>
        <w:t>The process for determining the verifiable actual costs must be developed by ERCOT, approved by the appropriate TAC subcommittee, and posted to the ERCOT website within one Business Day after initial approval and after each approved change.</w:t>
      </w:r>
    </w:p>
    <w:p w:rsidR="00BF6F01" w:rsidRPr="001A0FB8" w:rsidRDefault="00BF6F01" w:rsidP="00E65587">
      <w:pPr>
        <w:spacing w:after="240"/>
        <w:ind w:left="720" w:hanging="720"/>
        <w:rPr>
          <w:iCs/>
          <w:szCs w:val="20"/>
        </w:rPr>
      </w:pPr>
      <w:r w:rsidRPr="001A0FB8">
        <w:rPr>
          <w:iCs/>
          <w:szCs w:val="20"/>
        </w:rPr>
        <w:t>(10)</w:t>
      </w:r>
      <w:r w:rsidRPr="001A0FB8">
        <w:rPr>
          <w:iCs/>
          <w:szCs w:val="20"/>
        </w:rP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rsidR="00BF6F01" w:rsidRPr="001A0FB8" w:rsidRDefault="00BF6F01" w:rsidP="00E65587">
      <w:pPr>
        <w:spacing w:after="240"/>
        <w:ind w:left="720" w:hanging="720"/>
        <w:rPr>
          <w:iCs/>
          <w:szCs w:val="20"/>
        </w:rPr>
      </w:pPr>
      <w:r w:rsidRPr="001A0FB8">
        <w:rPr>
          <w:iCs/>
          <w:szCs w:val="20"/>
        </w:rPr>
        <w:lastRenderedPageBreak/>
        <w:t>(11)</w:t>
      </w:r>
      <w:r w:rsidRPr="001A0FB8">
        <w:rPr>
          <w:iCs/>
          <w:szCs w:val="20"/>
        </w:rPr>
        <w:tab/>
        <w:t xml:space="preserve">ERCOT shall notify a QSE to update verifiable cost data of a Resource if at least five years have passed since ERCOT previously approved verifiable cost data for that Resource. </w:t>
      </w:r>
    </w:p>
    <w:p w:rsidR="00BF6F01" w:rsidRPr="001A0FB8" w:rsidRDefault="00BF6F01" w:rsidP="00E65587">
      <w:pPr>
        <w:spacing w:after="240"/>
        <w:ind w:left="720" w:hanging="720"/>
        <w:rPr>
          <w:iCs/>
          <w:szCs w:val="20"/>
        </w:rPr>
      </w:pPr>
      <w:r w:rsidRPr="001A0FB8">
        <w:rPr>
          <w:iCs/>
          <w:szCs w:val="20"/>
        </w:rPr>
        <w:t>(12)</w:t>
      </w:r>
      <w:r w:rsidRPr="001A0FB8">
        <w:rPr>
          <w:iCs/>
          <w:szCs w:val="20"/>
        </w:rPr>
        <w:tab/>
        <w:t>Within 30 days after receiving an update notice from ERCOT under any of paragraphs (10) or (11) above, a QSE or Resource Entity must submit verifiable cost data for the Resource.  Despite the provisions in paragraph (2) above, if the QSE or Resource Entity does not submit verifiable cost data within 30 days after receiving an update notice, then, until updated verifiable costs are approved, ERCOT shall determine payment using the lower of:</w:t>
      </w:r>
    </w:p>
    <w:p w:rsidR="00BF6F01" w:rsidRPr="001A0FB8" w:rsidRDefault="00BF6F01" w:rsidP="00E65587">
      <w:pPr>
        <w:spacing w:after="240"/>
        <w:ind w:left="1440" w:hanging="720"/>
        <w:rPr>
          <w:szCs w:val="20"/>
        </w:rPr>
      </w:pPr>
      <w:r w:rsidRPr="001A0FB8">
        <w:rPr>
          <w:szCs w:val="20"/>
        </w:rPr>
        <w:t>(a)</w:t>
      </w:r>
      <w:r w:rsidRPr="001A0FB8">
        <w:rPr>
          <w:szCs w:val="20"/>
        </w:rPr>
        <w:tab/>
        <w:t xml:space="preserve">Resource Category Startup Generic and Resource Category Minimum-Energy Generic Caps; and </w:t>
      </w:r>
    </w:p>
    <w:p w:rsidR="00BF6F01" w:rsidRPr="001A0FB8" w:rsidRDefault="00BF6F01" w:rsidP="00E65587">
      <w:pPr>
        <w:spacing w:after="240"/>
        <w:ind w:left="1440" w:hanging="720"/>
        <w:rPr>
          <w:szCs w:val="20"/>
        </w:rPr>
      </w:pPr>
      <w:r w:rsidRPr="001A0FB8">
        <w:rPr>
          <w:szCs w:val="20"/>
        </w:rPr>
        <w:t>(b)</w:t>
      </w:r>
      <w:r w:rsidRPr="001A0FB8">
        <w:rPr>
          <w:szCs w:val="20"/>
        </w:rPr>
        <w:tab/>
        <w:t>Current ERCOT-approved verifiable startup and minimum-energy costs.</w:t>
      </w:r>
    </w:p>
    <w:p w:rsidR="00BF6F01" w:rsidRPr="001A0FB8" w:rsidRDefault="00BF6F01" w:rsidP="00E65587">
      <w:pPr>
        <w:spacing w:after="240"/>
        <w:ind w:left="720" w:hanging="720"/>
        <w:rPr>
          <w:szCs w:val="20"/>
        </w:rPr>
      </w:pPr>
      <w:r w:rsidRPr="001A0FB8">
        <w:rPr>
          <w:szCs w:val="20"/>
        </w:rPr>
        <w:t>(13)</w:t>
      </w:r>
      <w:r w:rsidRPr="001A0FB8">
        <w:rPr>
          <w:szCs w:val="20"/>
        </w:rPr>
        <w:tab/>
      </w:r>
      <w:ins w:id="50" w:author="ERCOT" w:date="2011-05-03T14:27:00Z">
        <w:r w:rsidRPr="007019FC">
          <w:rPr>
            <w:szCs w:val="20"/>
          </w:rPr>
          <w:t>Resource</w:t>
        </w:r>
      </w:ins>
      <w:del w:id="51" w:author="ERCOT" w:date="2011-05-03T14:27:00Z">
        <w:r w:rsidRPr="007019FC" w:rsidDel="00D10B91">
          <w:rPr>
            <w:szCs w:val="20"/>
          </w:rPr>
          <w:delText>Generation</w:delText>
        </w:r>
      </w:del>
      <w:r w:rsidRPr="007019FC">
        <w:rPr>
          <w:szCs w:val="20"/>
        </w:rPr>
        <w:t xml:space="preserve"> Entities that represent Reliability-Must Run (RMR) Resources shall submit to ERCOT, Startup and variable</w:t>
      </w:r>
      <w:r w:rsidRPr="001A0FB8">
        <w:rPr>
          <w:szCs w:val="20"/>
        </w:rPr>
        <w:t xml:space="preserve"> O&amp;M Cost estimates to be used by ERCOT as proxies for verifiable Startup Cost and minimum-energy verifiable cost</w:t>
      </w:r>
      <w:r w:rsidRPr="001A0FB8" w:rsidDel="003552D0">
        <w:rPr>
          <w:szCs w:val="20"/>
        </w:rPr>
        <w:t xml:space="preserve"> </w:t>
      </w:r>
      <w:r w:rsidRPr="001A0FB8">
        <w:rPr>
          <w:szCs w:val="20"/>
        </w:rPr>
        <w:t xml:space="preserve">and </w:t>
      </w:r>
      <w:r w:rsidRPr="001A0FB8" w:rsidDel="003552D0">
        <w:rPr>
          <w:szCs w:val="20"/>
        </w:rPr>
        <w:t xml:space="preserve">for </w:t>
      </w:r>
      <w:r w:rsidRPr="001A0FB8">
        <w:rPr>
          <w:szCs w:val="20"/>
        </w:rPr>
        <w:t>S</w:t>
      </w:r>
      <w:r w:rsidRPr="001A0FB8" w:rsidDel="003552D0">
        <w:rPr>
          <w:szCs w:val="20"/>
        </w:rPr>
        <w:t>ettlement.</w:t>
      </w:r>
      <w:r w:rsidRPr="001A0FB8">
        <w:rPr>
          <w:szCs w:val="20"/>
        </w:rPr>
        <w:t xml:space="preserve">  The </w:t>
      </w:r>
      <w:r w:rsidRPr="001A0FB8" w:rsidDel="008547B4">
        <w:rPr>
          <w:szCs w:val="20"/>
        </w:rPr>
        <w:t xml:space="preserve">ERCOT-approved verifiable </w:t>
      </w:r>
      <w:r w:rsidRPr="001A0FB8">
        <w:rPr>
          <w:szCs w:val="20"/>
        </w:rPr>
        <w:t xml:space="preserve">Startup Cost </w:t>
      </w:r>
      <w:r w:rsidRPr="001A0FB8" w:rsidDel="008547B4">
        <w:rPr>
          <w:szCs w:val="20"/>
        </w:rPr>
        <w:t>estimate</w:t>
      </w:r>
      <w:r w:rsidRPr="001A0FB8">
        <w:rPr>
          <w:szCs w:val="20"/>
        </w:rPr>
        <w:t xml:space="preserve"> will equal the startup fuel </w:t>
      </w:r>
      <w:r w:rsidRPr="001A0FB8" w:rsidDel="008547B4">
        <w:rPr>
          <w:szCs w:val="20"/>
        </w:rPr>
        <w:t xml:space="preserve">estimate </w:t>
      </w:r>
      <w:r w:rsidRPr="001A0FB8">
        <w:rPr>
          <w:szCs w:val="20"/>
        </w:rPr>
        <w:t xml:space="preserve">times the sum of the appropriate Fuel Index Price (FIP) or Fuel Oil Price (FOP) and the fuel adder, plus the startup O&amp;M.  The </w:t>
      </w:r>
      <w:r w:rsidRPr="001A0FB8" w:rsidDel="008547B4">
        <w:rPr>
          <w:szCs w:val="20"/>
        </w:rPr>
        <w:t>ERCOT-approved</w:t>
      </w:r>
      <w:r w:rsidRPr="001A0FB8">
        <w:rPr>
          <w:szCs w:val="20"/>
        </w:rPr>
        <w:t xml:space="preserve"> minimum-energy </w:t>
      </w:r>
      <w:r w:rsidRPr="001A0FB8" w:rsidDel="008547B4">
        <w:rPr>
          <w:szCs w:val="20"/>
        </w:rPr>
        <w:t xml:space="preserve">verifiable </w:t>
      </w:r>
      <w:r w:rsidRPr="001A0FB8">
        <w:rPr>
          <w:szCs w:val="20"/>
        </w:rPr>
        <w:t xml:space="preserve">cost </w:t>
      </w:r>
      <w:r w:rsidRPr="001A0FB8" w:rsidDel="008547B4">
        <w:rPr>
          <w:szCs w:val="20"/>
        </w:rPr>
        <w:t xml:space="preserve">estimate </w:t>
      </w:r>
      <w:r w:rsidRPr="001A0FB8">
        <w:rPr>
          <w:szCs w:val="20"/>
        </w:rPr>
        <w:t xml:space="preserve">will equal the heat rate from the RMR </w:t>
      </w:r>
      <w:r w:rsidRPr="001A0FB8" w:rsidDel="003A1CA8">
        <w:rPr>
          <w:szCs w:val="20"/>
        </w:rPr>
        <w:t>Agreement</w:t>
      </w:r>
      <w:r w:rsidRPr="001A0FB8">
        <w:rPr>
          <w:szCs w:val="20"/>
        </w:rPr>
        <w:t xml:space="preserve"> contract times the sum of the appropriate FIP or FOP and the fuel adder, plus the variable O&amp;M.  The O&amp;M cost estimates shall be revised monthly to be consistent with the latest actual costs for the RMR Unit submitted in accordance with Section 3.14.1.12, Reporting Actual Eligible Cost.  The O&amp;M values will be effective until updated costs have been submitted to ERCOT.</w:t>
      </w:r>
    </w:p>
    <w:p w:rsidR="00BF6F01" w:rsidRPr="00D97A3C" w:rsidRDefault="00BF6F01" w:rsidP="00E65587">
      <w:pPr>
        <w:keepNext/>
        <w:tabs>
          <w:tab w:val="left" w:pos="1800"/>
        </w:tabs>
        <w:spacing w:before="240" w:after="240"/>
        <w:ind w:left="1800" w:hanging="1800"/>
        <w:outlineLvl w:val="5"/>
        <w:rPr>
          <w:b/>
          <w:bCs/>
          <w:szCs w:val="22"/>
        </w:rPr>
      </w:pPr>
      <w:r w:rsidRPr="00D97A3C">
        <w:rPr>
          <w:b/>
          <w:bCs/>
          <w:szCs w:val="22"/>
        </w:rPr>
        <w:t>8.1.1.2.1.4</w:t>
      </w:r>
      <w:r w:rsidRPr="00D97A3C">
        <w:rPr>
          <w:b/>
          <w:bCs/>
          <w:szCs w:val="22"/>
        </w:rPr>
        <w:tab/>
        <w:t>Voltage Support Service (VSS)</w:t>
      </w:r>
      <w:bookmarkEnd w:id="43"/>
      <w:bookmarkEnd w:id="44"/>
      <w:r w:rsidRPr="00D97A3C">
        <w:rPr>
          <w:b/>
          <w:bCs/>
          <w:szCs w:val="22"/>
        </w:rPr>
        <w:t xml:space="preserve"> Qualification</w:t>
      </w:r>
      <w:bookmarkEnd w:id="45"/>
    </w:p>
    <w:p w:rsidR="00BF6F01" w:rsidRPr="00D97A3C" w:rsidRDefault="00BF6F01" w:rsidP="00E65587">
      <w:pPr>
        <w:spacing w:after="240"/>
        <w:ind w:left="720" w:hanging="720"/>
        <w:rPr>
          <w:szCs w:val="20"/>
        </w:rPr>
      </w:pPr>
      <w:r w:rsidRPr="00D97A3C">
        <w:rPr>
          <w:szCs w:val="20"/>
        </w:rPr>
        <w:t>(1)</w:t>
      </w:r>
      <w:r w:rsidRPr="00D97A3C">
        <w:rPr>
          <w:szCs w:val="20"/>
        </w:rPr>
        <w:tab/>
        <w:t xml:space="preserve">The </w:t>
      </w:r>
      <w:ins w:id="52" w:author="ERCOT" w:date="2011-05-03T14:27:00Z">
        <w:r w:rsidRPr="007019FC">
          <w:rPr>
            <w:szCs w:val="20"/>
          </w:rPr>
          <w:t>Resource</w:t>
        </w:r>
      </w:ins>
      <w:del w:id="53" w:author="ERCOT" w:date="2011-05-03T14:27:00Z">
        <w:r w:rsidRPr="007019FC" w:rsidDel="00D10B91">
          <w:rPr>
            <w:szCs w:val="20"/>
          </w:rPr>
          <w:delText>Generation</w:delText>
        </w:r>
      </w:del>
      <w:r w:rsidRPr="007019FC">
        <w:rPr>
          <w:szCs w:val="20"/>
        </w:rPr>
        <w:t xml:space="preserve"> Entity must</w:t>
      </w:r>
      <w:r w:rsidRPr="00D97A3C">
        <w:rPr>
          <w:szCs w:val="20"/>
        </w:rPr>
        <w:t xml:space="preserve"> verify and maintain its stated Reactive Power capability for each of its Generation Resources providing VSS, as required by the Operating Guides.  Generation Resources providing VSS reactive capability limits shall be specified considering nominal substation voltage.</w:t>
      </w:r>
    </w:p>
    <w:p w:rsidR="00BF6F01" w:rsidRPr="00D97A3C" w:rsidRDefault="00BF6F01" w:rsidP="00E65587">
      <w:pPr>
        <w:spacing w:after="240"/>
        <w:ind w:left="720" w:hanging="720"/>
        <w:rPr>
          <w:szCs w:val="20"/>
        </w:rPr>
      </w:pPr>
      <w:r w:rsidRPr="00D97A3C">
        <w:rPr>
          <w:szCs w:val="20"/>
        </w:rPr>
        <w:t>(2)</w:t>
      </w:r>
      <w:r w:rsidRPr="00D97A3C">
        <w:rPr>
          <w:szCs w:val="20"/>
        </w:rPr>
        <w:tab/>
        <w:t>The Generation Resource Entity shall conduct reactive capacity qualification tests to verify the maximum leading and lagging reactive capability of all Generation Resources required to provide VSS.  Reactive capability tests are performed on initial qualification and at a minimum of once every two years.  ERCOT may require additional testing if it has information indicating that current data is inaccurate.  The Generation Resource Entity is not obligated to place Generation Resources On-Line solely for the purposes of testing.  The reactive capability tests must be conducted at a time agreed on in advance by the Generation Resource Entity, its QSE, the applicable TSP, and ERCOT.</w:t>
      </w:r>
    </w:p>
    <w:p w:rsidR="00BF6F01" w:rsidRPr="00D97A3C" w:rsidRDefault="00BF6F01" w:rsidP="00E65587">
      <w:pPr>
        <w:spacing w:after="240"/>
        <w:ind w:left="720" w:hanging="720"/>
        <w:rPr>
          <w:szCs w:val="20"/>
        </w:rPr>
      </w:pPr>
      <w:r w:rsidRPr="00D97A3C">
        <w:rPr>
          <w:szCs w:val="20"/>
        </w:rPr>
        <w:t>(3)</w:t>
      </w:r>
      <w:r w:rsidRPr="00D97A3C">
        <w:rPr>
          <w:szCs w:val="20"/>
        </w:rPr>
        <w:tab/>
        <w:t xml:space="preserve">Maximum lagging power factor reactive operating limit must be demonstrated during peak Load Season, at or above 95% of the most currently tested Net Dependable </w:t>
      </w:r>
      <w:r w:rsidRPr="00D97A3C">
        <w:rPr>
          <w:szCs w:val="20"/>
        </w:rPr>
        <w:lastRenderedPageBreak/>
        <w:t>Capability, insofar as system voltage conditions and other factors will allow.  The Generation Resource providing VSS is required to maintain this level of Reactive Power for 15 minutes.</w:t>
      </w:r>
    </w:p>
    <w:p w:rsidR="00BF6F01" w:rsidRPr="00D97A3C" w:rsidRDefault="00BF6F01" w:rsidP="00E65587">
      <w:pPr>
        <w:spacing w:after="240"/>
        <w:ind w:left="720" w:hanging="720"/>
        <w:rPr>
          <w:szCs w:val="20"/>
        </w:rPr>
      </w:pPr>
      <w:r w:rsidRPr="00D97A3C">
        <w:rPr>
          <w:szCs w:val="20"/>
        </w:rPr>
        <w:t>(4)</w:t>
      </w:r>
      <w:r w:rsidRPr="00D97A3C">
        <w:rPr>
          <w:szCs w:val="20"/>
        </w:rPr>
        <w:tab/>
        <w:t>Maximum leading power factor reactive operating limit must be demonstrated during light Load conditions, with the Generation Resource operating at a typical output for that condition, or the normal expected output level for solid fuel Generation Resources during light Load conditions, insofar as system voltage conditions and other factors will allow.  The Resource is required to maintain this level of Reactive Power for 15 minutes.</w:t>
      </w:r>
    </w:p>
    <w:p w:rsidR="00BF6F01" w:rsidRPr="00D97A3C" w:rsidRDefault="00BF6F01" w:rsidP="00E65587">
      <w:pPr>
        <w:spacing w:after="240"/>
        <w:ind w:left="720" w:hanging="720"/>
        <w:rPr>
          <w:szCs w:val="20"/>
        </w:rPr>
      </w:pPr>
      <w:r w:rsidRPr="00D97A3C">
        <w:rPr>
          <w:szCs w:val="20"/>
        </w:rPr>
        <w:t>(5)</w:t>
      </w:r>
      <w:r w:rsidRPr="00D97A3C">
        <w:rPr>
          <w:szCs w:val="20"/>
        </w:rPr>
        <w:tab/>
        <w:t xml:space="preserve">The Generation Resource Entity shall perform the Resource </w:t>
      </w:r>
      <w:smartTag w:uri="urn:schemas-microsoft-com:office:smarttags" w:element="stockticker">
        <w:r w:rsidRPr="00D97A3C">
          <w:rPr>
            <w:szCs w:val="20"/>
          </w:rPr>
          <w:t>AVR</w:t>
        </w:r>
      </w:smartTag>
      <w:r w:rsidRPr="00D97A3C">
        <w:rPr>
          <w:szCs w:val="20"/>
        </w:rPr>
        <w:t xml:space="preserve"> tests and shall supply </w:t>
      </w:r>
      <w:smartTag w:uri="urn:schemas-microsoft-com:office:smarttags" w:element="stockticker">
        <w:r w:rsidRPr="00D97A3C">
          <w:rPr>
            <w:szCs w:val="20"/>
          </w:rPr>
          <w:t>AVR</w:t>
        </w:r>
      </w:smartTag>
      <w:r w:rsidRPr="00D97A3C">
        <w:rPr>
          <w:szCs w:val="20"/>
        </w:rPr>
        <w:t xml:space="preserve"> data as specified in the Operating Guides.  The </w:t>
      </w:r>
      <w:smartTag w:uri="urn:schemas-microsoft-com:office:smarttags" w:element="stockticker">
        <w:r w:rsidRPr="00D97A3C">
          <w:rPr>
            <w:szCs w:val="20"/>
          </w:rPr>
          <w:t>AVR</w:t>
        </w:r>
      </w:smartTag>
      <w:r w:rsidRPr="00D97A3C">
        <w:rPr>
          <w:szCs w:val="20"/>
        </w:rPr>
        <w:t xml:space="preserve"> tests must be performed on initial qualification.  The </w:t>
      </w:r>
      <w:smartTag w:uri="urn:schemas-microsoft-com:office:smarttags" w:element="stockticker">
        <w:r w:rsidRPr="00D97A3C">
          <w:rPr>
            <w:szCs w:val="20"/>
          </w:rPr>
          <w:t>AVR</w:t>
        </w:r>
      </w:smartTag>
      <w:r w:rsidRPr="00D97A3C">
        <w:rPr>
          <w:szCs w:val="20"/>
        </w:rPr>
        <w:t xml:space="preserve"> tests must be conducted at a time agreed on in advance by the Generation Resource Entity, its QSE, the applicable </w:t>
      </w:r>
      <w:smartTag w:uri="urn:schemas-microsoft-com:office:smarttags" w:element="stockticker">
        <w:r w:rsidRPr="00D97A3C">
          <w:rPr>
            <w:szCs w:val="20"/>
          </w:rPr>
          <w:t>TSP</w:t>
        </w:r>
      </w:smartTag>
      <w:r w:rsidRPr="00D97A3C">
        <w:rPr>
          <w:szCs w:val="20"/>
        </w:rPr>
        <w:t xml:space="preserve"> and ERCOT.</w:t>
      </w:r>
    </w:p>
    <w:p w:rsidR="00BF6F01" w:rsidRDefault="00BF6F01" w:rsidP="00E65587">
      <w:pPr>
        <w:pStyle w:val="H3"/>
      </w:pPr>
      <w:bookmarkStart w:id="54" w:name="_Toc273089330"/>
      <w:bookmarkStart w:id="55" w:name="_Toc273509644"/>
      <w:r>
        <w:t>11.2.2</w:t>
      </w:r>
      <w:r>
        <w:tab/>
        <w:t>Data Provision and Verification of Non ERCOT Polled Settlement Metered Points</w:t>
      </w:r>
      <w:bookmarkEnd w:id="54"/>
      <w:bookmarkEnd w:id="55"/>
    </w:p>
    <w:p w:rsidR="00BF6F01" w:rsidRDefault="00BF6F01" w:rsidP="00E65587">
      <w:pPr>
        <w:pStyle w:val="BodyText"/>
        <w:ind w:left="720" w:hanging="720"/>
      </w:pPr>
      <w:r>
        <w:t>(1)</w:t>
      </w:r>
      <w:r>
        <w:tab/>
        <w:t>The TSP and/or DSP will provide data for TSP and/or DSP metered Entities as defined in Section 10, Metering, of these Protocols.</w:t>
      </w:r>
    </w:p>
    <w:p w:rsidR="00BF6F01" w:rsidRDefault="00BF6F01" w:rsidP="00E65587">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rsidR="00BF6F01" w:rsidRDefault="00BF6F01" w:rsidP="00E65587">
      <w:pPr>
        <w:pStyle w:val="BodyText"/>
        <w:ind w:left="720" w:hanging="720"/>
      </w:pPr>
      <w:r>
        <w:t>(3)</w:t>
      </w:r>
      <w:r>
        <w:tab/>
        <w:t>ERCOT will:</w:t>
      </w:r>
    </w:p>
    <w:p w:rsidR="00BF6F01" w:rsidRDefault="00BF6F01" w:rsidP="00E65587">
      <w:pPr>
        <w:pStyle w:val="List"/>
        <w:ind w:left="1440"/>
      </w:pPr>
      <w:r>
        <w:t>(a)</w:t>
      </w:r>
      <w:r>
        <w:tab/>
        <w:t>Provide the TSP and/or DSP a notification of successful/unsuccessful data transfer for the Texas SET meter data submitted.  At the Electric Service Identifier (ESI ID) level, the TSP and/or DSP will be notified of successful and unsuccessful validations;</w:t>
      </w:r>
    </w:p>
    <w:p w:rsidR="00BF6F01" w:rsidRDefault="00BF6F01" w:rsidP="00E65587">
      <w:pPr>
        <w:pStyle w:val="List"/>
        <w:ind w:left="1440"/>
      </w:pPr>
      <w:r>
        <w:t>(b)</w:t>
      </w:r>
      <w:r>
        <w:tab/>
        <w:t xml:space="preserve">Validate that the correct TSP and/or DSP is submitting meter consumption data on an individual ESI ID basis.  At the ESI ID level, the TSP and/or DSP will be notified of unsuccessful validations;  </w:t>
      </w:r>
    </w:p>
    <w:p w:rsidR="00BF6F01" w:rsidRDefault="00BF6F01" w:rsidP="00E65587">
      <w:pPr>
        <w:pStyle w:val="List"/>
        <w:ind w:left="1440"/>
      </w:pPr>
      <w:r>
        <w:t>(c)</w:t>
      </w:r>
      <w:r>
        <w:tab/>
        <w:t>Provide a report to the TSP and/or DSP listing each ESI ID for which ERCOT has not received consumption data for 38 days; and</w:t>
      </w:r>
    </w:p>
    <w:p w:rsidR="00BF6F01" w:rsidRDefault="00BF6F01" w:rsidP="00E65587">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ins w:id="56" w:author="ERCOT" w:date="2011-05-03T14:27:00Z">
        <w:r w:rsidRPr="007019FC">
          <w:t>Resource</w:t>
        </w:r>
      </w:ins>
      <w:del w:id="57" w:author="ERCOT" w:date="2011-05-03T14:27:00Z">
        <w:r w:rsidRPr="007019FC" w:rsidDel="00D10B91">
          <w:delText>Generation</w:delText>
        </w:r>
      </w:del>
      <w:r w:rsidRPr="007019FC">
        <w:t xml:space="preserve"> Entity, and the meter.  DAS will provide versioning to ensure ESI ID characteristic changes are</w:t>
      </w:r>
      <w:r>
        <w:t xml:space="preserve"> time stamped.</w:t>
      </w:r>
    </w:p>
    <w:p w:rsidR="00BF6F01" w:rsidRPr="007E15D6" w:rsidRDefault="00BF6F01" w:rsidP="00E65587">
      <w:pPr>
        <w:keepNext/>
        <w:tabs>
          <w:tab w:val="left" w:pos="1080"/>
        </w:tabs>
        <w:spacing w:before="240" w:after="240"/>
        <w:ind w:left="1080" w:hanging="1080"/>
        <w:outlineLvl w:val="2"/>
        <w:rPr>
          <w:b/>
          <w:bCs/>
          <w:i/>
          <w:szCs w:val="20"/>
        </w:rPr>
      </w:pPr>
      <w:bookmarkStart w:id="58" w:name="_Toc273089359"/>
      <w:bookmarkStart w:id="59" w:name="_Toc273509673"/>
      <w:r w:rsidRPr="007E15D6">
        <w:rPr>
          <w:b/>
          <w:bCs/>
          <w:i/>
          <w:szCs w:val="20"/>
        </w:rPr>
        <w:lastRenderedPageBreak/>
        <w:t>11.5.2</w:t>
      </w:r>
      <w:r w:rsidRPr="007E15D6">
        <w:rPr>
          <w:b/>
          <w:bCs/>
          <w:i/>
          <w:szCs w:val="20"/>
        </w:rPr>
        <w:tab/>
        <w:t>Generation Meter Data Aggregation</w:t>
      </w:r>
      <w:bookmarkEnd w:id="58"/>
      <w:bookmarkEnd w:id="59"/>
    </w:p>
    <w:p w:rsidR="00BF6F01" w:rsidRPr="007E15D6" w:rsidRDefault="00BF6F01" w:rsidP="00E65587">
      <w:pPr>
        <w:spacing w:after="240"/>
      </w:pPr>
      <w:r w:rsidRPr="007E15D6">
        <w:t>ERCOT will perform generation aggregation by the following distinct criteria sets:</w:t>
      </w:r>
    </w:p>
    <w:p w:rsidR="00BF6F01" w:rsidRPr="007E15D6" w:rsidRDefault="00BF6F01" w:rsidP="00E65587">
      <w:pPr>
        <w:spacing w:after="240"/>
        <w:ind w:left="720" w:hanging="720"/>
        <w:rPr>
          <w:szCs w:val="20"/>
        </w:rPr>
      </w:pPr>
      <w:r w:rsidRPr="007E15D6">
        <w:rPr>
          <w:szCs w:val="20"/>
        </w:rPr>
        <w:t>(a)</w:t>
      </w:r>
      <w:r w:rsidRPr="007E15D6">
        <w:rPr>
          <w:szCs w:val="20"/>
        </w:rPr>
        <w:tab/>
        <w:t>By UFE zone: This data set is used in the calculation of UFE in the Load aggregation process; and</w:t>
      </w:r>
    </w:p>
    <w:p w:rsidR="00BF6F01" w:rsidRPr="007E15D6" w:rsidRDefault="00BF6F01" w:rsidP="00E65587">
      <w:pPr>
        <w:spacing w:after="240"/>
        <w:ind w:left="720" w:hanging="720"/>
        <w:rPr>
          <w:szCs w:val="20"/>
        </w:rPr>
      </w:pPr>
      <w:r w:rsidRPr="007019FC">
        <w:rPr>
          <w:szCs w:val="20"/>
        </w:rPr>
        <w:t>(b)</w:t>
      </w:r>
      <w:r w:rsidRPr="007019FC">
        <w:rPr>
          <w:szCs w:val="20"/>
        </w:rPr>
        <w:tab/>
        <w:t xml:space="preserve">By Generation Resource (Resource ID (RID)), by </w:t>
      </w:r>
      <w:ins w:id="60" w:author="ERCOT" w:date="2011-05-03T14:27:00Z">
        <w:r w:rsidRPr="007019FC">
          <w:rPr>
            <w:szCs w:val="20"/>
          </w:rPr>
          <w:t>Resource</w:t>
        </w:r>
      </w:ins>
      <w:del w:id="61" w:author="ERCOT" w:date="2011-05-03T14:27:00Z">
        <w:r w:rsidRPr="007019FC" w:rsidDel="00D10B91">
          <w:rPr>
            <w:szCs w:val="20"/>
          </w:rPr>
          <w:delText>Generation</w:delText>
        </w:r>
      </w:del>
      <w:r w:rsidRPr="007019FC">
        <w:rPr>
          <w:szCs w:val="20"/>
        </w:rPr>
        <w:t xml:space="preserve"> Entities, by QSE and Settlement Point: This data set is passed to the Settlement process for generation imbalance calculations.</w:t>
      </w:r>
    </w:p>
    <w:p w:rsidR="00BF6F01" w:rsidRDefault="00BF6F01">
      <w:pPr>
        <w:jc w:val="center"/>
        <w:rPr>
          <w:b/>
          <w:sz w:val="36"/>
        </w:rPr>
      </w:pPr>
      <w:r>
        <w:rPr>
          <w:b/>
          <w:sz w:val="36"/>
        </w:rPr>
        <w:t>Section 22</w:t>
      </w:r>
    </w:p>
    <w:p w:rsidR="00BF6F01" w:rsidRDefault="00BF6F01" w:rsidP="00E65587">
      <w:pPr>
        <w:jc w:val="center"/>
        <w:rPr>
          <w:b/>
          <w:sz w:val="36"/>
          <w:szCs w:val="36"/>
        </w:rPr>
      </w:pPr>
    </w:p>
    <w:p w:rsidR="00BF6F01" w:rsidRDefault="00BF6F01">
      <w:pPr>
        <w:spacing w:after="240"/>
        <w:jc w:val="center"/>
        <w:rPr>
          <w:b/>
          <w:sz w:val="36"/>
          <w:szCs w:val="36"/>
        </w:rPr>
      </w:pPr>
      <w:r>
        <w:rPr>
          <w:b/>
          <w:sz w:val="36"/>
          <w:szCs w:val="36"/>
        </w:rPr>
        <w:t>Attachment E:  Notification of Suspension of Operations</w:t>
      </w:r>
    </w:p>
    <w:p w:rsidR="00BF6F01" w:rsidRDefault="00BF6F01" w:rsidP="00E65587">
      <w:pPr>
        <w:jc w:val="center"/>
        <w:outlineLvl w:val="0"/>
        <w:rPr>
          <w:b/>
        </w:rPr>
      </w:pPr>
    </w:p>
    <w:p w:rsidR="00BF6F01" w:rsidRDefault="00BF6F01" w:rsidP="00E65587">
      <w:pPr>
        <w:jc w:val="center"/>
        <w:outlineLvl w:val="0"/>
        <w:rPr>
          <w:b/>
        </w:rPr>
      </w:pPr>
    </w:p>
    <w:p w:rsidR="00BF6F01" w:rsidRDefault="00BF6F01">
      <w:pPr>
        <w:pStyle w:val="BodyText"/>
        <w:jc w:val="center"/>
        <w:rPr>
          <w:b/>
          <w:sz w:val="28"/>
          <w:szCs w:val="28"/>
        </w:rPr>
      </w:pPr>
      <w:r>
        <w:rPr>
          <w:b/>
          <w:sz w:val="28"/>
          <w:szCs w:val="28"/>
        </w:rPr>
        <w:t>Notification of Suspension of Operations of a Generation Resource</w:t>
      </w:r>
    </w:p>
    <w:p w:rsidR="00BF6F01" w:rsidRDefault="00BF6F01">
      <w:pPr>
        <w:pStyle w:val="BodyText"/>
        <w:jc w:val="center"/>
        <w:rPr>
          <w:b/>
          <w:i/>
          <w:sz w:val="20"/>
        </w:rPr>
      </w:pPr>
    </w:p>
    <w:p w:rsidR="00BF6F01" w:rsidRDefault="00BF6F01">
      <w:pPr>
        <w:pStyle w:val="BodyText"/>
        <w:rPr>
          <w:sz w:val="20"/>
        </w:rPr>
      </w:pPr>
      <w:r>
        <w:rPr>
          <w:sz w:val="20"/>
        </w:rPr>
        <w:t xml:space="preserve">This Notification is required for providing notification of any Outage of a Generation Resource of greater than 180 days.  Information may be inserted electronically to expand the reply spaces as necessary.  </w:t>
      </w:r>
    </w:p>
    <w:p w:rsidR="00BF6F01" w:rsidRDefault="00BF6F01">
      <w:pPr>
        <w:pStyle w:val="BodyText"/>
        <w:rPr>
          <w:sz w:val="20"/>
        </w:rPr>
      </w:pPr>
      <w:r>
        <w:rPr>
          <w:sz w:val="20"/>
        </w:rPr>
        <w:t xml:space="preserve">The Notification must be signed, notarized and delivered to ERCOT.  Delivery may be accomplished via email to </w:t>
      </w:r>
      <w:hyperlink r:id="rId10" w:history="1">
        <w:r>
          <w:rPr>
            <w:rStyle w:val="Hyperlink"/>
            <w:sz w:val="20"/>
          </w:rPr>
          <w:t>mpappl@ercot.com</w:t>
        </w:r>
      </w:hyperlink>
      <w:r>
        <w:rPr>
          <w:sz w:val="20"/>
        </w:rPr>
        <w:t xml:space="preserve"> (if a scanned copy) or via facsimile (Attention: Market Participant Registration) at (512) 225-7079.  </w:t>
      </w:r>
    </w:p>
    <w:p w:rsidR="00BF6F01" w:rsidRDefault="00BF6F01">
      <w:pPr>
        <w:pStyle w:val="BodyText"/>
        <w:rPr>
          <w:sz w:val="20"/>
        </w:rPr>
      </w:pPr>
      <w:r>
        <w:rPr>
          <w:sz w:val="20"/>
        </w:rPr>
        <w:t>ERCOT may request additional information as reasonably necessary to support operations under the ERCOT Protocols.</w:t>
      </w:r>
    </w:p>
    <w:p w:rsidR="00BF6F01" w:rsidRPr="007019FC" w:rsidRDefault="00BF6F01">
      <w:pPr>
        <w:pStyle w:val="BodyText"/>
      </w:pPr>
      <w:r w:rsidRPr="007019FC">
        <w:t>Part I:</w:t>
      </w:r>
    </w:p>
    <w:p w:rsidR="00BF6F01" w:rsidRDefault="00BF6F01">
      <w:pPr>
        <w:pStyle w:val="BodyText"/>
        <w:tabs>
          <w:tab w:val="right" w:pos="9180"/>
        </w:tabs>
        <w:rPr>
          <w:u w:val="single"/>
        </w:rPr>
      </w:pPr>
      <w:ins w:id="62" w:author="ERCOT" w:date="2011-05-03T14:27:00Z">
        <w:r w:rsidRPr="007019FC">
          <w:rPr>
            <w:szCs w:val="20"/>
          </w:rPr>
          <w:t>Resource</w:t>
        </w:r>
      </w:ins>
      <w:del w:id="63" w:author="ERCOT" w:date="2011-05-03T14:27:00Z">
        <w:r w:rsidRPr="007019FC" w:rsidDel="00D10B91">
          <w:delText>Generation</w:delText>
        </w:r>
      </w:del>
      <w:r w:rsidRPr="007019FC">
        <w:t xml:space="preserve"> Entity:</w:t>
      </w:r>
      <w:r>
        <w:t xml:space="preserve"> </w:t>
      </w:r>
      <w:r>
        <w:rPr>
          <w:u w:val="single"/>
        </w:rPr>
        <w:t>______________________________________________________________</w:t>
      </w:r>
    </w:p>
    <w:p w:rsidR="00BF6F01" w:rsidRDefault="00BF6F01">
      <w:pPr>
        <w:pStyle w:val="BodyText"/>
        <w:rPr>
          <w:u w:val="single"/>
        </w:rPr>
      </w:pPr>
      <w:r>
        <w:rPr>
          <w:u w:val="single"/>
        </w:rPr>
        <w:t>DUNS Number: ____________________________________________________________________</w:t>
      </w:r>
    </w:p>
    <w:p w:rsidR="00BF6F01" w:rsidRDefault="00BF6F01">
      <w:pPr>
        <w:pStyle w:val="BodyText"/>
        <w:rPr>
          <w:u w:val="single"/>
        </w:rPr>
      </w:pPr>
    </w:p>
    <w:p w:rsidR="00BF6F01" w:rsidRDefault="00BF6F01">
      <w:pPr>
        <w:pStyle w:val="BodyText"/>
        <w:rPr>
          <w:u w:val="single"/>
        </w:rPr>
      </w:pPr>
      <w:r>
        <w:t xml:space="preserve">Generation Resource(s) [plant and unit number(s)] </w:t>
      </w:r>
      <w:r>
        <w:rPr>
          <w:u w:val="single"/>
        </w:rPr>
        <w:tab/>
      </w:r>
      <w:r>
        <w:rPr>
          <w:u w:val="single"/>
        </w:rPr>
        <w:tab/>
      </w:r>
      <w:r>
        <w:rPr>
          <w:u w:val="single"/>
        </w:rPr>
        <w:tab/>
      </w:r>
      <w:r>
        <w:rPr>
          <w:u w:val="single"/>
        </w:rPr>
        <w:tab/>
      </w:r>
      <w:r>
        <w:rPr>
          <w:u w:val="single"/>
        </w:rPr>
        <w:tab/>
      </w:r>
      <w:r>
        <w:rPr>
          <w:u w:val="single"/>
        </w:rPr>
        <w:tab/>
      </w:r>
    </w:p>
    <w:p w:rsidR="00BF6F01" w:rsidRPr="007019FC" w:rsidRDefault="00BF6F01">
      <w:pPr>
        <w:pStyle w:val="BodyText"/>
      </w:pPr>
      <w:r>
        <w:t>As of ___________ [date],</w:t>
      </w:r>
      <w:r>
        <w:rPr>
          <w:rStyle w:val="FootnoteReference"/>
        </w:rPr>
        <w:footnoteReference w:id="1"/>
      </w:r>
      <w:r>
        <w:t xml:space="preserve"> the Generation Resource(s) will be unavailable for Dispatch by ERCOT </w:t>
      </w:r>
      <w:r w:rsidRPr="007019FC">
        <w:t xml:space="preserve">because </w:t>
      </w:r>
      <w:ins w:id="64" w:author="ERCOT" w:date="2011-05-03T14:27:00Z">
        <w:r w:rsidRPr="007019FC">
          <w:rPr>
            <w:szCs w:val="20"/>
          </w:rPr>
          <w:t>Resource</w:t>
        </w:r>
      </w:ins>
      <w:del w:id="65" w:author="ERCOT" w:date="2011-05-03T14:27:00Z">
        <w:r w:rsidRPr="007019FC" w:rsidDel="00D10B91">
          <w:delText>Generation</w:delText>
        </w:r>
      </w:del>
      <w:r w:rsidRPr="007019FC">
        <w:t xml:space="preserve"> Entity will [check one]</w:t>
      </w:r>
    </w:p>
    <w:p w:rsidR="00BF6F01" w:rsidRPr="007019FC" w:rsidRDefault="00BF6F01">
      <w:pPr>
        <w:pStyle w:val="List2"/>
      </w:pPr>
      <w:r w:rsidRPr="007019FC">
        <w:lastRenderedPageBreak/>
        <w:t>[ ]</w:t>
      </w:r>
      <w:r w:rsidRPr="007019FC">
        <w:tab/>
        <w:t>decommission and retire the Generation Resource(s) permanently,</w:t>
      </w:r>
      <w:r w:rsidRPr="007019FC">
        <w:rPr>
          <w:rStyle w:val="FootnoteReference"/>
        </w:rPr>
        <w:footnoteReference w:id="2"/>
      </w:r>
    </w:p>
    <w:p w:rsidR="00BF6F01" w:rsidRPr="007019FC" w:rsidRDefault="00BF6F01">
      <w:pPr>
        <w:pStyle w:val="List2"/>
      </w:pPr>
      <w:r w:rsidRPr="007019FC">
        <w:t>[ ]</w:t>
      </w:r>
      <w:r w:rsidRPr="007019FC">
        <w:tab/>
        <w:t>suspend operation (</w:t>
      </w:r>
      <w:r w:rsidRPr="007019FC">
        <w:rPr>
          <w:i/>
        </w:rPr>
        <w:t>i.e.</w:t>
      </w:r>
      <w:r w:rsidRPr="007019FC">
        <w:t>, mothball) of the Generation Resource(s) for a period of not less than _________ months and not greater than ______ months, or</w:t>
      </w:r>
    </w:p>
    <w:p w:rsidR="00BF6F01" w:rsidRPr="007019FC" w:rsidRDefault="00BF6F01">
      <w:pPr>
        <w:pStyle w:val="List2"/>
      </w:pPr>
      <w:r w:rsidRPr="007019FC">
        <w:t>[ ]</w:t>
      </w:r>
      <w:r w:rsidRPr="007019FC">
        <w:tab/>
        <w:t>suspend operation (</w:t>
      </w:r>
      <w:r w:rsidRPr="007019FC">
        <w:rPr>
          <w:i/>
        </w:rPr>
        <w:t>i.e.</w:t>
      </w:r>
      <w:r w:rsidRPr="007019FC">
        <w:t>, mothball) of the Generation Resource(s) indefinitely, or</w:t>
      </w:r>
    </w:p>
    <w:p w:rsidR="00BF6F01" w:rsidRPr="007019FC" w:rsidRDefault="00BF6F01">
      <w:pPr>
        <w:pStyle w:val="List2"/>
      </w:pPr>
      <w:r w:rsidRPr="007019FC">
        <w:t>[ ]</w:t>
      </w:r>
      <w:r w:rsidRPr="007019FC">
        <w:tab/>
        <w:t xml:space="preserve">suspend operation of the Generation Resource(s) due to a Forced Outage.  </w:t>
      </w:r>
      <w:ins w:id="66" w:author="ERCOT" w:date="2011-05-03T14:27:00Z">
        <w:r w:rsidRPr="007019FC">
          <w:t>Resource</w:t>
        </w:r>
      </w:ins>
      <w:del w:id="67" w:author="ERCOT" w:date="2011-05-03T14:27:00Z">
        <w:r w:rsidRPr="007019FC" w:rsidDel="00D10B91">
          <w:delText>Generation</w:delText>
        </w:r>
      </w:del>
      <w:r w:rsidRPr="007019FC">
        <w:t xml:space="preserve"> Entity intends to bring the Generation Resource(s) back to service on ___________ [date].</w:t>
      </w:r>
    </w:p>
    <w:p w:rsidR="00BF6F01" w:rsidRPr="007019FC" w:rsidRDefault="00BF6F01">
      <w:pPr>
        <w:pStyle w:val="List2"/>
      </w:pPr>
      <w:r w:rsidRPr="007019FC">
        <w:t xml:space="preserve">Unless the Generation Resource(s) will be decommissioned and retired the estimated time to return the suspended Generation Resource(s) to service is _________ months.  </w:t>
      </w:r>
    </w:p>
    <w:p w:rsidR="00BF6F01" w:rsidRDefault="00BF6F01">
      <w:pPr>
        <w:pStyle w:val="BodyText"/>
      </w:pPr>
      <w:r w:rsidRPr="007019FC">
        <w:t xml:space="preserve">[ ] Check if applicable.  </w:t>
      </w:r>
      <w:ins w:id="68" w:author="ERCOT" w:date="2011-05-03T14:27:00Z">
        <w:r w:rsidRPr="007019FC">
          <w:rPr>
            <w:szCs w:val="20"/>
          </w:rPr>
          <w:t>Resource</w:t>
        </w:r>
      </w:ins>
      <w:del w:id="69" w:author="ERCOT" w:date="2011-05-03T14:27:00Z">
        <w:r w:rsidRPr="007019FC" w:rsidDel="00D10B91">
          <w:delText>Generation</w:delText>
        </w:r>
      </w:del>
      <w:r w:rsidRPr="007019FC">
        <w:t xml:space="preserve"> Entity believes that this Generation Resource(s) is inoperable due to emissions limitations or not being repairable.</w:t>
      </w:r>
      <w:r>
        <w:t xml:space="preserve"> </w:t>
      </w:r>
    </w:p>
    <w:p w:rsidR="00BF6F01" w:rsidRDefault="00BF6F01">
      <w:pPr>
        <w:pStyle w:val="BodyText"/>
      </w:pPr>
      <w:r>
        <w:br w:type="page"/>
      </w:r>
      <w:r>
        <w:lastRenderedPageBreak/>
        <w:t>The Generation Resource(s) is further described as follows:</w:t>
      </w:r>
    </w:p>
    <w:p w:rsidR="00BF6F01" w:rsidRDefault="00BF6F01">
      <w:pPr>
        <w:pStyle w:val="BodyTextIndent"/>
      </w:pPr>
      <w:r>
        <w:t xml:space="preserve">Location: </w:t>
      </w:r>
      <w:smartTag w:uri="urn:schemas-microsoft-com:office:smarttags" w:element="place">
        <w:smartTag w:uri="urn:schemas-microsoft-com:office:smarttags" w:element="City">
          <w:r>
            <w:t>___________ County</w:t>
          </w:r>
        </w:smartTag>
        <w:r>
          <w:t xml:space="preserve">, </w:t>
        </w:r>
        <w:smartTag w:uri="urn:schemas-microsoft-com:office:smarttags" w:element="State">
          <w:r>
            <w:t>Texas</w:t>
          </w:r>
        </w:smartTag>
      </w:smartTag>
    </w:p>
    <w:p w:rsidR="00BF6F01" w:rsidRDefault="00BF6F01">
      <w:pPr>
        <w:pStyle w:val="BodyTextIndent"/>
      </w:pPr>
      <w:r>
        <w:t>Number and type of generating unit(s) ____</w:t>
      </w:r>
    </w:p>
    <w:p w:rsidR="00BF6F01" w:rsidRDefault="00BF6F01">
      <w:pPr>
        <w:pStyle w:val="BodyTextIndent"/>
      </w:pPr>
      <w:r>
        <w:t>Reliability Must-Run (RMR) capacity in MW: _____</w:t>
      </w:r>
    </w:p>
    <w:p w:rsidR="00BF6F01" w:rsidRDefault="00BF6F01">
      <w:pPr>
        <w:pStyle w:val="BodyTextIndent"/>
      </w:pPr>
      <w:r>
        <w:t>A.  Power Factor (P. F.) Lagging</w:t>
      </w:r>
    </w:p>
    <w:p w:rsidR="00BF6F01" w:rsidRDefault="00BF6F01">
      <w:pPr>
        <w:pStyle w:val="List3"/>
      </w:pPr>
      <w:r>
        <w:t>(i)</w:t>
      </w:r>
      <w:r>
        <w:tab/>
        <w:t>_____ P.F. (at generator main leads); and</w:t>
      </w:r>
    </w:p>
    <w:p w:rsidR="00BF6F01" w:rsidRDefault="00BF6F01">
      <w:pPr>
        <w:pStyle w:val="List3"/>
      </w:pPr>
      <w:r>
        <w:t>(ii)</w:t>
      </w:r>
      <w:r>
        <w:tab/>
        <w:t>_____ P.F. (at high side of main power transformer)</w:t>
      </w:r>
    </w:p>
    <w:p w:rsidR="00BF6F01" w:rsidRDefault="00BF6F01" w:rsidP="00E65587">
      <w:pPr>
        <w:pStyle w:val="BodyTextIndent"/>
        <w:ind w:firstLine="720"/>
      </w:pPr>
      <w:r>
        <w:t>Power Factor Leading</w:t>
      </w:r>
    </w:p>
    <w:p w:rsidR="00BF6F01" w:rsidRDefault="00BF6F01">
      <w:pPr>
        <w:pStyle w:val="List3"/>
      </w:pPr>
      <w:r>
        <w:t>(i)</w:t>
      </w:r>
      <w:r>
        <w:tab/>
        <w:t>_____ P.F. (at generator main leads); and</w:t>
      </w:r>
    </w:p>
    <w:p w:rsidR="00BF6F01" w:rsidRDefault="00BF6F01">
      <w:pPr>
        <w:pStyle w:val="List3"/>
      </w:pPr>
      <w:r>
        <w:t>(ii)</w:t>
      </w:r>
      <w:r>
        <w:tab/>
        <w:t>_____ P.F. (at high side of main power transformer)</w:t>
      </w:r>
    </w:p>
    <w:p w:rsidR="00BF6F01" w:rsidRDefault="00BF6F01">
      <w:pPr>
        <w:pStyle w:val="BodyTextIndent"/>
      </w:pPr>
      <w:r>
        <w:t>Delivery Point: ____________________________</w:t>
      </w:r>
    </w:p>
    <w:p w:rsidR="00BF6F01" w:rsidRDefault="00BF6F01">
      <w:pPr>
        <w:pStyle w:val="BodyTextIndent"/>
      </w:pPr>
      <w:r>
        <w:t>B.  Revenue Meter Location (use Resource IDs (RIDs)): __________________________</w:t>
      </w:r>
    </w:p>
    <w:p w:rsidR="00BF6F01" w:rsidRDefault="00BF6F01">
      <w:pPr>
        <w:pStyle w:val="BodyTextIndent"/>
      </w:pPr>
      <w:r>
        <w:t>Operational and Environmental Limitations (check and describe all that apply):</w:t>
      </w:r>
    </w:p>
    <w:p w:rsidR="00BF6F01" w:rsidRDefault="00BF6F01">
      <w:pPr>
        <w:pStyle w:val="List2"/>
      </w:pPr>
      <w:r>
        <w:t>(a)</w:t>
      </w:r>
      <w:r>
        <w:tab/>
        <w:t>Operational:</w:t>
      </w:r>
    </w:p>
    <w:p w:rsidR="00BF6F01" w:rsidRDefault="00BF6F01">
      <w:pPr>
        <w:pStyle w:val="List3"/>
      </w:pPr>
      <w:r>
        <w:t>( Maximum annual hours of operation: _________________</w:t>
      </w:r>
    </w:p>
    <w:p w:rsidR="00BF6F01" w:rsidRDefault="00BF6F01">
      <w:pPr>
        <w:pStyle w:val="List3"/>
      </w:pPr>
      <w:r>
        <w:t>( Maximum annual MWhs: ___________________________</w:t>
      </w:r>
    </w:p>
    <w:p w:rsidR="00BF6F01" w:rsidRDefault="00BF6F01">
      <w:pPr>
        <w:pStyle w:val="List3"/>
      </w:pPr>
      <w:r>
        <w:sym w:font="Wingdings" w:char="F0A8"/>
      </w:r>
      <w:r>
        <w:t xml:space="preserve"> Maximum annual starts: ___________________________ </w:t>
      </w:r>
    </w:p>
    <w:p w:rsidR="00BF6F01" w:rsidRDefault="00BF6F01">
      <w:pPr>
        <w:pStyle w:val="List3"/>
      </w:pPr>
      <w:r>
        <w:sym w:font="Wingdings" w:char="F0A8"/>
      </w:r>
      <w:r>
        <w:t xml:space="preserve"> Other: __________________________________________ </w:t>
      </w:r>
    </w:p>
    <w:p w:rsidR="00BF6F01" w:rsidRDefault="00BF6F01">
      <w:pPr>
        <w:pStyle w:val="List2"/>
      </w:pPr>
      <w:r>
        <w:t>(b)</w:t>
      </w:r>
      <w:r>
        <w:tab/>
        <w:t>Environmental:</w:t>
      </w:r>
    </w:p>
    <w:p w:rsidR="00BF6F01" w:rsidRDefault="00BF6F01">
      <w:pPr>
        <w:pStyle w:val="List3"/>
      </w:pPr>
      <w:r>
        <w:sym w:font="Wingdings" w:char="F0A8"/>
      </w:r>
      <w:r>
        <w:t xml:space="preserve"> Maximum annual NOx emission: ____________________</w:t>
      </w:r>
    </w:p>
    <w:p w:rsidR="00BF6F01" w:rsidRDefault="00BF6F01">
      <w:pPr>
        <w:pStyle w:val="List3"/>
      </w:pPr>
      <w:r>
        <w:sym w:font="Wingdings" w:char="F0A8"/>
      </w:r>
      <w:r>
        <w:t xml:space="preserve"> Maximum annual SO2 emission: ____________________</w:t>
      </w:r>
    </w:p>
    <w:p w:rsidR="00BF6F01" w:rsidRDefault="00BF6F01">
      <w:pPr>
        <w:pStyle w:val="List3"/>
      </w:pPr>
      <w:r>
        <w:sym w:font="Wingdings" w:char="F0A8"/>
      </w:r>
      <w:r>
        <w:t xml:space="preserve"> Other: __________________________________________</w:t>
      </w:r>
    </w:p>
    <w:p w:rsidR="00BF6F01" w:rsidRDefault="00BF6F01">
      <w:r>
        <w:rPr>
          <w:iCs/>
        </w:rPr>
        <w:br w:type="page"/>
      </w:r>
    </w:p>
    <w:p w:rsidR="00BF6F01" w:rsidRDefault="00BF6F01" w:rsidP="00E65587">
      <w:pPr>
        <w:pStyle w:val="BodyTextIndent"/>
        <w:ind w:left="0"/>
      </w:pPr>
      <w:r>
        <w:t>Part II:</w:t>
      </w:r>
    </w:p>
    <w:p w:rsidR="00BF6F01" w:rsidRDefault="00BF6F01" w:rsidP="00E65587">
      <w:pPr>
        <w:pStyle w:val="BodyTextIndent"/>
        <w:ind w:left="0"/>
      </w:pPr>
      <w:r>
        <w:t>Excess Energy Payment Option (A or B)  ______</w:t>
      </w:r>
    </w:p>
    <w:p w:rsidR="00BF6F01" w:rsidRDefault="00BF6F01" w:rsidP="00E65587">
      <w:pPr>
        <w:pStyle w:val="BodyTextIndent"/>
        <w:ind w:left="0"/>
      </w:pPr>
      <w:r>
        <w:t>Proposed RMR Energy Price: ____________($/MMBtu)</w:t>
      </w:r>
    </w:p>
    <w:p w:rsidR="00BF6F01" w:rsidRDefault="00BF6F01">
      <w:pPr>
        <w:pStyle w:val="Spaceafterbox"/>
      </w:pPr>
      <w:r>
        <w:t xml:space="preserve">Proposed Standby Price ($/MW): ____________  </w:t>
      </w:r>
    </w:p>
    <w:p w:rsidR="00BF6F01" w:rsidRDefault="00BF6F01">
      <w:pPr>
        <w:pStyle w:val="Spaceafterbox"/>
        <w:numPr>
          <w:ins w:id="70" w:author="ERCOT" w:date="2008-03-03T13:18:00Z"/>
        </w:numPr>
      </w:pPr>
    </w:p>
    <w:p w:rsidR="00BF6F01" w:rsidRDefault="00BF6F01">
      <w:pPr>
        <w:pStyle w:val="BodyText"/>
      </w:pPr>
      <w:r>
        <w:t>I understand and agree that this Notification is not confidential and does not constitute Protected Information under the ERCOT Protocols.  This Notification is not intended to constitute an offer to enter into a binding Agreement, but is intended only as an offer to negotiate the terms of such an Agreement, in accordance with the ERCOT Protocols.</w:t>
      </w:r>
    </w:p>
    <w:p w:rsidR="00BF6F01" w:rsidRPr="007019FC" w:rsidRDefault="00BF6F01">
      <w:pPr>
        <w:pStyle w:val="BodyText"/>
      </w:pPr>
      <w:r>
        <w:t xml:space="preserve">Unless the above </w:t>
      </w:r>
      <w:r w:rsidRPr="007019FC">
        <w:t xml:space="preserve">Generation Resource(s) is inoperable due to emissions limitations or not being repairable, I certify that </w:t>
      </w:r>
      <w:ins w:id="71" w:author="ERCOT" w:date="2011-05-03T14:27:00Z">
        <w:r w:rsidRPr="007019FC">
          <w:rPr>
            <w:szCs w:val="20"/>
          </w:rPr>
          <w:t>Resource</w:t>
        </w:r>
      </w:ins>
      <w:del w:id="72" w:author="ERCOT" w:date="2011-05-03T14:27:00Z">
        <w:r w:rsidRPr="007019FC" w:rsidDel="00D10B91">
          <w:delText>Generation</w:delText>
        </w:r>
      </w:del>
      <w:r w:rsidRPr="007019FC">
        <w:t xml:space="preserve"> Entity is willing to consider entering into an RMR Agreement for the Generation Resource(s).</w:t>
      </w:r>
    </w:p>
    <w:p w:rsidR="00BF6F01" w:rsidRDefault="00BF6F01">
      <w:pPr>
        <w:pStyle w:val="BodyText"/>
      </w:pPr>
      <w:r w:rsidRPr="007019FC">
        <w:t xml:space="preserve">The undersigned certifies that I am an officer of </w:t>
      </w:r>
      <w:ins w:id="73" w:author="ERCOT" w:date="2011-05-03T14:27:00Z">
        <w:r w:rsidRPr="007019FC">
          <w:rPr>
            <w:szCs w:val="20"/>
          </w:rPr>
          <w:t>Resource</w:t>
        </w:r>
      </w:ins>
      <w:del w:id="74" w:author="ERCOT" w:date="2011-05-03T14:27:00Z">
        <w:r w:rsidRPr="007019FC" w:rsidDel="00D10B91">
          <w:delText>Generation</w:delText>
        </w:r>
      </w:del>
      <w:r w:rsidRPr="007019FC">
        <w:t xml:space="preserve"> Entity, that I am authorized to execute and submit this Notification on behalf of </w:t>
      </w:r>
      <w:ins w:id="75" w:author="ERCOT" w:date="2011-05-03T14:27:00Z">
        <w:r w:rsidRPr="007019FC">
          <w:rPr>
            <w:szCs w:val="20"/>
          </w:rPr>
          <w:t>Resource</w:t>
        </w:r>
      </w:ins>
      <w:del w:id="76" w:author="ERCOT" w:date="2011-05-03T14:27:00Z">
        <w:r w:rsidRPr="007019FC" w:rsidDel="00D10B91">
          <w:delText>Generation</w:delText>
        </w:r>
      </w:del>
      <w:r w:rsidRPr="007019FC">
        <w:t xml:space="preserve"> Entity, and that the statements contained herein are true and correct.</w:t>
      </w:r>
    </w:p>
    <w:p w:rsidR="00BF6F01" w:rsidRDefault="00BF6F01">
      <w:pPr>
        <w:pStyle w:val="BodyText"/>
        <w:rPr>
          <w:u w:val="single"/>
        </w:rPr>
      </w:pPr>
      <w:r>
        <w:rPr>
          <w:u w:val="single"/>
        </w:rPr>
        <w:tab/>
      </w:r>
      <w:r>
        <w:rPr>
          <w:u w:val="single"/>
        </w:rPr>
        <w:tab/>
      </w:r>
      <w:r>
        <w:rPr>
          <w:u w:val="single"/>
        </w:rPr>
        <w:tab/>
      </w:r>
      <w:r>
        <w:rPr>
          <w:u w:val="single"/>
        </w:rPr>
        <w:tab/>
      </w:r>
      <w:r>
        <w:rPr>
          <w:u w:val="single"/>
        </w:rPr>
        <w:tab/>
      </w:r>
      <w:r>
        <w:rPr>
          <w:u w:val="single"/>
        </w:rPr>
        <w:tab/>
      </w:r>
    </w:p>
    <w:p w:rsidR="00BF6F01" w:rsidRDefault="00BF6F01">
      <w:pPr>
        <w:pStyle w:val="BodyText"/>
      </w:pPr>
      <w:r>
        <w:t xml:space="preserve">Name:  </w:t>
      </w:r>
      <w:r>
        <w:rPr>
          <w:u w:val="single"/>
        </w:rPr>
        <w:tab/>
      </w:r>
      <w:r>
        <w:rPr>
          <w:u w:val="single"/>
        </w:rPr>
        <w:tab/>
      </w:r>
      <w:r>
        <w:rPr>
          <w:u w:val="single"/>
        </w:rPr>
        <w:tab/>
      </w:r>
      <w:r>
        <w:rPr>
          <w:u w:val="single"/>
        </w:rPr>
        <w:tab/>
      </w:r>
      <w:r>
        <w:rPr>
          <w:u w:val="single"/>
        </w:rPr>
        <w:tab/>
      </w:r>
    </w:p>
    <w:p w:rsidR="00BF6F01" w:rsidRDefault="00BF6F01">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rsidR="00BF6F01" w:rsidRDefault="00BF6F01">
      <w:pPr>
        <w:pStyle w:val="BodyText"/>
      </w:pPr>
      <w:r>
        <w:t xml:space="preserve">Date:  </w:t>
      </w:r>
      <w:r>
        <w:tab/>
      </w:r>
      <w:r>
        <w:rPr>
          <w:u w:val="single"/>
        </w:rPr>
        <w:tab/>
      </w:r>
      <w:r>
        <w:rPr>
          <w:u w:val="single"/>
        </w:rPr>
        <w:tab/>
      </w:r>
      <w:r>
        <w:rPr>
          <w:u w:val="single"/>
        </w:rPr>
        <w:tab/>
      </w:r>
      <w:r>
        <w:rPr>
          <w:u w:val="single"/>
        </w:rPr>
        <w:tab/>
      </w:r>
      <w:r>
        <w:rPr>
          <w:u w:val="single"/>
        </w:rPr>
        <w:tab/>
      </w:r>
    </w:p>
    <w:p w:rsidR="00BF6F01" w:rsidRDefault="00BF6F01">
      <w:pPr>
        <w:pStyle w:val="BodyText"/>
      </w:pPr>
      <w:r>
        <w:br w:type="page"/>
      </w:r>
      <w:r>
        <w:lastRenderedPageBreak/>
        <w:t>STATE OF _______________</w:t>
      </w:r>
    </w:p>
    <w:p w:rsidR="00BF6F01" w:rsidRDefault="00BF6F01">
      <w:pPr>
        <w:pStyle w:val="BodyText"/>
      </w:pPr>
      <w:r>
        <w:t>COUNTY OF _____________</w:t>
      </w:r>
    </w:p>
    <w:p w:rsidR="00BF6F01" w:rsidRDefault="00BF6F01">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rsidR="00BF6F01" w:rsidRDefault="00BF6F01">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rsidR="00BF6F01" w:rsidRDefault="00BF6F01">
      <w:pPr>
        <w:pStyle w:val="BodyText"/>
        <w:spacing w:line="360" w:lineRule="auto"/>
      </w:pPr>
      <w:r>
        <w:t>SWORN TO AND SUBSCRIBED TO BEFORE ME, the undersigned authority on this the _____ day of ____________, 20__.</w:t>
      </w:r>
    </w:p>
    <w:p w:rsidR="00BF6F01" w:rsidRDefault="00BF6F01">
      <w:pPr>
        <w:pStyle w:val="BodyText"/>
        <w:ind w:left="4320"/>
      </w:pPr>
      <w:r>
        <w:t>______________________________</w:t>
      </w:r>
    </w:p>
    <w:p w:rsidR="00BF6F01" w:rsidRDefault="00BF6F01">
      <w:pPr>
        <w:pStyle w:val="BodyText"/>
        <w:ind w:left="4320"/>
      </w:pPr>
      <w:r>
        <w:t>Notary Public, State of ___________</w:t>
      </w:r>
    </w:p>
    <w:p w:rsidR="00BF6F01" w:rsidRDefault="00BF6F01">
      <w:pPr>
        <w:pStyle w:val="BodyText"/>
        <w:ind w:left="4320"/>
      </w:pPr>
      <w:r>
        <w:t>My Commission expires __________</w:t>
      </w:r>
    </w:p>
    <w:p w:rsidR="00BF6F01" w:rsidRDefault="00BF6F01">
      <w:pPr>
        <w:pStyle w:val="BodyText"/>
        <w:ind w:left="4320"/>
      </w:pPr>
    </w:p>
    <w:p w:rsidR="00BF6F01" w:rsidRDefault="00BF6F01">
      <w:pPr>
        <w:jc w:val="center"/>
        <w:rPr>
          <w:b/>
          <w:sz w:val="36"/>
        </w:rPr>
      </w:pPr>
    </w:p>
    <w:p w:rsidR="00BF6F01" w:rsidRDefault="00BF6F01">
      <w:pPr>
        <w:jc w:val="center"/>
        <w:rPr>
          <w:b/>
          <w:sz w:val="36"/>
        </w:rPr>
      </w:pPr>
      <w:r>
        <w:rPr>
          <w:b/>
          <w:sz w:val="36"/>
        </w:rPr>
        <w:t>Section 22</w:t>
      </w:r>
    </w:p>
    <w:p w:rsidR="00BF6F01" w:rsidRDefault="00BF6F01" w:rsidP="00E65587">
      <w:pPr>
        <w:jc w:val="center"/>
        <w:rPr>
          <w:b/>
          <w:sz w:val="36"/>
          <w:szCs w:val="36"/>
        </w:rPr>
      </w:pPr>
    </w:p>
    <w:p w:rsidR="00BF6F01" w:rsidRDefault="00BF6F01">
      <w:pPr>
        <w:spacing w:after="240"/>
        <w:jc w:val="center"/>
        <w:rPr>
          <w:b/>
          <w:sz w:val="36"/>
          <w:szCs w:val="36"/>
        </w:rPr>
      </w:pPr>
      <w:r>
        <w:rPr>
          <w:b/>
          <w:sz w:val="36"/>
          <w:szCs w:val="36"/>
        </w:rPr>
        <w:t>Attachment H:  Notification of Change of Generation Resource Designation</w:t>
      </w:r>
    </w:p>
    <w:p w:rsidR="00BF6F01" w:rsidRDefault="00BF6F01">
      <w:pPr>
        <w:pStyle w:val="BodyText"/>
        <w:jc w:val="center"/>
        <w:rPr>
          <w:b/>
          <w:sz w:val="28"/>
          <w:szCs w:val="28"/>
        </w:rPr>
        <w:sectPr w:rsidR="00BF6F01" w:rsidSect="00E65587">
          <w:headerReference w:type="default" r:id="rId11"/>
          <w:footerReference w:type="default" r:id="rId12"/>
          <w:footerReference w:type="first" r:id="rId13"/>
          <w:pgSz w:w="12240" w:h="15840" w:code="1"/>
          <w:pgMar w:top="1440" w:right="1440" w:bottom="1440" w:left="1440" w:header="720" w:footer="720" w:gutter="0"/>
          <w:cols w:space="720"/>
          <w:docGrid w:linePitch="360"/>
        </w:sectPr>
      </w:pPr>
    </w:p>
    <w:p w:rsidR="00BF6F01" w:rsidRDefault="00BF6F01">
      <w:pPr>
        <w:pStyle w:val="BodyText"/>
        <w:jc w:val="center"/>
        <w:rPr>
          <w:b/>
          <w:sz w:val="28"/>
          <w:szCs w:val="28"/>
        </w:rPr>
      </w:pPr>
    </w:p>
    <w:p w:rsidR="00BF6F01" w:rsidRDefault="00BF6F01">
      <w:pPr>
        <w:pStyle w:val="BodyText"/>
        <w:jc w:val="center"/>
      </w:pPr>
      <w:r>
        <w:rPr>
          <w:b/>
          <w:sz w:val="28"/>
          <w:szCs w:val="28"/>
        </w:rPr>
        <w:t>Notification of Change of Generation Resource Designation</w:t>
      </w:r>
    </w:p>
    <w:p w:rsidR="00BF6F01" w:rsidRDefault="00BF6F01">
      <w:pPr>
        <w:pStyle w:val="BodyText"/>
        <w:rPr>
          <w:sz w:val="20"/>
        </w:rPr>
      </w:pPr>
      <w:r>
        <w:rPr>
          <w:sz w:val="20"/>
        </w:rPr>
        <w:t xml:space="preserve">This Notification is for changing a Generation Resource designation in accordance with the ERCOT Protocols.  Information may be inserted electronically to expand the reply spaces as necessary.  </w:t>
      </w:r>
    </w:p>
    <w:p w:rsidR="00BF6F01" w:rsidRDefault="00BF6F01">
      <w:pPr>
        <w:pStyle w:val="BodyText"/>
        <w:rPr>
          <w:sz w:val="20"/>
        </w:rPr>
      </w:pPr>
      <w:r>
        <w:rPr>
          <w:sz w:val="20"/>
        </w:rPr>
        <w:t xml:space="preserve">The Notification must be signed, notarized and delivered to ERCOT.  Delivery may be accomplished via email to </w:t>
      </w:r>
      <w:hyperlink r:id="rId14" w:history="1">
        <w:r>
          <w:rPr>
            <w:rStyle w:val="Hyperlink"/>
            <w:sz w:val="20"/>
          </w:rPr>
          <w:t>mpappl@ercot.com</w:t>
        </w:r>
      </w:hyperlink>
      <w:r>
        <w:rPr>
          <w:sz w:val="20"/>
        </w:rPr>
        <w:t xml:space="preserve"> (if a scanned copy) or via facsimile (Attention: Market Participant Registration) at </w:t>
      </w:r>
      <w:smartTag w:uri="urn:schemas-microsoft-com:office:smarttags" w:element="phone">
        <w:smartTagPr>
          <w:attr w:uri="urn:schemas-microsoft-com:office:office" w:name="ls" w:val="trans"/>
          <w:attr w:name="phonenumber" w:val="$6225$$$"/>
        </w:smartTagPr>
        <w:r>
          <w:rPr>
            <w:sz w:val="20"/>
          </w:rPr>
          <w:t xml:space="preserve">(512) </w:t>
        </w:r>
        <w:smartTag w:uri="urn:schemas-microsoft-com:office:smarttags" w:element="phone">
          <w:smartTagPr>
            <w:attr w:uri="urn:schemas-microsoft-com:office:office" w:name="ls" w:val="trans"/>
            <w:attr w:name="phonenumber" w:val="$6225$$$"/>
          </w:smartTagPr>
          <w:r>
            <w:rPr>
              <w:sz w:val="20"/>
            </w:rPr>
            <w:t>225-7079</w:t>
          </w:r>
        </w:smartTag>
      </w:smartTag>
      <w:r>
        <w:rPr>
          <w:sz w:val="20"/>
        </w:rPr>
        <w:t>. ERCOT may request additional information as reasonably necessary to support operations under the ERCOT Protocols.</w:t>
      </w:r>
    </w:p>
    <w:p w:rsidR="00BF6F01" w:rsidRDefault="00BF6F01">
      <w:pPr>
        <w:pStyle w:val="BodyText"/>
        <w:rPr>
          <w:sz w:val="20"/>
        </w:rPr>
      </w:pPr>
    </w:p>
    <w:p w:rsidR="00BF6F01" w:rsidRDefault="00BF6F01">
      <w:pPr>
        <w:pStyle w:val="BodyText"/>
        <w:rPr>
          <w:u w:val="single"/>
        </w:rPr>
      </w:pPr>
      <w:ins w:id="77" w:author="ERCOT" w:date="2011-05-03T14:27:00Z">
        <w:r w:rsidRPr="007019FC">
          <w:rPr>
            <w:szCs w:val="20"/>
          </w:rPr>
          <w:t>Resource</w:t>
        </w:r>
      </w:ins>
      <w:del w:id="78" w:author="ERCOT" w:date="2011-05-03T14:27:00Z">
        <w:r w:rsidRPr="007019FC" w:rsidDel="00D10B91">
          <w:delText>Generation</w:delText>
        </w:r>
      </w:del>
      <w:r w:rsidRPr="007019FC">
        <w:t xml:space="preserve"> Entity</w:t>
      </w:r>
      <w:r>
        <w:t xml:space="preserve">: </w:t>
      </w:r>
      <w:r>
        <w:rPr>
          <w:u w:val="single"/>
        </w:rPr>
        <w:tab/>
      </w:r>
      <w:r>
        <w:rPr>
          <w:u w:val="single"/>
        </w:rPr>
        <w:tab/>
      </w:r>
      <w:r>
        <w:rPr>
          <w:u w:val="single"/>
        </w:rPr>
        <w:tab/>
        <w:t>_______</w:t>
      </w:r>
      <w:r>
        <w:rPr>
          <w:u w:val="single"/>
        </w:rPr>
        <w:tab/>
      </w:r>
      <w:r>
        <w:rPr>
          <w:u w:val="single"/>
        </w:rPr>
        <w:tab/>
      </w:r>
      <w:r>
        <w:rPr>
          <w:u w:val="single"/>
        </w:rPr>
        <w:tab/>
      </w:r>
      <w:r>
        <w:rPr>
          <w:u w:val="single"/>
        </w:rPr>
        <w:tab/>
      </w:r>
      <w:r>
        <w:rPr>
          <w:u w:val="single"/>
        </w:rPr>
        <w:tab/>
      </w:r>
      <w:r>
        <w:rPr>
          <w:u w:val="single"/>
        </w:rPr>
        <w:tab/>
      </w:r>
      <w:r>
        <w:rPr>
          <w:u w:val="single"/>
        </w:rPr>
        <w:tab/>
      </w:r>
    </w:p>
    <w:p w:rsidR="00BF6F01" w:rsidRDefault="00BF6F01">
      <w:pPr>
        <w:pStyle w:val="BodyText"/>
        <w:rPr>
          <w:u w:val="single"/>
        </w:rPr>
      </w:pPr>
      <w:r>
        <w:rPr>
          <w:u w:val="single"/>
        </w:rPr>
        <w:t>DUNS No.: ____________________________________________________________________</w:t>
      </w:r>
    </w:p>
    <w:p w:rsidR="00BF6F01" w:rsidRDefault="00BF6F01">
      <w:pPr>
        <w:pStyle w:val="BodyText"/>
        <w:rPr>
          <w:u w:val="single"/>
        </w:rPr>
      </w:pPr>
      <w:r>
        <w:t xml:space="preserve">Generation Resource(s) [plant and unit number(s)] </w:t>
      </w:r>
      <w:r>
        <w:rPr>
          <w:u w:val="single"/>
        </w:rPr>
        <w:tab/>
      </w:r>
      <w:r>
        <w:rPr>
          <w:u w:val="single"/>
        </w:rPr>
        <w:tab/>
      </w:r>
      <w:r>
        <w:rPr>
          <w:u w:val="single"/>
        </w:rPr>
        <w:tab/>
        <w:t>______</w:t>
      </w:r>
      <w:r>
        <w:rPr>
          <w:u w:val="single"/>
        </w:rPr>
        <w:tab/>
      </w:r>
      <w:r>
        <w:rPr>
          <w:u w:val="single"/>
        </w:rPr>
        <w:tab/>
      </w:r>
      <w:r>
        <w:rPr>
          <w:u w:val="single"/>
        </w:rPr>
        <w:tab/>
      </w:r>
    </w:p>
    <w:p w:rsidR="00BF6F01" w:rsidRDefault="00BF6F01">
      <w:pPr>
        <w:pStyle w:val="BodyText"/>
      </w:pPr>
    </w:p>
    <w:p w:rsidR="00BF6F01" w:rsidRDefault="00BF6F01">
      <w:pPr>
        <w:pStyle w:val="BodyText"/>
      </w:pPr>
      <w:r>
        <w:t>Generation Resource(s) is currently [check one]</w:t>
      </w:r>
    </w:p>
    <w:p w:rsidR="00BF6F01" w:rsidRDefault="00BF6F01">
      <w:pPr>
        <w:pStyle w:val="BodyText"/>
        <w:ind w:left="1440" w:hanging="720"/>
      </w:pPr>
      <w:r>
        <w:t xml:space="preserve">[ ] </w:t>
      </w:r>
      <w:r>
        <w:tab/>
        <w:t xml:space="preserve">under a Reliability Must-Run (RMR) Agreement </w:t>
      </w:r>
    </w:p>
    <w:p w:rsidR="00BF6F01" w:rsidRDefault="00BF6F01">
      <w:pPr>
        <w:pStyle w:val="BodyText"/>
        <w:ind w:left="1440" w:hanging="720"/>
      </w:pPr>
      <w:r>
        <w:t>[ ]</w:t>
      </w:r>
      <w:r>
        <w:tab/>
        <w:t>mothballed</w:t>
      </w:r>
    </w:p>
    <w:p w:rsidR="00BF6F01" w:rsidRDefault="00BF6F01">
      <w:pPr>
        <w:pStyle w:val="BodyText"/>
        <w:ind w:left="1440" w:hanging="720"/>
      </w:pPr>
    </w:p>
    <w:p w:rsidR="00BF6F01" w:rsidRDefault="00BF6F01">
      <w:pPr>
        <w:pStyle w:val="BodyText"/>
        <w:ind w:left="720" w:hanging="720"/>
      </w:pPr>
      <w:r>
        <w:t xml:space="preserve">As of ___________ [date], </w:t>
      </w:r>
      <w:ins w:id="79" w:author="ERCOT" w:date="2011-05-03T14:27:00Z">
        <w:r w:rsidRPr="007019FC">
          <w:rPr>
            <w:szCs w:val="20"/>
          </w:rPr>
          <w:t>Resource</w:t>
        </w:r>
      </w:ins>
      <w:del w:id="80" w:author="ERCOT" w:date="2011-05-03T14:27:00Z">
        <w:r w:rsidRPr="007019FC" w:rsidDel="00D10B91">
          <w:delText>Generation</w:delText>
        </w:r>
      </w:del>
      <w:r w:rsidRPr="007019FC">
        <w:t xml:space="preserve"> Entity will</w:t>
      </w:r>
      <w:r>
        <w:t xml:space="preserve"> change the Generation Resource(s) designation to [check one]</w:t>
      </w:r>
    </w:p>
    <w:p w:rsidR="00BF6F01" w:rsidRDefault="00BF6F01">
      <w:pPr>
        <w:pStyle w:val="BodyText"/>
        <w:ind w:left="1440" w:hanging="720"/>
      </w:pPr>
      <w:r>
        <w:t>[ ]</w:t>
      </w:r>
      <w:r>
        <w:tab/>
        <w:t>operational</w:t>
      </w:r>
    </w:p>
    <w:p w:rsidR="00BF6F01" w:rsidRDefault="00BF6F01">
      <w:pPr>
        <w:pStyle w:val="BodyText"/>
        <w:ind w:left="1440" w:hanging="720"/>
      </w:pPr>
      <w:r>
        <w:t>[ ]</w:t>
      </w:r>
      <w:r>
        <w:tab/>
        <w:t>mothballed</w:t>
      </w:r>
    </w:p>
    <w:p w:rsidR="00BF6F01" w:rsidRDefault="00BF6F01">
      <w:pPr>
        <w:pStyle w:val="BodyText"/>
        <w:ind w:firstLine="720"/>
      </w:pPr>
      <w:r>
        <w:t>[ ]</w:t>
      </w:r>
      <w:r>
        <w:tab/>
        <w:t>decommissioned and retired permanently</w:t>
      </w:r>
      <w:r>
        <w:rPr>
          <w:rStyle w:val="FootnoteReference"/>
        </w:rPr>
        <w:footnoteReference w:id="3"/>
      </w:r>
    </w:p>
    <w:p w:rsidR="00BF6F01" w:rsidRDefault="00BF6F01" w:rsidP="00E65587">
      <w:pPr>
        <w:pStyle w:val="BodyText"/>
      </w:pPr>
      <w:r>
        <w:t xml:space="preserve">The undersigned certifies that I am an officer </w:t>
      </w:r>
      <w:r w:rsidRPr="007019FC">
        <w:t xml:space="preserve">of </w:t>
      </w:r>
      <w:ins w:id="86" w:author="ERCOT" w:date="2011-05-03T14:27:00Z">
        <w:r w:rsidRPr="007019FC">
          <w:rPr>
            <w:szCs w:val="20"/>
          </w:rPr>
          <w:t>Resource</w:t>
        </w:r>
      </w:ins>
      <w:del w:id="87" w:author="ERCOT" w:date="2011-05-03T14:27:00Z">
        <w:r w:rsidRPr="007019FC" w:rsidDel="00D10B91">
          <w:delText>Generation</w:delText>
        </w:r>
      </w:del>
      <w:r w:rsidRPr="007019FC">
        <w:t xml:space="preserve"> Entity, that I am authorized to execute and submit this Notification on behalf of </w:t>
      </w:r>
      <w:ins w:id="88" w:author="ERCOT" w:date="2011-05-03T14:27:00Z">
        <w:r w:rsidRPr="007019FC">
          <w:rPr>
            <w:szCs w:val="20"/>
          </w:rPr>
          <w:t>Resource</w:t>
        </w:r>
      </w:ins>
      <w:del w:id="89" w:author="ERCOT" w:date="2011-05-03T14:27:00Z">
        <w:r w:rsidRPr="007019FC" w:rsidDel="00D10B91">
          <w:delText>Generation</w:delText>
        </w:r>
      </w:del>
      <w:r w:rsidRPr="007019FC">
        <w:t xml:space="preserve"> Entity</w:t>
      </w:r>
      <w:r>
        <w:t>, and that the statements contained herein are true and correct.</w:t>
      </w:r>
    </w:p>
    <w:p w:rsidR="00BF6F01" w:rsidRDefault="00BF6F01" w:rsidP="00E65587">
      <w:pPr>
        <w:pStyle w:val="BodyText"/>
        <w:rPr>
          <w:u w:val="single"/>
        </w:rPr>
      </w:pPr>
      <w:r>
        <w:rPr>
          <w:u w:val="single"/>
        </w:rPr>
        <w:tab/>
      </w:r>
      <w:r>
        <w:rPr>
          <w:u w:val="single"/>
        </w:rPr>
        <w:tab/>
      </w:r>
      <w:r>
        <w:rPr>
          <w:u w:val="single"/>
        </w:rPr>
        <w:tab/>
      </w:r>
      <w:r>
        <w:rPr>
          <w:u w:val="single"/>
        </w:rPr>
        <w:tab/>
      </w:r>
      <w:r>
        <w:rPr>
          <w:u w:val="single"/>
        </w:rPr>
        <w:tab/>
      </w:r>
      <w:r>
        <w:rPr>
          <w:u w:val="single"/>
        </w:rPr>
        <w:tab/>
      </w:r>
    </w:p>
    <w:p w:rsidR="00BF6F01" w:rsidRDefault="00BF6F01" w:rsidP="00E65587">
      <w:pPr>
        <w:pStyle w:val="BodyText"/>
      </w:pPr>
      <w:r>
        <w:lastRenderedPageBreak/>
        <w:t xml:space="preserve">Name:  </w:t>
      </w:r>
      <w:r>
        <w:rPr>
          <w:u w:val="single"/>
        </w:rPr>
        <w:tab/>
      </w:r>
      <w:r>
        <w:rPr>
          <w:u w:val="single"/>
        </w:rPr>
        <w:tab/>
      </w:r>
      <w:r>
        <w:rPr>
          <w:u w:val="single"/>
        </w:rPr>
        <w:tab/>
      </w:r>
      <w:r>
        <w:rPr>
          <w:u w:val="single"/>
        </w:rPr>
        <w:tab/>
      </w:r>
      <w:r>
        <w:rPr>
          <w:u w:val="single"/>
        </w:rPr>
        <w:tab/>
      </w:r>
    </w:p>
    <w:p w:rsidR="00BF6F01" w:rsidRDefault="00BF6F01" w:rsidP="00E65587">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rsidR="00BF6F01" w:rsidRDefault="00BF6F01" w:rsidP="00E65587">
      <w:pPr>
        <w:pStyle w:val="BodyText"/>
      </w:pPr>
      <w:r>
        <w:t xml:space="preserve">Date:  </w:t>
      </w:r>
      <w:r>
        <w:tab/>
      </w:r>
      <w:r>
        <w:rPr>
          <w:u w:val="single"/>
        </w:rPr>
        <w:tab/>
      </w:r>
      <w:r>
        <w:rPr>
          <w:u w:val="single"/>
        </w:rPr>
        <w:tab/>
      </w:r>
      <w:r>
        <w:rPr>
          <w:u w:val="single"/>
        </w:rPr>
        <w:tab/>
      </w:r>
      <w:r>
        <w:rPr>
          <w:u w:val="single"/>
        </w:rPr>
        <w:tab/>
      </w:r>
      <w:r>
        <w:rPr>
          <w:u w:val="single"/>
        </w:rPr>
        <w:tab/>
      </w:r>
    </w:p>
    <w:p w:rsidR="00BF6F01" w:rsidRDefault="00BF6F01" w:rsidP="00E65587">
      <w:pPr>
        <w:pStyle w:val="BodyText"/>
      </w:pPr>
      <w:r>
        <w:t>STATE OF _______________</w:t>
      </w:r>
    </w:p>
    <w:p w:rsidR="00BF6F01" w:rsidRDefault="00BF6F01">
      <w:pPr>
        <w:pStyle w:val="BodyText"/>
      </w:pPr>
      <w:r>
        <w:t>COUNTY OF _____________</w:t>
      </w:r>
    </w:p>
    <w:p w:rsidR="00BF6F01" w:rsidRDefault="00BF6F01">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rsidR="00BF6F01" w:rsidRDefault="00BF6F01">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rsidR="00BF6F01" w:rsidRDefault="00BF6F01">
      <w:pPr>
        <w:pStyle w:val="BodyText"/>
        <w:spacing w:line="360" w:lineRule="auto"/>
      </w:pPr>
      <w:r>
        <w:t xml:space="preserve">SWORN TO </w:t>
      </w:r>
      <w:smartTag w:uri="urn:schemas-microsoft-com:office:smarttags" w:element="stockticker">
        <w:r>
          <w:t>AND</w:t>
        </w:r>
      </w:smartTag>
      <w:r>
        <w:t xml:space="preserve"> SUBSCRIBED TO BEFORE ME, the undersigned authority on this the _____ day of ____________, 20__.</w:t>
      </w:r>
    </w:p>
    <w:p w:rsidR="00BF6F01" w:rsidRDefault="00BF6F01">
      <w:pPr>
        <w:pStyle w:val="BodyText"/>
        <w:ind w:left="4320"/>
      </w:pPr>
      <w:r>
        <w:t>______________________________</w:t>
      </w:r>
    </w:p>
    <w:p w:rsidR="00BF6F01" w:rsidRDefault="00BF6F01">
      <w:pPr>
        <w:pStyle w:val="BodyText"/>
        <w:ind w:left="4320"/>
      </w:pPr>
      <w:r>
        <w:t>Notary Public, State of ___________</w:t>
      </w:r>
    </w:p>
    <w:p w:rsidR="00BF6F01" w:rsidRDefault="00BF6F01">
      <w:pPr>
        <w:pStyle w:val="BodyText"/>
      </w:pPr>
      <w:r>
        <w:t>My Commission expires __</w:t>
      </w:r>
    </w:p>
    <w:p w:rsidR="00BF6F01" w:rsidRDefault="00BF6F01"/>
    <w:p w:rsidR="00BF6F01" w:rsidRDefault="00BF6F01">
      <w:pPr>
        <w:jc w:val="center"/>
      </w:pPr>
    </w:p>
    <w:p w:rsidR="00BF6F01" w:rsidRPr="001A1B64" w:rsidRDefault="00BF6F01" w:rsidP="00E65587">
      <w:pPr>
        <w:spacing w:after="240"/>
        <w:ind w:left="720" w:hanging="720"/>
        <w:rPr>
          <w:iCs/>
          <w:szCs w:val="20"/>
        </w:rPr>
      </w:pPr>
    </w:p>
    <w:p w:rsidR="00BF6F01" w:rsidRDefault="00BF6F01" w:rsidP="00CC13B4">
      <w:pPr>
        <w:pStyle w:val="BodyText"/>
      </w:pPr>
    </w:p>
    <w:sectPr w:rsidR="00BF6F01" w:rsidSect="000A1FB0">
      <w:headerReference w:type="default" r:id="rId15"/>
      <w:footerReference w:type="default" r:id="rId16"/>
      <w:pgSz w:w="12240" w:h="15840" w:code="1"/>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9" w:author="ERCOT" w:date="2011-05-24T09:58:00Z" w:initials="st">
    <w:p w:rsidR="002D5F2A" w:rsidRDefault="002D5F2A">
      <w:pPr>
        <w:pStyle w:val="CommentText"/>
      </w:pPr>
      <w:r>
        <w:rPr>
          <w:rStyle w:val="CommentReference"/>
        </w:rPr>
        <w:annotationRef/>
      </w:r>
      <w:r w:rsidRPr="003D7CEF">
        <w:t>Please note this Section is also being revised by NPRR3</w:t>
      </w:r>
      <w:r>
        <w:t>44</w:t>
      </w:r>
      <w:r w:rsidRPr="003D7CEF">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FC9" w:rsidRDefault="001A2FC9">
      <w:r>
        <w:separator/>
      </w:r>
    </w:p>
  </w:endnote>
  <w:endnote w:type="continuationSeparator" w:id="0">
    <w:p w:rsidR="001A2FC9" w:rsidRDefault="001A2F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2A" w:rsidRPr="004D5E67" w:rsidRDefault="002D5F2A" w:rsidP="00E65587">
    <w:pPr>
      <w:pStyle w:val="Footer"/>
      <w:tabs>
        <w:tab w:val="clear" w:pos="4320"/>
        <w:tab w:val="clear" w:pos="8640"/>
        <w:tab w:val="right" w:pos="9360"/>
      </w:tabs>
      <w:rPr>
        <w:rFonts w:ascii="Arial" w:hAnsi="Arial" w:cs="Arial"/>
        <w:sz w:val="18"/>
      </w:rPr>
    </w:pPr>
    <w:r>
      <w:rPr>
        <w:rFonts w:ascii="Arial" w:hAnsi="Arial" w:cs="Arial"/>
        <w:sz w:val="18"/>
      </w:rPr>
      <w:t>358</w:t>
    </w:r>
    <w:r w:rsidRPr="002821C0">
      <w:rPr>
        <w:rFonts w:ascii="Arial" w:hAnsi="Arial" w:cs="Arial"/>
        <w:sz w:val="18"/>
      </w:rPr>
      <w:t>NPRR-0</w:t>
    </w:r>
    <w:r>
      <w:rPr>
        <w:rFonts w:ascii="Arial" w:hAnsi="Arial" w:cs="Arial"/>
        <w:sz w:val="18"/>
      </w:rPr>
      <w:t>3</w:t>
    </w:r>
    <w:r w:rsidRPr="002821C0">
      <w:rPr>
        <w:rFonts w:ascii="Arial" w:hAnsi="Arial" w:cs="Arial"/>
        <w:sz w:val="18"/>
      </w:rPr>
      <w:t xml:space="preserve"> </w:t>
    </w:r>
    <w:r>
      <w:rPr>
        <w:rFonts w:ascii="Arial" w:hAnsi="Arial" w:cs="Arial"/>
        <w:sz w:val="18"/>
      </w:rPr>
      <w:t>PRS Report 051911</w:t>
    </w:r>
    <w:r w:rsidRPr="004D5E67">
      <w:rPr>
        <w:rFonts w:ascii="Arial" w:hAnsi="Arial" w:cs="Arial"/>
        <w:sz w:val="18"/>
      </w:rPr>
      <w:tab/>
      <w:t xml:space="preserve">Page </w:t>
    </w:r>
    <w:r w:rsidRPr="004D5E67">
      <w:rPr>
        <w:rFonts w:ascii="Arial" w:hAnsi="Arial" w:cs="Arial"/>
        <w:sz w:val="18"/>
      </w:rPr>
      <w:fldChar w:fldCharType="begin"/>
    </w:r>
    <w:r w:rsidRPr="004D5E67">
      <w:rPr>
        <w:rFonts w:ascii="Arial" w:hAnsi="Arial" w:cs="Arial"/>
        <w:sz w:val="18"/>
      </w:rPr>
      <w:instrText xml:space="preserve"> PAGE </w:instrText>
    </w:r>
    <w:r w:rsidRPr="004D5E67">
      <w:rPr>
        <w:rFonts w:ascii="Arial" w:hAnsi="Arial" w:cs="Arial"/>
        <w:sz w:val="18"/>
      </w:rPr>
      <w:fldChar w:fldCharType="separate"/>
    </w:r>
    <w:r w:rsidR="00892821">
      <w:rPr>
        <w:rFonts w:ascii="Arial" w:hAnsi="Arial" w:cs="Arial"/>
        <w:noProof/>
        <w:sz w:val="18"/>
      </w:rPr>
      <w:t>16</w:t>
    </w:r>
    <w:r w:rsidRPr="004D5E67">
      <w:rPr>
        <w:rFonts w:ascii="Arial" w:hAnsi="Arial" w:cs="Arial"/>
        <w:sz w:val="18"/>
      </w:rPr>
      <w:fldChar w:fldCharType="end"/>
    </w:r>
    <w:r w:rsidRPr="004D5E67">
      <w:rPr>
        <w:rFonts w:ascii="Arial" w:hAnsi="Arial" w:cs="Arial"/>
        <w:sz w:val="18"/>
      </w:rPr>
      <w:t xml:space="preserve"> of </w:t>
    </w:r>
    <w:r w:rsidRPr="004D5E67">
      <w:rPr>
        <w:rFonts w:ascii="Arial" w:hAnsi="Arial" w:cs="Arial"/>
        <w:sz w:val="18"/>
      </w:rPr>
      <w:fldChar w:fldCharType="begin"/>
    </w:r>
    <w:r w:rsidRPr="004D5E67">
      <w:rPr>
        <w:rFonts w:ascii="Arial" w:hAnsi="Arial" w:cs="Arial"/>
        <w:sz w:val="18"/>
      </w:rPr>
      <w:instrText xml:space="preserve"> NUMPAGES </w:instrText>
    </w:r>
    <w:r w:rsidRPr="004D5E67">
      <w:rPr>
        <w:rFonts w:ascii="Arial" w:hAnsi="Arial" w:cs="Arial"/>
        <w:sz w:val="18"/>
      </w:rPr>
      <w:fldChar w:fldCharType="separate"/>
    </w:r>
    <w:r w:rsidR="00892821">
      <w:rPr>
        <w:rFonts w:ascii="Arial" w:hAnsi="Arial" w:cs="Arial"/>
        <w:noProof/>
        <w:sz w:val="18"/>
      </w:rPr>
      <w:t>16</w:t>
    </w:r>
    <w:r w:rsidRPr="004D5E67">
      <w:rPr>
        <w:rFonts w:ascii="Arial" w:hAnsi="Arial" w:cs="Arial"/>
        <w:sz w:val="18"/>
      </w:rPr>
      <w:fldChar w:fldCharType="end"/>
    </w:r>
  </w:p>
  <w:p w:rsidR="002D5F2A" w:rsidRPr="004D5E67" w:rsidRDefault="002D5F2A" w:rsidP="00E65587">
    <w:pPr>
      <w:pStyle w:val="Footer"/>
      <w:tabs>
        <w:tab w:val="clear" w:pos="4320"/>
        <w:tab w:val="clear" w:pos="8640"/>
        <w:tab w:val="right" w:pos="9360"/>
      </w:tabs>
      <w:rPr>
        <w:szCs w:val="20"/>
      </w:rPr>
    </w:pPr>
    <w:r w:rsidRPr="004D5E67">
      <w:rPr>
        <w:rFonts w:ascii="Arial" w:hAnsi="Arial" w:cs="Arial"/>
        <w:sz w:val="18"/>
      </w:rPr>
      <w:t>PUBLIC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2A" w:rsidRDefault="002D5F2A">
    <w:pPr>
      <w:pStyle w:val="Footer"/>
      <w:tabs>
        <w:tab w:val="clear" w:pos="8640"/>
        <w:tab w:val="right" w:pos="9360"/>
      </w:tabs>
      <w:jc w:val="center"/>
      <w:rPr>
        <w:smallCaps/>
        <w:sz w:val="20"/>
        <w:szCs w:val="20"/>
      </w:rPr>
    </w:pPr>
    <w:r w:rsidRPr="00A852BD">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2A" w:rsidRDefault="002D5F2A" w:rsidP="008C6885">
    <w:pPr>
      <w:pStyle w:val="Footer"/>
      <w:tabs>
        <w:tab w:val="clear" w:pos="4320"/>
        <w:tab w:val="clear" w:pos="8640"/>
        <w:tab w:val="right" w:pos="9360"/>
      </w:tabs>
      <w:rPr>
        <w:rFonts w:ascii="Arial" w:hAnsi="Arial"/>
        <w:sz w:val="18"/>
      </w:rPr>
    </w:pPr>
    <w:r w:rsidRPr="00062AF2">
      <w:rPr>
        <w:rFonts w:ascii="Arial" w:hAnsi="Arial"/>
        <w:sz w:val="18"/>
      </w:rPr>
      <w:t>358NPRR-03 PRS Report 051911</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892821">
      <w:rPr>
        <w:rFonts w:ascii="Arial" w:hAnsi="Arial"/>
        <w:noProof/>
        <w:sz w:val="18"/>
      </w:rPr>
      <w:t>18</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892821">
      <w:rPr>
        <w:rFonts w:ascii="Arial" w:hAnsi="Arial"/>
        <w:noProof/>
        <w:sz w:val="18"/>
      </w:rPr>
      <w:t>18</w:t>
    </w:r>
    <w:r>
      <w:rPr>
        <w:rFonts w:ascii="Arial" w:hAnsi="Arial"/>
        <w:sz w:val="18"/>
      </w:rPr>
      <w:fldChar w:fldCharType="end"/>
    </w:r>
  </w:p>
  <w:p w:rsidR="002D5F2A" w:rsidRDefault="002D5F2A" w:rsidP="000A1FB0">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FC9" w:rsidRDefault="001A2FC9">
      <w:r>
        <w:separator/>
      </w:r>
    </w:p>
  </w:footnote>
  <w:footnote w:type="continuationSeparator" w:id="0">
    <w:p w:rsidR="001A2FC9" w:rsidRDefault="001A2FC9">
      <w:r>
        <w:continuationSeparator/>
      </w:r>
    </w:p>
  </w:footnote>
  <w:footnote w:id="1">
    <w:p w:rsidR="002D5F2A" w:rsidRDefault="002D5F2A">
      <w:pPr>
        <w:pStyle w:val="FootnoteText"/>
      </w:pPr>
      <w:r>
        <w:rPr>
          <w:rStyle w:val="FootnoteReference"/>
        </w:rPr>
        <w:footnoteRef/>
      </w:r>
      <w:r>
        <w:t xml:space="preserve"> Pursuant to Protocol Section 3.14.1.1, Notification of Suspension of Operations, this date must be at least 90 days from the date ERCOT receives this Notification.</w:t>
      </w:r>
    </w:p>
  </w:footnote>
  <w:footnote w:id="2">
    <w:p w:rsidR="002D5F2A" w:rsidRDefault="002D5F2A">
      <w:pPr>
        <w:pStyle w:val="FootnoteText"/>
      </w:pPr>
      <w:r>
        <w:rPr>
          <w:rStyle w:val="FootnoteReference"/>
        </w:rPr>
        <w:footnoteRef/>
      </w:r>
      <w:r>
        <w:t xml:space="preserve"> ERCOT will remove the Generation Resource(s) from its registration systems if this option is selected.</w:t>
      </w:r>
    </w:p>
  </w:footnote>
  <w:footnote w:id="3">
    <w:p w:rsidR="002D5F2A" w:rsidRDefault="002D5F2A">
      <w:pPr>
        <w:pStyle w:val="FootnoteText"/>
      </w:pPr>
      <w:r>
        <w:rPr>
          <w:rStyle w:val="FootnoteReference"/>
        </w:rPr>
        <w:footnoteRef/>
      </w:r>
      <w:r>
        <w:t xml:space="preserve"> ERCOT will remove the Generation Resource(s) from its registration systems if this option is selected</w:t>
      </w:r>
      <w:ins w:id="81" w:author="ERCOT" w:date="2011-05-03T14:23:00Z">
        <w:r w:rsidRPr="00B77CCC">
          <w:t xml:space="preserve">, in accordance with </w:t>
        </w:r>
      </w:ins>
      <w:ins w:id="82" w:author="ERCOT" w:date="2011-05-03T14:24:00Z">
        <w:r>
          <w:t xml:space="preserve">Section </w:t>
        </w:r>
      </w:ins>
      <w:ins w:id="83" w:author="ERCOT" w:date="2011-05-03T14:23:00Z">
        <w:r w:rsidRPr="00B77CCC">
          <w:t xml:space="preserve">3.14.1.9, </w:t>
        </w:r>
      </w:ins>
      <w:ins w:id="84" w:author="ERCOT" w:date="2011-05-03T14:24:00Z">
        <w:r>
          <w:t xml:space="preserve">Generation Resource Return to Service Updates, </w:t>
        </w:r>
      </w:ins>
      <w:ins w:id="85" w:author="ERCOT" w:date="2011-05-03T14:23:00Z">
        <w:r w:rsidRPr="00B77CCC">
          <w:t>upon Resource Entity updating Resource registration accordingly</w:t>
        </w:r>
      </w:ins>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2A" w:rsidRPr="004D5E67" w:rsidRDefault="002D5F2A" w:rsidP="00E65587">
    <w:pPr>
      <w:pStyle w:val="Header"/>
      <w:jc w:val="center"/>
      <w:rPr>
        <w:sz w:val="32"/>
      </w:rPr>
    </w:pPr>
    <w:r w:rsidRPr="004D5E67">
      <w:rPr>
        <w:sz w:val="32"/>
      </w:rPr>
      <w:t>Nodal Protocol Revision Request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2A" w:rsidRDefault="002D5F2A">
    <w:pPr>
      <w:pStyle w:val="Header"/>
      <w:jc w:val="center"/>
      <w:rPr>
        <w:sz w:val="32"/>
      </w:rPr>
    </w:pPr>
    <w:r>
      <w:rPr>
        <w:sz w:val="32"/>
      </w:rPr>
      <w:t>PRS Report</w:t>
    </w:r>
  </w:p>
  <w:p w:rsidR="002D5F2A" w:rsidRDefault="002D5F2A">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6D180E87"/>
    <w:multiLevelType w:val="multilevel"/>
    <w:tmpl w:val="52A4B9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7">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E14232A"/>
    <w:multiLevelType w:val="hybridMultilevel"/>
    <w:tmpl w:val="52A4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2"/>
  </w:num>
  <w:num w:numId="15">
    <w:abstractNumId w:val="8"/>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B93CA0"/>
    <w:rsid w:val="000276B1"/>
    <w:rsid w:val="00035AE3"/>
    <w:rsid w:val="000611B2"/>
    <w:rsid w:val="00062AF2"/>
    <w:rsid w:val="000926D7"/>
    <w:rsid w:val="00095877"/>
    <w:rsid w:val="000A163A"/>
    <w:rsid w:val="000A1FB0"/>
    <w:rsid w:val="000A42ED"/>
    <w:rsid w:val="000A6B12"/>
    <w:rsid w:val="000C7E86"/>
    <w:rsid w:val="000E375F"/>
    <w:rsid w:val="0010604E"/>
    <w:rsid w:val="0012688F"/>
    <w:rsid w:val="00144FC0"/>
    <w:rsid w:val="001527F2"/>
    <w:rsid w:val="00173E84"/>
    <w:rsid w:val="001A2FC9"/>
    <w:rsid w:val="001C66A5"/>
    <w:rsid w:val="001F0371"/>
    <w:rsid w:val="001F2231"/>
    <w:rsid w:val="0020093C"/>
    <w:rsid w:val="00204D5F"/>
    <w:rsid w:val="002247A8"/>
    <w:rsid w:val="00226E82"/>
    <w:rsid w:val="00252C15"/>
    <w:rsid w:val="00263CCE"/>
    <w:rsid w:val="002667E8"/>
    <w:rsid w:val="00270A64"/>
    <w:rsid w:val="002D3860"/>
    <w:rsid w:val="002D5F2A"/>
    <w:rsid w:val="002F00AA"/>
    <w:rsid w:val="002F3A52"/>
    <w:rsid w:val="003246D7"/>
    <w:rsid w:val="00351BE0"/>
    <w:rsid w:val="00383223"/>
    <w:rsid w:val="0039321E"/>
    <w:rsid w:val="003A3D44"/>
    <w:rsid w:val="003E2966"/>
    <w:rsid w:val="00402DE4"/>
    <w:rsid w:val="00405990"/>
    <w:rsid w:val="00416769"/>
    <w:rsid w:val="004216CC"/>
    <w:rsid w:val="004A14B4"/>
    <w:rsid w:val="005543FA"/>
    <w:rsid w:val="005909C1"/>
    <w:rsid w:val="005A6C4F"/>
    <w:rsid w:val="005B734C"/>
    <w:rsid w:val="006215B1"/>
    <w:rsid w:val="00627B04"/>
    <w:rsid w:val="00630FB4"/>
    <w:rsid w:val="0065442E"/>
    <w:rsid w:val="00683DC9"/>
    <w:rsid w:val="006C3F70"/>
    <w:rsid w:val="006E7E09"/>
    <w:rsid w:val="006F64BC"/>
    <w:rsid w:val="0072080C"/>
    <w:rsid w:val="00730FA8"/>
    <w:rsid w:val="00744026"/>
    <w:rsid w:val="007B1997"/>
    <w:rsid w:val="00807265"/>
    <w:rsid w:val="00822372"/>
    <w:rsid w:val="00831D8E"/>
    <w:rsid w:val="00853004"/>
    <w:rsid w:val="00886FAE"/>
    <w:rsid w:val="00892821"/>
    <w:rsid w:val="00895AB9"/>
    <w:rsid w:val="008C6885"/>
    <w:rsid w:val="008F2CFE"/>
    <w:rsid w:val="00903426"/>
    <w:rsid w:val="00910E30"/>
    <w:rsid w:val="00944960"/>
    <w:rsid w:val="0097026C"/>
    <w:rsid w:val="00976802"/>
    <w:rsid w:val="009B2A32"/>
    <w:rsid w:val="009D7C0C"/>
    <w:rsid w:val="00A052AE"/>
    <w:rsid w:val="00A1506D"/>
    <w:rsid w:val="00A16A9C"/>
    <w:rsid w:val="00A457CE"/>
    <w:rsid w:val="00A51D32"/>
    <w:rsid w:val="00AA38C1"/>
    <w:rsid w:val="00AD0AAE"/>
    <w:rsid w:val="00B23B44"/>
    <w:rsid w:val="00B34308"/>
    <w:rsid w:val="00B40895"/>
    <w:rsid w:val="00B852F4"/>
    <w:rsid w:val="00B85BD1"/>
    <w:rsid w:val="00B93CA0"/>
    <w:rsid w:val="00BB7521"/>
    <w:rsid w:val="00BF6F01"/>
    <w:rsid w:val="00C006F4"/>
    <w:rsid w:val="00C01DB5"/>
    <w:rsid w:val="00C21A19"/>
    <w:rsid w:val="00C35462"/>
    <w:rsid w:val="00C63519"/>
    <w:rsid w:val="00C67B64"/>
    <w:rsid w:val="00C72DAD"/>
    <w:rsid w:val="00C75ABB"/>
    <w:rsid w:val="00C95FFC"/>
    <w:rsid w:val="00CC13B4"/>
    <w:rsid w:val="00D051D0"/>
    <w:rsid w:val="00D24518"/>
    <w:rsid w:val="00D6204F"/>
    <w:rsid w:val="00E0419C"/>
    <w:rsid w:val="00E20A63"/>
    <w:rsid w:val="00E65587"/>
    <w:rsid w:val="00E66305"/>
    <w:rsid w:val="00E87E8C"/>
    <w:rsid w:val="00E90F4F"/>
    <w:rsid w:val="00EA3848"/>
    <w:rsid w:val="00F16015"/>
    <w:rsid w:val="00F17837"/>
    <w:rsid w:val="00F353F6"/>
    <w:rsid w:val="00F405FC"/>
    <w:rsid w:val="00F43905"/>
    <w:rsid w:val="00F573FE"/>
    <w:rsid w:val="00F60F29"/>
    <w:rsid w:val="00F67190"/>
    <w:rsid w:val="00F7443C"/>
    <w:rsid w:val="00F760E5"/>
    <w:rsid w:val="00F95910"/>
    <w:rsid w:val="00FB3196"/>
    <w:rsid w:val="00FC6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hone"/>
  <w:smartTagType w:namespaceuri="urn:schemas-microsoft-com:office:smarttags" w:name="stockticker"/>
  <w:smartTagType w:namespaceuri="urn:schemas-microsoft-com:office:smarttags" w:name="City"/>
  <w:smartTagType w:namespaceuri="urn:schemas-microsoft-com:office:smarttags" w:name="St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0C7E86"/>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C7E86"/>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C7E86"/>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C7E86"/>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C7E86"/>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C7E86"/>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C7E86"/>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C7E86"/>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C7E86"/>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rsid w:val="000C7E8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C7E86"/>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0C7E86"/>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3246D7"/>
    <w:pPr>
      <w:spacing w:after="240"/>
    </w:pPr>
  </w:style>
  <w:style w:type="paragraph" w:styleId="BodyTextIndent">
    <w:name w:val="Body Text Indent"/>
    <w:basedOn w:val="Normal"/>
    <w:rsid w:val="000C7E86"/>
    <w:pPr>
      <w:spacing w:after="240"/>
      <w:ind w:left="720"/>
    </w:pPr>
    <w:rPr>
      <w:iCs/>
      <w:szCs w:val="20"/>
    </w:rPr>
  </w:style>
  <w:style w:type="paragraph" w:customStyle="1" w:styleId="Bullet">
    <w:name w:val="Bullet"/>
    <w:basedOn w:val="Normal"/>
    <w:rsid w:val="000C7E86"/>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rsid w:val="000C7E86"/>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0C7E86"/>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C7E86"/>
    <w:rPr>
      <w:sz w:val="18"/>
      <w:szCs w:val="20"/>
    </w:rPr>
  </w:style>
  <w:style w:type="paragraph" w:customStyle="1" w:styleId="Formula">
    <w:name w:val="Formula"/>
    <w:basedOn w:val="Normal"/>
    <w:autoRedefine/>
    <w:rsid w:val="000C7E86"/>
    <w:pPr>
      <w:tabs>
        <w:tab w:val="left" w:pos="2340"/>
        <w:tab w:val="left" w:pos="3420"/>
      </w:tabs>
      <w:spacing w:after="240"/>
      <w:ind w:left="3420" w:hanging="2700"/>
    </w:pPr>
    <w:rPr>
      <w:bCs/>
    </w:rPr>
  </w:style>
  <w:style w:type="paragraph" w:customStyle="1" w:styleId="FormulaBold">
    <w:name w:val="Formula Bold"/>
    <w:basedOn w:val="Normal"/>
    <w:autoRedefine/>
    <w:rsid w:val="000C7E86"/>
    <w:pPr>
      <w:tabs>
        <w:tab w:val="left" w:pos="2340"/>
        <w:tab w:val="left" w:pos="3420"/>
      </w:tabs>
      <w:spacing w:after="240"/>
      <w:ind w:left="3420" w:hanging="2700"/>
    </w:pPr>
    <w:rPr>
      <w:b/>
      <w:bCs/>
    </w:rPr>
  </w:style>
  <w:style w:type="table" w:customStyle="1" w:styleId="FormulaVariableTable">
    <w:name w:val="Formula Variable Table"/>
    <w:basedOn w:val="TableNormal"/>
    <w:rsid w:val="000C7E8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C7E86"/>
    <w:pPr>
      <w:numPr>
        <w:ilvl w:val="0"/>
        <w:numId w:val="0"/>
      </w:numPr>
      <w:tabs>
        <w:tab w:val="left" w:pos="900"/>
      </w:tabs>
      <w:ind w:left="900" w:hanging="900"/>
    </w:pPr>
  </w:style>
  <w:style w:type="paragraph" w:customStyle="1" w:styleId="H3">
    <w:name w:val="H3"/>
    <w:basedOn w:val="Heading3"/>
    <w:next w:val="BodyText"/>
    <w:link w:val="H3Char"/>
    <w:rsid w:val="000C7E86"/>
    <w:pPr>
      <w:numPr>
        <w:ilvl w:val="0"/>
        <w:numId w:val="0"/>
      </w:numPr>
      <w:tabs>
        <w:tab w:val="clear" w:pos="1008"/>
        <w:tab w:val="left" w:pos="1080"/>
      </w:tabs>
      <w:ind w:left="1080" w:hanging="1080"/>
    </w:pPr>
  </w:style>
  <w:style w:type="paragraph" w:customStyle="1" w:styleId="H4">
    <w:name w:val="H4"/>
    <w:basedOn w:val="Heading4"/>
    <w:next w:val="BodyText"/>
    <w:link w:val="H4Char"/>
    <w:rsid w:val="000C7E86"/>
    <w:pPr>
      <w:numPr>
        <w:ilvl w:val="0"/>
        <w:numId w:val="0"/>
      </w:numPr>
      <w:tabs>
        <w:tab w:val="clear" w:pos="1296"/>
        <w:tab w:val="left" w:pos="1260"/>
      </w:tabs>
      <w:ind w:left="1260" w:hanging="1260"/>
    </w:pPr>
  </w:style>
  <w:style w:type="paragraph" w:customStyle="1" w:styleId="H5">
    <w:name w:val="H5"/>
    <w:basedOn w:val="Heading5"/>
    <w:next w:val="BodyText"/>
    <w:rsid w:val="000C7E86"/>
    <w:pPr>
      <w:numPr>
        <w:ilvl w:val="0"/>
        <w:numId w:val="0"/>
      </w:numPr>
      <w:tabs>
        <w:tab w:val="clear" w:pos="1440"/>
        <w:tab w:val="left" w:pos="1620"/>
      </w:tabs>
      <w:ind w:left="1620" w:hanging="1620"/>
    </w:pPr>
  </w:style>
  <w:style w:type="paragraph" w:customStyle="1" w:styleId="H6">
    <w:name w:val="H6"/>
    <w:basedOn w:val="Heading6"/>
    <w:next w:val="BodyText"/>
    <w:rsid w:val="000C7E86"/>
    <w:pPr>
      <w:numPr>
        <w:ilvl w:val="0"/>
        <w:numId w:val="0"/>
      </w:numPr>
      <w:tabs>
        <w:tab w:val="clear" w:pos="1584"/>
        <w:tab w:val="left" w:pos="1800"/>
      </w:tabs>
      <w:ind w:left="1800" w:hanging="1800"/>
    </w:pPr>
  </w:style>
  <w:style w:type="paragraph" w:customStyle="1" w:styleId="H7">
    <w:name w:val="H7"/>
    <w:basedOn w:val="Heading7"/>
    <w:next w:val="BodyText"/>
    <w:rsid w:val="000C7E86"/>
    <w:pPr>
      <w:numPr>
        <w:ilvl w:val="0"/>
        <w:numId w:val="0"/>
      </w:numPr>
      <w:tabs>
        <w:tab w:val="clear" w:pos="1728"/>
        <w:tab w:val="left" w:pos="1980"/>
      </w:tabs>
      <w:ind w:left="1980" w:hanging="1980"/>
    </w:pPr>
    <w:rPr>
      <w:b/>
      <w:i/>
    </w:rPr>
  </w:style>
  <w:style w:type="paragraph" w:customStyle="1" w:styleId="H8">
    <w:name w:val="H8"/>
    <w:basedOn w:val="Heading8"/>
    <w:next w:val="BodyText"/>
    <w:rsid w:val="000C7E8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C7E86"/>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C7E86"/>
    <w:pPr>
      <w:keepNext/>
      <w:spacing w:before="240"/>
    </w:pPr>
    <w:rPr>
      <w:b/>
      <w:iCs/>
      <w:szCs w:val="20"/>
    </w:rPr>
  </w:style>
  <w:style w:type="paragraph" w:customStyle="1" w:styleId="Instructions">
    <w:name w:val="Instructions"/>
    <w:basedOn w:val="BodyText"/>
    <w:rsid w:val="000C7E86"/>
    <w:rPr>
      <w:b/>
      <w:i/>
      <w:iCs/>
    </w:rPr>
  </w:style>
  <w:style w:type="paragraph" w:styleId="List">
    <w:name w:val="List"/>
    <w:basedOn w:val="Normal"/>
    <w:rsid w:val="000C7E86"/>
    <w:pPr>
      <w:spacing w:after="240"/>
      <w:ind w:left="720" w:hanging="720"/>
    </w:pPr>
    <w:rPr>
      <w:szCs w:val="20"/>
    </w:rPr>
  </w:style>
  <w:style w:type="paragraph" w:styleId="List2">
    <w:name w:val="List 2"/>
    <w:basedOn w:val="Normal"/>
    <w:rsid w:val="000C7E86"/>
    <w:pPr>
      <w:spacing w:after="240"/>
      <w:ind w:left="1440" w:hanging="720"/>
    </w:pPr>
    <w:rPr>
      <w:szCs w:val="20"/>
    </w:rPr>
  </w:style>
  <w:style w:type="paragraph" w:styleId="List3">
    <w:name w:val="List 3"/>
    <w:basedOn w:val="Normal"/>
    <w:rsid w:val="000C7E86"/>
    <w:pPr>
      <w:spacing w:after="240"/>
      <w:ind w:left="2160" w:hanging="720"/>
    </w:pPr>
    <w:rPr>
      <w:szCs w:val="20"/>
    </w:rPr>
  </w:style>
  <w:style w:type="paragraph" w:customStyle="1" w:styleId="ListIntroduction">
    <w:name w:val="List Introduction"/>
    <w:basedOn w:val="BodyText"/>
    <w:rsid w:val="000C7E86"/>
    <w:pPr>
      <w:keepNext/>
    </w:pPr>
    <w:rPr>
      <w:iCs/>
      <w:szCs w:val="20"/>
    </w:rPr>
  </w:style>
  <w:style w:type="paragraph" w:customStyle="1" w:styleId="ListSub">
    <w:name w:val="List Sub"/>
    <w:basedOn w:val="List"/>
    <w:rsid w:val="000C7E86"/>
    <w:pPr>
      <w:ind w:firstLine="0"/>
    </w:pPr>
  </w:style>
  <w:style w:type="character" w:styleId="PageNumber">
    <w:name w:val="page number"/>
    <w:basedOn w:val="DefaultParagraphFont"/>
    <w:rsid w:val="000C7E86"/>
  </w:style>
  <w:style w:type="paragraph" w:customStyle="1" w:styleId="Spaceafterbox">
    <w:name w:val="Space after box"/>
    <w:basedOn w:val="Normal"/>
    <w:rsid w:val="000C7E86"/>
    <w:rPr>
      <w:szCs w:val="20"/>
    </w:rPr>
  </w:style>
  <w:style w:type="paragraph" w:customStyle="1" w:styleId="TableBody">
    <w:name w:val="Table Body"/>
    <w:basedOn w:val="BodyText"/>
    <w:rsid w:val="000C7E86"/>
    <w:pPr>
      <w:spacing w:after="60"/>
    </w:pPr>
    <w:rPr>
      <w:iCs/>
      <w:sz w:val="20"/>
      <w:szCs w:val="20"/>
    </w:rPr>
  </w:style>
  <w:style w:type="paragraph" w:customStyle="1" w:styleId="TableBullet">
    <w:name w:val="Table Bullet"/>
    <w:basedOn w:val="TableBody"/>
    <w:rsid w:val="000C7E86"/>
    <w:pPr>
      <w:numPr>
        <w:numId w:val="14"/>
      </w:numPr>
      <w:ind w:left="0" w:firstLine="0"/>
    </w:pPr>
  </w:style>
  <w:style w:type="table" w:styleId="TableGrid">
    <w:name w:val="Table Grid"/>
    <w:basedOn w:val="TableNormal"/>
    <w:rsid w:val="000C7E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0C7E86"/>
    <w:rPr>
      <w:b/>
      <w:iCs/>
      <w:sz w:val="20"/>
      <w:szCs w:val="20"/>
    </w:rPr>
  </w:style>
  <w:style w:type="paragraph" w:styleId="TOC1">
    <w:name w:val="toc 1"/>
    <w:basedOn w:val="Normal"/>
    <w:next w:val="Normal"/>
    <w:autoRedefine/>
    <w:semiHidden/>
    <w:rsid w:val="000C7E86"/>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C7E86"/>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C7E86"/>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C7E86"/>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C7E86"/>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C7E86"/>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C7E86"/>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C7E86"/>
    <w:pPr>
      <w:ind w:left="1680"/>
    </w:pPr>
    <w:rPr>
      <w:sz w:val="18"/>
      <w:szCs w:val="18"/>
    </w:rPr>
  </w:style>
  <w:style w:type="paragraph" w:styleId="TOC9">
    <w:name w:val="toc 9"/>
    <w:basedOn w:val="Normal"/>
    <w:next w:val="Normal"/>
    <w:autoRedefine/>
    <w:semiHidden/>
    <w:rsid w:val="000C7E86"/>
    <w:pPr>
      <w:ind w:left="1920"/>
    </w:pPr>
    <w:rPr>
      <w:sz w:val="18"/>
      <w:szCs w:val="18"/>
    </w:rPr>
  </w:style>
  <w:style w:type="paragraph" w:customStyle="1" w:styleId="VariableDefinition">
    <w:name w:val="Variable Definition"/>
    <w:basedOn w:val="BodyTextIndent"/>
    <w:rsid w:val="000C7E86"/>
    <w:pPr>
      <w:tabs>
        <w:tab w:val="left" w:pos="2160"/>
      </w:tabs>
      <w:ind w:left="2160" w:hanging="1440"/>
      <w:contextualSpacing/>
    </w:pPr>
  </w:style>
  <w:style w:type="table" w:customStyle="1" w:styleId="VariableTable">
    <w:name w:val="Variable Table"/>
    <w:basedOn w:val="TableNormal"/>
    <w:rsid w:val="000C7E86"/>
    <w:tblPr>
      <w:tblInd w:w="0" w:type="dxa"/>
      <w:tblCellMar>
        <w:top w:w="0" w:type="dxa"/>
        <w:left w:w="108" w:type="dxa"/>
        <w:bottom w:w="0" w:type="dxa"/>
        <w:right w:w="108" w:type="dxa"/>
      </w:tblCellMar>
    </w:tblPr>
  </w:style>
  <w:style w:type="paragraph" w:styleId="BalloonText">
    <w:name w:val="Balloon Text"/>
    <w:basedOn w:val="Normal"/>
    <w:semiHidden/>
    <w:rsid w:val="00C006F4"/>
    <w:rPr>
      <w:rFonts w:ascii="Tahoma" w:hAnsi="Tahoma" w:cs="Tahoma"/>
      <w:sz w:val="16"/>
      <w:szCs w:val="16"/>
    </w:rPr>
  </w:style>
  <w:style w:type="character" w:styleId="CommentReference">
    <w:name w:val="annotation reference"/>
    <w:basedOn w:val="DefaultParagraphFont"/>
    <w:semiHidden/>
    <w:rsid w:val="0010604E"/>
    <w:rPr>
      <w:sz w:val="16"/>
      <w:szCs w:val="16"/>
    </w:rPr>
  </w:style>
  <w:style w:type="paragraph" w:styleId="CommentText">
    <w:name w:val="annotation text"/>
    <w:basedOn w:val="Normal"/>
    <w:semiHidden/>
    <w:rsid w:val="0010604E"/>
    <w:rPr>
      <w:sz w:val="20"/>
      <w:szCs w:val="20"/>
    </w:rPr>
  </w:style>
  <w:style w:type="paragraph" w:styleId="CommentSubject">
    <w:name w:val="annotation subject"/>
    <w:basedOn w:val="CommentText"/>
    <w:next w:val="CommentText"/>
    <w:semiHidden/>
    <w:rsid w:val="0010604E"/>
    <w:rPr>
      <w:b/>
      <w:bCs/>
    </w:rPr>
  </w:style>
  <w:style w:type="character" w:customStyle="1" w:styleId="NormalArialChar">
    <w:name w:val="Normal+Arial Char"/>
    <w:basedOn w:val="DefaultParagraphFont"/>
    <w:link w:val="NormalArial"/>
    <w:rsid w:val="00B85BD1"/>
    <w:rPr>
      <w:rFonts w:ascii="Arial" w:hAnsi="Arial"/>
      <w:sz w:val="24"/>
      <w:szCs w:val="24"/>
      <w:lang w:val="en-US" w:eastAsia="en-US" w:bidi="ar-SA"/>
    </w:rPr>
  </w:style>
  <w:style w:type="character" w:customStyle="1" w:styleId="BodyTextNumberedChar1">
    <w:name w:val="Body Text Numbered Char1"/>
    <w:basedOn w:val="DefaultParagraphFont"/>
    <w:link w:val="BodyTextNumbered"/>
    <w:uiPriority w:val="99"/>
    <w:rsid w:val="00383223"/>
    <w:rPr>
      <w:iCs/>
      <w:sz w:val="24"/>
    </w:rPr>
  </w:style>
  <w:style w:type="paragraph" w:customStyle="1" w:styleId="BodyTextNumbered">
    <w:name w:val="Body Text Numbered"/>
    <w:basedOn w:val="BodyText"/>
    <w:link w:val="BodyTextNumberedChar1"/>
    <w:rsid w:val="00383223"/>
    <w:pPr>
      <w:ind w:left="720" w:hanging="720"/>
    </w:pPr>
    <w:rPr>
      <w:iCs/>
      <w:szCs w:val="20"/>
    </w:rPr>
  </w:style>
  <w:style w:type="character" w:customStyle="1" w:styleId="H2Char">
    <w:name w:val="H2 Char"/>
    <w:basedOn w:val="DefaultParagraphFont"/>
    <w:link w:val="H2"/>
    <w:rsid w:val="00BF6F01"/>
    <w:rPr>
      <w:b/>
      <w:sz w:val="24"/>
    </w:rPr>
  </w:style>
  <w:style w:type="character" w:customStyle="1" w:styleId="H4Char">
    <w:name w:val="H4 Char"/>
    <w:basedOn w:val="DefaultParagraphFont"/>
    <w:link w:val="H4"/>
    <w:rsid w:val="00BF6F01"/>
    <w:rPr>
      <w:b/>
      <w:bCs/>
      <w:snapToGrid w:val="0"/>
      <w:sz w:val="24"/>
    </w:rPr>
  </w:style>
  <w:style w:type="character" w:customStyle="1" w:styleId="H3Char">
    <w:name w:val="H3 Char"/>
    <w:basedOn w:val="DefaultParagraphFont"/>
    <w:link w:val="H3"/>
    <w:rsid w:val="00BF6F01"/>
    <w:rPr>
      <w:b/>
      <w:bCs/>
      <w:i/>
      <w:sz w:val="24"/>
    </w:r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basedOn w:val="DefaultParagraphFont"/>
    <w:link w:val="BodyText"/>
    <w:rsid w:val="00BF6F01"/>
    <w:rPr>
      <w:sz w:val="24"/>
      <w:szCs w:val="24"/>
    </w:rPr>
  </w:style>
  <w:style w:type="character" w:styleId="FootnoteReference">
    <w:name w:val="footnote reference"/>
    <w:basedOn w:val="DefaultParagraphFont"/>
    <w:rsid w:val="00BF6F01"/>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ndall@ercot.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coon@ercot.com"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pappl@ercot.com" TargetMode="Externa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mailto:mpappl@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4787</Words>
  <Characters>27291</Characters>
  <Application>Microsoft Office Word</Application>
  <DocSecurity>4</DocSecurity>
  <Lines>227</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32014</CharactersWithSpaces>
  <SharedDoc>false</SharedDoc>
  <HLinks>
    <vt:vector size="24" baseType="variant">
      <vt:variant>
        <vt:i4>131127</vt:i4>
      </vt:variant>
      <vt:variant>
        <vt:i4>9</vt:i4>
      </vt:variant>
      <vt:variant>
        <vt:i4>0</vt:i4>
      </vt:variant>
      <vt:variant>
        <vt:i4>5</vt:i4>
      </vt:variant>
      <vt:variant>
        <vt:lpwstr>mailto:mpappl@ercot.com</vt:lpwstr>
      </vt:variant>
      <vt:variant>
        <vt:lpwstr/>
      </vt:variant>
      <vt:variant>
        <vt:i4>131127</vt:i4>
      </vt:variant>
      <vt:variant>
        <vt:i4>6</vt:i4>
      </vt:variant>
      <vt:variant>
        <vt:i4>0</vt:i4>
      </vt:variant>
      <vt:variant>
        <vt:i4>5</vt:i4>
      </vt:variant>
      <vt:variant>
        <vt:lpwstr>mailto:mpappl@ercot.com</vt:lpwstr>
      </vt:variant>
      <vt:variant>
        <vt:lpwstr/>
      </vt:variant>
      <vt:variant>
        <vt:i4>7077964</vt:i4>
      </vt:variant>
      <vt:variant>
        <vt:i4>3</vt:i4>
      </vt:variant>
      <vt:variant>
        <vt:i4>0</vt:i4>
      </vt:variant>
      <vt:variant>
        <vt:i4>5</vt:i4>
      </vt:variant>
      <vt:variant>
        <vt:lpwstr>mailto:stindall@ercot.com</vt:lpwstr>
      </vt:variant>
      <vt:variant>
        <vt:lpwstr/>
      </vt:variant>
      <vt:variant>
        <vt:i4>7274586</vt:i4>
      </vt:variant>
      <vt:variant>
        <vt:i4>0</vt:i4>
      </vt:variant>
      <vt:variant>
        <vt:i4>0</vt:i4>
      </vt:variant>
      <vt:variant>
        <vt:i4>5</vt:i4>
      </vt:variant>
      <vt:variant>
        <vt:lpwstr>mailto:pcoon@ercot.com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2004-09-29T14:26:00Z</cp:lastPrinted>
  <dcterms:created xsi:type="dcterms:W3CDTF">2011-06-27T17:33:00Z</dcterms:created>
  <dcterms:modified xsi:type="dcterms:W3CDTF">2011-06-27T17:33:00Z</dcterms:modified>
</cp:coreProperties>
</file>