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067FE2" w:rsidP="00F44236">
            <w:pPr>
              <w:pStyle w:val="Header"/>
            </w:pPr>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D345E7" w:rsidP="00D345E7">
            <w:pPr>
              <w:pStyle w:val="Header"/>
            </w:pPr>
            <w:r w:rsidRPr="00D345E7">
              <w:t xml:space="preserve">Hydro RRS Deployment UFR </w:t>
            </w:r>
            <w:r>
              <w:t>S</w:t>
            </w:r>
            <w:r w:rsidRPr="00D345E7">
              <w:t xml:space="preserve">et </w:t>
            </w:r>
            <w:r>
              <w:t>P</w:t>
            </w:r>
            <w:r w:rsidRPr="00D345E7">
              <w:t>oint</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DF2F3A" w:rsidP="00F44236">
            <w:pPr>
              <w:pStyle w:val="NormalArial"/>
            </w:pPr>
            <w:r>
              <w:t xml:space="preserve">June </w:t>
            </w:r>
            <w:r w:rsidR="00BE6C1A">
              <w:t>9</w:t>
            </w:r>
            <w:r>
              <w:t>, 2011</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067FE2" w:rsidTr="00F44236">
        <w:trPr>
          <w:trHeight w:val="773"/>
        </w:trPr>
        <w:tc>
          <w:tcPr>
            <w:tcW w:w="2880" w:type="dxa"/>
            <w:gridSpan w:val="2"/>
            <w:tcBorders>
              <w:top w:val="single" w:sz="4" w:space="0" w:color="auto"/>
              <w:bottom w:val="single" w:sz="4" w:space="0" w:color="auto"/>
            </w:tcBorders>
            <w:shd w:val="clear" w:color="auto" w:fill="FFFFFF"/>
            <w:vAlign w:val="center"/>
          </w:tcPr>
          <w:p w:rsidR="00067FE2" w:rsidRDefault="00067FE2" w:rsidP="00F44236">
            <w:pPr>
              <w:pStyle w:val="Header"/>
            </w:pPr>
            <w:r>
              <w:t>Nodal Protocol Section</w:t>
            </w:r>
            <w:r w:rsidR="00D91EE9">
              <w:t>(</w:t>
            </w:r>
            <w:r>
              <w:t>s</w:t>
            </w:r>
            <w:r w:rsidR="00D91EE9">
              <w:t>)</w:t>
            </w:r>
            <w:r>
              <w:t xml:space="preserve"> Requiring Revision </w:t>
            </w:r>
          </w:p>
          <w:p w:rsidR="00067FE2" w:rsidRDefault="00067FE2" w:rsidP="00F44236">
            <w:pPr>
              <w:pStyle w:val="Header"/>
            </w:pPr>
          </w:p>
        </w:tc>
        <w:tc>
          <w:tcPr>
            <w:tcW w:w="7560" w:type="dxa"/>
            <w:gridSpan w:val="2"/>
            <w:tcBorders>
              <w:top w:val="single" w:sz="4" w:space="0" w:color="auto"/>
            </w:tcBorders>
            <w:vAlign w:val="center"/>
          </w:tcPr>
          <w:p w:rsidR="00DF2F3A" w:rsidRDefault="00DF2F3A" w:rsidP="00DF2F3A">
            <w:pPr>
              <w:pStyle w:val="NormalArial"/>
            </w:pPr>
            <w:r>
              <w:t xml:space="preserve">3.8.4, </w:t>
            </w:r>
            <w:r w:rsidRPr="00DF2F3A">
              <w:t>Hydro Generation Resources</w:t>
            </w:r>
          </w:p>
          <w:p w:rsidR="00067FE2" w:rsidRDefault="00DF2F3A" w:rsidP="00DF2F3A">
            <w:pPr>
              <w:pStyle w:val="NormalArial"/>
            </w:pPr>
            <w:r w:rsidRPr="00DF2F3A">
              <w:t>3.18</w:t>
            </w:r>
            <w:r>
              <w:t xml:space="preserve">, </w:t>
            </w:r>
            <w:r w:rsidRPr="00DF2F3A">
              <w:t>Resource Limits in Providing Ancillary Service</w:t>
            </w:r>
          </w:p>
          <w:p w:rsidR="00DF2F3A" w:rsidRDefault="00DF2F3A" w:rsidP="00DF2F3A">
            <w:pPr>
              <w:pStyle w:val="NormalArial"/>
            </w:pPr>
            <w:r>
              <w:t xml:space="preserve">8.1.1.4.2, </w:t>
            </w:r>
            <w:r w:rsidRPr="00DF2F3A">
              <w:t>Responsive Reserve Service Energy Deployment Criteria</w:t>
            </w:r>
          </w:p>
        </w:tc>
      </w:tr>
      <w:tr w:rsidR="00D91EE9" w:rsidTr="00BC2D06">
        <w:trPr>
          <w:trHeight w:val="518"/>
        </w:trPr>
        <w:tc>
          <w:tcPr>
            <w:tcW w:w="2880" w:type="dxa"/>
            <w:gridSpan w:val="2"/>
            <w:tcBorders>
              <w:bottom w:val="single" w:sz="4" w:space="0" w:color="auto"/>
            </w:tcBorders>
            <w:shd w:val="clear" w:color="auto" w:fill="FFFFFF"/>
            <w:vAlign w:val="center"/>
          </w:tcPr>
          <w:p w:rsidR="00D91EE9" w:rsidRDefault="00D91EE9" w:rsidP="005F0AA0">
            <w:pPr>
              <w:pStyle w:val="Header"/>
            </w:pPr>
            <w:r>
              <w:t xml:space="preserve">Requested Resolution </w:t>
            </w:r>
          </w:p>
        </w:tc>
        <w:tc>
          <w:tcPr>
            <w:tcW w:w="7560" w:type="dxa"/>
            <w:gridSpan w:val="2"/>
            <w:tcBorders>
              <w:bottom w:val="single" w:sz="4" w:space="0" w:color="auto"/>
            </w:tcBorders>
            <w:vAlign w:val="center"/>
          </w:tcPr>
          <w:p w:rsidR="00D91EE9" w:rsidRDefault="00DF2F3A" w:rsidP="00F44236">
            <w:pPr>
              <w:pStyle w:val="NormalArial"/>
            </w:pPr>
            <w:r>
              <w:t>Normal</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Revision Description</w:t>
            </w:r>
          </w:p>
        </w:tc>
        <w:tc>
          <w:tcPr>
            <w:tcW w:w="7560" w:type="dxa"/>
            <w:gridSpan w:val="2"/>
            <w:tcBorders>
              <w:bottom w:val="single" w:sz="4" w:space="0" w:color="auto"/>
            </w:tcBorders>
            <w:vAlign w:val="center"/>
          </w:tcPr>
          <w:p w:rsidR="00067FE2" w:rsidRDefault="00DF2F3A" w:rsidP="00A5678D">
            <w:pPr>
              <w:pStyle w:val="NormalArial"/>
            </w:pPr>
            <w:r>
              <w:t>This Nodal Proto</w:t>
            </w:r>
            <w:r w:rsidR="00B75A26">
              <w:t xml:space="preserve">col Revision Request (NPRR) clarifies that, for </w:t>
            </w:r>
            <w:r w:rsidR="005F0AA0">
              <w:rPr>
                <w:sz w:val="23"/>
                <w:szCs w:val="23"/>
              </w:rPr>
              <w:t>h</w:t>
            </w:r>
            <w:r w:rsidR="00B75A26">
              <w:rPr>
                <w:sz w:val="23"/>
                <w:szCs w:val="23"/>
              </w:rPr>
              <w:t>ydro</w:t>
            </w:r>
            <w:r w:rsidR="005F0AA0">
              <w:rPr>
                <w:sz w:val="23"/>
                <w:szCs w:val="23"/>
              </w:rPr>
              <w:t xml:space="preserve"> Generation</w:t>
            </w:r>
            <w:r w:rsidR="00B75A26">
              <w:rPr>
                <w:sz w:val="23"/>
                <w:szCs w:val="23"/>
              </w:rPr>
              <w:t xml:space="preserve"> Resources operating in the synchronous condenser fast-response mode to provide Responsive Reserve (RRS)</w:t>
            </w:r>
            <w:r w:rsidR="00B75A26">
              <w:t xml:space="preserve">, the </w:t>
            </w:r>
            <w:r w:rsidR="00B75A26">
              <w:rPr>
                <w:szCs w:val="20"/>
              </w:rPr>
              <w:t>initiation setting of the automatic under frequency relay (UFR) setting sh</w:t>
            </w:r>
            <w:r w:rsidR="00A5678D">
              <w:rPr>
                <w:szCs w:val="20"/>
              </w:rPr>
              <w:t>all not be lower than 59.8</w:t>
            </w:r>
            <w:r w:rsidR="00CF008D">
              <w:rPr>
                <w:szCs w:val="20"/>
              </w:rPr>
              <w:t>0</w:t>
            </w:r>
            <w:r w:rsidR="00A5678D">
              <w:rPr>
                <w:szCs w:val="20"/>
              </w:rPr>
              <w:t xml:space="preserve"> Hz.</w:t>
            </w:r>
            <w:r w:rsidR="00B75A26" w:rsidRPr="00A5678D">
              <w:rPr>
                <w:szCs w:val="20"/>
              </w:rPr>
              <w:t xml:space="preserve"> It also </w:t>
            </w:r>
            <w:r w:rsidR="00DD102B" w:rsidRPr="00A5678D">
              <w:rPr>
                <w:szCs w:val="20"/>
              </w:rPr>
              <w:t>includes language to address the instances when a hydro</w:t>
            </w:r>
            <w:r w:rsidR="00D862C8" w:rsidRPr="00A5678D">
              <w:t xml:space="preserve"> Generation Resource operating in synchronous c</w:t>
            </w:r>
            <w:r w:rsidR="00DD102B" w:rsidRPr="00A5678D">
              <w:t xml:space="preserve">ondenser fast response mode is </w:t>
            </w:r>
            <w:r w:rsidR="00B34D4D">
              <w:t xml:space="preserve">triggered by an </w:t>
            </w:r>
            <w:r w:rsidR="00D862C8" w:rsidRPr="00A5678D">
              <w:t>UFR</w:t>
            </w:r>
            <w:r w:rsidR="00B34D4D">
              <w:t xml:space="preserve"> device</w:t>
            </w:r>
            <w:r w:rsidR="00D862C8" w:rsidRPr="00A5678D">
              <w:t xml:space="preserve"> without a corresponding RRS deployment by ERCOT</w:t>
            </w:r>
            <w:r w:rsidR="00B75A26" w:rsidRPr="00A5678D">
              <w:t xml:space="preserve">.  </w:t>
            </w:r>
            <w:r w:rsidR="00B75A26">
              <w:t xml:space="preserve">It is a companion to Nodal Operating Guide Revision Request (NOGRR) 068 (Hydro-Responsive Reserve) and has been prepared in </w:t>
            </w:r>
            <w:r w:rsidR="000C060D">
              <w:t xml:space="preserve">coordination </w:t>
            </w:r>
            <w:r w:rsidR="00B75A26">
              <w:t>with ERCOT Staff.</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Reason for Revision</w:t>
            </w:r>
          </w:p>
        </w:tc>
        <w:tc>
          <w:tcPr>
            <w:tcW w:w="7560" w:type="dxa"/>
            <w:gridSpan w:val="2"/>
            <w:tcBorders>
              <w:bottom w:val="single" w:sz="4" w:space="0" w:color="auto"/>
            </w:tcBorders>
            <w:vAlign w:val="center"/>
          </w:tcPr>
          <w:p w:rsidR="00C90766" w:rsidRPr="00CF008D" w:rsidRDefault="00C90766" w:rsidP="00CF008D">
            <w:pPr>
              <w:pStyle w:val="NormalArial"/>
            </w:pPr>
            <w:r w:rsidRPr="00CF008D">
              <w:t>T</w:t>
            </w:r>
            <w:r w:rsidR="008044EC" w:rsidRPr="00CF008D">
              <w:t>his Protocol revision</w:t>
            </w:r>
            <w:r w:rsidR="00DD102B" w:rsidRPr="00CF008D">
              <w:t xml:space="preserve"> </w:t>
            </w:r>
            <w:r w:rsidR="008044EC" w:rsidRPr="00CF008D">
              <w:t>establish</w:t>
            </w:r>
            <w:r w:rsidR="00DD102B" w:rsidRPr="00CF008D">
              <w:t>es</w:t>
            </w:r>
            <w:r w:rsidR="008044EC" w:rsidRPr="00CF008D">
              <w:t xml:space="preserve"> the minimum set point </w:t>
            </w:r>
            <w:r w:rsidR="00FE4DD3" w:rsidRPr="00CF008D">
              <w:t>at which</w:t>
            </w:r>
            <w:r w:rsidR="00B34D4D" w:rsidRPr="00CF008D">
              <w:t xml:space="preserve"> a hydro Generation Resource must</w:t>
            </w:r>
            <w:r w:rsidR="008044EC" w:rsidRPr="00CF008D">
              <w:t xml:space="preserve"> set its UFR device for automatic response to</w:t>
            </w:r>
            <w:r w:rsidR="00B34D4D" w:rsidRPr="00CF008D">
              <w:t xml:space="preserve"> an</w:t>
            </w:r>
            <w:r w:rsidR="008044EC" w:rsidRPr="00CF008D">
              <w:t xml:space="preserve"> ERCOT System frequency event</w:t>
            </w:r>
            <w:r w:rsidR="00B34D4D" w:rsidRPr="00CF008D">
              <w:t xml:space="preserve"> and also clarifies that </w:t>
            </w:r>
            <w:r w:rsidR="00CF008D" w:rsidRPr="00CF008D">
              <w:t xml:space="preserve">same </w:t>
            </w:r>
            <w:r w:rsidR="00B34D4D" w:rsidRPr="00CF008D">
              <w:t xml:space="preserve">resource will not be deemed </w:t>
            </w:r>
            <w:r w:rsidR="00CF008D" w:rsidRPr="00CF008D">
              <w:t>out of compliance</w:t>
            </w:r>
            <w:r w:rsidR="00B34D4D" w:rsidRPr="00CF008D">
              <w:t xml:space="preserve"> </w:t>
            </w:r>
            <w:r w:rsidR="00CF008D">
              <w:t xml:space="preserve">when tripped by UFR without </w:t>
            </w:r>
            <w:r w:rsidR="00B34D4D" w:rsidRPr="00CF008D">
              <w:t xml:space="preserve">corresponding RRS deployment.  </w:t>
            </w:r>
            <w:r w:rsidR="008044EC" w:rsidRPr="00CF008D">
              <w:t xml:space="preserve"> </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Overall Market Benefit</w:t>
            </w:r>
          </w:p>
        </w:tc>
        <w:tc>
          <w:tcPr>
            <w:tcW w:w="7560" w:type="dxa"/>
            <w:gridSpan w:val="2"/>
            <w:tcBorders>
              <w:bottom w:val="single" w:sz="4" w:space="0" w:color="auto"/>
            </w:tcBorders>
            <w:vAlign w:val="center"/>
          </w:tcPr>
          <w:p w:rsidR="00067FE2" w:rsidRDefault="007B14BE" w:rsidP="00B47FBC">
            <w:pPr>
              <w:pStyle w:val="NormalArial"/>
            </w:pPr>
            <w:r>
              <w:t xml:space="preserve">This </w:t>
            </w:r>
            <w:r w:rsidR="00CF008D">
              <w:t xml:space="preserve">protocol revision </w:t>
            </w:r>
            <w:r>
              <w:t>helps ERCOT recover frequency in a safe and reliable manner</w:t>
            </w:r>
            <w:r w:rsidR="00CF008D">
              <w:t xml:space="preserve">.  </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Overall Market Impact</w:t>
            </w:r>
          </w:p>
        </w:tc>
        <w:tc>
          <w:tcPr>
            <w:tcW w:w="7560" w:type="dxa"/>
            <w:gridSpan w:val="2"/>
            <w:tcBorders>
              <w:bottom w:val="single" w:sz="4" w:space="0" w:color="auto"/>
            </w:tcBorders>
            <w:vAlign w:val="center"/>
          </w:tcPr>
          <w:p w:rsidR="00067FE2" w:rsidRDefault="00E456D6" w:rsidP="003B4B1D">
            <w:pPr>
              <w:pStyle w:val="NormalArial"/>
            </w:pPr>
            <w:r>
              <w:t xml:space="preserve">Greater </w:t>
            </w:r>
            <w:r w:rsidR="00CF008D">
              <w:t xml:space="preserve">System reliability and </w:t>
            </w:r>
            <w:r>
              <w:t xml:space="preserve">overall </w:t>
            </w:r>
            <w:r w:rsidR="00CF008D">
              <w:t>lower RRS costs to market</w:t>
            </w:r>
          </w:p>
        </w:tc>
      </w:tr>
      <w:tr w:rsidR="00067FE2" w:rsidTr="00BC2D06">
        <w:trPr>
          <w:trHeight w:val="518"/>
        </w:trPr>
        <w:tc>
          <w:tcPr>
            <w:tcW w:w="2880" w:type="dxa"/>
            <w:gridSpan w:val="2"/>
            <w:shd w:val="clear" w:color="auto" w:fill="FFFFFF"/>
            <w:vAlign w:val="center"/>
          </w:tcPr>
          <w:p w:rsidR="00067FE2" w:rsidRDefault="00067FE2" w:rsidP="00F44236">
            <w:pPr>
              <w:pStyle w:val="Header"/>
            </w:pPr>
            <w:r>
              <w:t>Consumer Impact</w:t>
            </w:r>
          </w:p>
        </w:tc>
        <w:tc>
          <w:tcPr>
            <w:tcW w:w="7560" w:type="dxa"/>
            <w:gridSpan w:val="2"/>
            <w:vAlign w:val="center"/>
          </w:tcPr>
          <w:p w:rsidR="00067FE2" w:rsidRDefault="00754353" w:rsidP="00F44236">
            <w:pPr>
              <w:pStyle w:val="NormalArial"/>
            </w:pPr>
            <w:r>
              <w:t>Improves grid reliability by providing</w:t>
            </w:r>
            <w:r w:rsidR="00E218C8">
              <w:t xml:space="preserve"> a less than 2</w:t>
            </w:r>
            <w:r w:rsidR="003B4B1D">
              <w:t xml:space="preserve">0-second response time to frequency </w:t>
            </w:r>
            <w:r w:rsidR="00CF008D">
              <w:t xml:space="preserve">dips below 59.80 Hz. </w:t>
            </w:r>
            <w:r w:rsidR="003B4B1D">
              <w:t xml:space="preserve"> </w:t>
            </w:r>
          </w:p>
        </w:tc>
      </w:tr>
      <w:tr w:rsidR="00067FE2" w:rsidTr="00F44236">
        <w:trPr>
          <w:trHeight w:val="890"/>
        </w:trPr>
        <w:tc>
          <w:tcPr>
            <w:tcW w:w="2880" w:type="dxa"/>
            <w:gridSpan w:val="2"/>
            <w:shd w:val="clear" w:color="auto" w:fill="FFFFFF"/>
            <w:vAlign w:val="center"/>
          </w:tcPr>
          <w:p w:rsidR="00067FE2" w:rsidRDefault="00067FE2" w:rsidP="00F44236">
            <w:pPr>
              <w:pStyle w:val="Header"/>
            </w:pPr>
            <w:r>
              <w:t xml:space="preserve">Credit Implications </w:t>
            </w:r>
          </w:p>
          <w:p w:rsidR="00067FE2" w:rsidRDefault="00067FE2" w:rsidP="00F44236">
            <w:pPr>
              <w:pStyle w:val="Header"/>
            </w:pPr>
            <w:r w:rsidRPr="00DF7DA6">
              <w:rPr>
                <w:b w:val="0"/>
                <w:sz w:val="18"/>
                <w:szCs w:val="18"/>
              </w:rPr>
              <w:t>(Yes or No, and summary of impact)</w:t>
            </w:r>
          </w:p>
        </w:tc>
        <w:tc>
          <w:tcPr>
            <w:tcW w:w="7560" w:type="dxa"/>
            <w:gridSpan w:val="2"/>
            <w:vAlign w:val="center"/>
          </w:tcPr>
          <w:p w:rsidR="00067FE2" w:rsidRDefault="00C0583B" w:rsidP="00F44236">
            <w:pPr>
              <w:pStyle w:val="NormalArial"/>
            </w:pPr>
            <w:r>
              <w:t>None</w:t>
            </w:r>
          </w:p>
        </w:tc>
      </w:tr>
    </w:tbl>
    <w:p w:rsidR="009A3772" w:rsidRDefault="009A3772"/>
    <w:tbl>
      <w:tblPr>
        <w:tblW w:w="1044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
        <w:gridCol w:w="1800"/>
        <w:gridCol w:w="360"/>
        <w:gridCol w:w="3600"/>
        <w:gridCol w:w="4673"/>
        <w:gridCol w:w="7"/>
      </w:tblGrid>
      <w:tr w:rsidR="009A3772" w:rsidTr="00B75A26">
        <w:trPr>
          <w:gridBefore w:val="1"/>
          <w:wBefore w:w="7" w:type="dxa"/>
          <w:trHeight w:val="350"/>
        </w:trPr>
        <w:tc>
          <w:tcPr>
            <w:tcW w:w="10440" w:type="dxa"/>
            <w:gridSpan w:val="5"/>
            <w:tcBorders>
              <w:bottom w:val="single" w:sz="4" w:space="0" w:color="auto"/>
            </w:tcBorders>
            <w:shd w:val="clear" w:color="auto" w:fill="FFFFFF"/>
            <w:vAlign w:val="center"/>
          </w:tcPr>
          <w:p w:rsidR="009A3772" w:rsidRDefault="009A3772">
            <w:pPr>
              <w:pStyle w:val="Header"/>
              <w:jc w:val="center"/>
            </w:pPr>
            <w:r>
              <w:br w:type="page"/>
              <w:t>Quantitative Impacts and Benefits</w:t>
            </w:r>
          </w:p>
        </w:tc>
      </w:tr>
      <w:tr w:rsidR="009A3772" w:rsidRPr="00AC6C37"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A3772" w:rsidRPr="00E41BCF" w:rsidRDefault="009A3772">
            <w:pPr>
              <w:pStyle w:val="Header"/>
            </w:pPr>
            <w:r w:rsidRPr="00E41BCF">
              <w:t>Assumptions</w:t>
            </w:r>
          </w:p>
        </w:tc>
        <w:tc>
          <w:tcPr>
            <w:tcW w:w="360" w:type="dxa"/>
            <w:tcBorders>
              <w:top w:val="single" w:sz="12" w:space="0" w:color="auto"/>
              <w:bottom w:val="single" w:sz="8" w:space="0" w:color="auto"/>
            </w:tcBorders>
            <w:vAlign w:val="center"/>
          </w:tcPr>
          <w:p w:rsidR="009A3772" w:rsidRPr="00BD6AA7" w:rsidRDefault="009A3772">
            <w:pPr>
              <w:pStyle w:val="Header"/>
              <w:jc w:val="center"/>
              <w:rPr>
                <w:b w:val="0"/>
                <w:sz w:val="20"/>
                <w:szCs w:val="20"/>
              </w:rPr>
            </w:pPr>
            <w:r w:rsidRPr="00BD6AA7">
              <w:rPr>
                <w:b w:val="0"/>
                <w:sz w:val="20"/>
                <w:szCs w:val="20"/>
              </w:rPr>
              <w:t>1</w:t>
            </w:r>
          </w:p>
        </w:tc>
        <w:tc>
          <w:tcPr>
            <w:tcW w:w="8273" w:type="dxa"/>
            <w:gridSpan w:val="2"/>
            <w:tcBorders>
              <w:top w:val="single" w:sz="12" w:space="0" w:color="auto"/>
              <w:bottom w:val="single" w:sz="8" w:space="0" w:color="auto"/>
            </w:tcBorders>
            <w:vAlign w:val="center"/>
          </w:tcPr>
          <w:p w:rsidR="009A3772" w:rsidRPr="00AC6C37" w:rsidRDefault="009A3772" w:rsidP="00932172">
            <w:pPr>
              <w:pStyle w:val="Header"/>
              <w:rPr>
                <w:b w:val="0"/>
                <w:i/>
                <w:sz w:val="20"/>
                <w:szCs w:val="20"/>
              </w:rPr>
            </w:pPr>
          </w:p>
        </w:tc>
      </w:tr>
      <w:tr w:rsidR="009A3772" w:rsidRPr="00AC6C37"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pPr>
          </w:p>
        </w:tc>
        <w:tc>
          <w:tcPr>
            <w:tcW w:w="360" w:type="dxa"/>
            <w:tcBorders>
              <w:top w:val="single" w:sz="8" w:space="0" w:color="auto"/>
            </w:tcBorders>
            <w:vAlign w:val="center"/>
          </w:tcPr>
          <w:p w:rsidR="009A3772" w:rsidRPr="00864358" w:rsidRDefault="009A3772">
            <w:pPr>
              <w:pStyle w:val="Header"/>
              <w:jc w:val="center"/>
              <w:rPr>
                <w:b w:val="0"/>
                <w:sz w:val="20"/>
                <w:szCs w:val="20"/>
              </w:rPr>
            </w:pPr>
            <w:r w:rsidRPr="00864358">
              <w:rPr>
                <w:b w:val="0"/>
                <w:sz w:val="20"/>
                <w:szCs w:val="20"/>
              </w:rPr>
              <w:t>2</w:t>
            </w:r>
          </w:p>
        </w:tc>
        <w:tc>
          <w:tcPr>
            <w:tcW w:w="8273" w:type="dxa"/>
            <w:gridSpan w:val="2"/>
            <w:tcBorders>
              <w:top w:val="single" w:sz="8" w:space="0" w:color="auto"/>
            </w:tcBorders>
            <w:vAlign w:val="center"/>
          </w:tcPr>
          <w:p w:rsidR="009A3772" w:rsidRPr="00AC6C37" w:rsidRDefault="009A3772">
            <w:pPr>
              <w:pStyle w:val="Header"/>
              <w:rPr>
                <w:b w:val="0"/>
                <w:i/>
                <w:sz w:val="20"/>
                <w:szCs w:val="20"/>
              </w:rPr>
            </w:pPr>
          </w:p>
        </w:tc>
      </w:tr>
      <w:tr w:rsidR="009A3772" w:rsidRPr="00AC6C37"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pPr>
          </w:p>
        </w:tc>
        <w:tc>
          <w:tcPr>
            <w:tcW w:w="360" w:type="dxa"/>
            <w:vAlign w:val="center"/>
          </w:tcPr>
          <w:p w:rsidR="009A3772" w:rsidRPr="00864358" w:rsidRDefault="009A3772">
            <w:pPr>
              <w:pStyle w:val="Header"/>
              <w:jc w:val="center"/>
              <w:rPr>
                <w:b w:val="0"/>
                <w:sz w:val="20"/>
                <w:szCs w:val="20"/>
              </w:rPr>
            </w:pPr>
            <w:r w:rsidRPr="00864358">
              <w:rPr>
                <w:b w:val="0"/>
                <w:sz w:val="20"/>
                <w:szCs w:val="20"/>
              </w:rPr>
              <w:t>3</w:t>
            </w:r>
          </w:p>
        </w:tc>
        <w:tc>
          <w:tcPr>
            <w:tcW w:w="8273" w:type="dxa"/>
            <w:gridSpan w:val="2"/>
            <w:vAlign w:val="center"/>
          </w:tcPr>
          <w:p w:rsidR="009A3772" w:rsidRPr="00AC6C37" w:rsidRDefault="009A3772">
            <w:pPr>
              <w:pStyle w:val="Header"/>
              <w:rPr>
                <w:b w:val="0"/>
                <w:i/>
                <w:sz w:val="20"/>
                <w:szCs w:val="20"/>
              </w:rPr>
            </w:pPr>
          </w:p>
        </w:tc>
      </w:tr>
      <w:tr w:rsidR="009A3772" w:rsidRPr="00AC6C37"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A3772" w:rsidRPr="00E41BCF" w:rsidRDefault="009A3772">
            <w:pPr>
              <w:pStyle w:val="Header"/>
            </w:pPr>
          </w:p>
        </w:tc>
        <w:tc>
          <w:tcPr>
            <w:tcW w:w="360" w:type="dxa"/>
            <w:tcBorders>
              <w:bottom w:val="single" w:sz="12" w:space="0" w:color="auto"/>
            </w:tcBorders>
            <w:vAlign w:val="center"/>
          </w:tcPr>
          <w:p w:rsidR="009A3772" w:rsidRPr="00864358" w:rsidRDefault="009A3772">
            <w:pPr>
              <w:pStyle w:val="Header"/>
              <w:jc w:val="center"/>
              <w:rPr>
                <w:b w:val="0"/>
                <w:sz w:val="20"/>
                <w:szCs w:val="20"/>
              </w:rPr>
            </w:pPr>
            <w:r w:rsidRPr="00864358">
              <w:rPr>
                <w:b w:val="0"/>
                <w:sz w:val="20"/>
                <w:szCs w:val="20"/>
              </w:rPr>
              <w:t>4</w:t>
            </w:r>
          </w:p>
        </w:tc>
        <w:tc>
          <w:tcPr>
            <w:tcW w:w="8273" w:type="dxa"/>
            <w:gridSpan w:val="2"/>
            <w:tcBorders>
              <w:bottom w:val="single" w:sz="12" w:space="0" w:color="auto"/>
            </w:tcBorders>
            <w:vAlign w:val="center"/>
          </w:tcPr>
          <w:p w:rsidR="009A3772" w:rsidRPr="00AC6C37" w:rsidRDefault="009A3772">
            <w:pPr>
              <w:pStyle w:val="Header"/>
              <w:rPr>
                <w:b w:val="0"/>
                <w:i/>
                <w:sz w:val="20"/>
                <w:szCs w:val="20"/>
              </w:rPr>
            </w:pPr>
          </w:p>
        </w:tc>
      </w:tr>
      <w:tr w:rsidR="009A3772" w:rsidRPr="000C3592"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9A3772" w:rsidRPr="00E41BCF" w:rsidRDefault="009A3772">
            <w:pPr>
              <w:pStyle w:val="Header"/>
              <w:jc w:val="center"/>
            </w:pPr>
            <w:r w:rsidRPr="00E41BCF">
              <w:t>Market Cost</w:t>
            </w:r>
          </w:p>
        </w:tc>
        <w:tc>
          <w:tcPr>
            <w:tcW w:w="360" w:type="dxa"/>
            <w:tcBorders>
              <w:top w:val="single" w:sz="12" w:space="0" w:color="auto"/>
              <w:left w:val="single" w:sz="4" w:space="0" w:color="auto"/>
              <w:bottom w:val="single" w:sz="8" w:space="0" w:color="auto"/>
            </w:tcBorders>
            <w:shd w:val="clear" w:color="auto" w:fill="auto"/>
            <w:vAlign w:val="center"/>
          </w:tcPr>
          <w:p w:rsidR="009A3772" w:rsidRDefault="009A3772">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9A3772" w:rsidRPr="000C3592" w:rsidRDefault="009A3772">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9A3772" w:rsidRPr="000C3592" w:rsidRDefault="009A3772">
            <w:pPr>
              <w:pStyle w:val="NormalArial"/>
              <w:jc w:val="center"/>
              <w:rPr>
                <w:b/>
                <w:sz w:val="20"/>
              </w:rPr>
            </w:pPr>
            <w:r>
              <w:rPr>
                <w:b/>
                <w:sz w:val="20"/>
              </w:rPr>
              <w:t>Monetary Impact</w:t>
            </w:r>
          </w:p>
        </w:tc>
      </w:tr>
      <w:tr w:rsidR="009A3772" w:rsidRPr="00C90F7E"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shd w:val="clear" w:color="auto" w:fill="auto"/>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9A3772" w:rsidRPr="00E456D6" w:rsidRDefault="00C0583B">
            <w:pPr>
              <w:pStyle w:val="NormalArial"/>
              <w:rPr>
                <w:i/>
                <w:sz w:val="20"/>
              </w:rPr>
            </w:pPr>
            <w:r w:rsidRPr="00E456D6">
              <w:rPr>
                <w:i/>
                <w:sz w:val="20"/>
              </w:rPr>
              <w:t>None</w:t>
            </w:r>
          </w:p>
        </w:tc>
        <w:tc>
          <w:tcPr>
            <w:tcW w:w="4673" w:type="dxa"/>
            <w:tcBorders>
              <w:top w:val="single" w:sz="8" w:space="0" w:color="auto"/>
              <w:bottom w:val="single" w:sz="8" w:space="0" w:color="auto"/>
            </w:tcBorders>
            <w:vAlign w:val="center"/>
          </w:tcPr>
          <w:p w:rsidR="009A3772" w:rsidRPr="00C90F7E" w:rsidRDefault="00C0583B">
            <w:pPr>
              <w:pStyle w:val="NormalArial"/>
              <w:rPr>
                <w:i/>
                <w:sz w:val="20"/>
              </w:rPr>
            </w:pPr>
            <w:r>
              <w:rPr>
                <w:i/>
                <w:sz w:val="20"/>
              </w:rPr>
              <w:t>None</w:t>
            </w:r>
          </w:p>
        </w:tc>
      </w:tr>
      <w:tr w:rsidR="009A3772" w:rsidRPr="00C90F7E"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jc w:val="center"/>
            </w:pPr>
          </w:p>
        </w:tc>
        <w:tc>
          <w:tcPr>
            <w:tcW w:w="360" w:type="dxa"/>
            <w:tcBorders>
              <w:top w:val="single" w:sz="8" w:space="0" w:color="auto"/>
              <w:bottom w:val="single" w:sz="8" w:space="0" w:color="auto"/>
            </w:tcBorders>
            <w:shd w:val="clear" w:color="auto" w:fill="auto"/>
            <w:vAlign w:val="center"/>
          </w:tcPr>
          <w:p w:rsidR="009A3772" w:rsidRDefault="009A3772">
            <w:pPr>
              <w:pStyle w:val="NormalArial"/>
              <w:jc w:val="center"/>
              <w:rPr>
                <w:sz w:val="20"/>
              </w:rPr>
            </w:pPr>
            <w:r>
              <w:rPr>
                <w:sz w:val="20"/>
              </w:rPr>
              <w:t>2</w:t>
            </w:r>
          </w:p>
        </w:tc>
        <w:tc>
          <w:tcPr>
            <w:tcW w:w="3600" w:type="dxa"/>
            <w:tcBorders>
              <w:top w:val="single" w:sz="8" w:space="0" w:color="auto"/>
              <w:bottom w:val="single" w:sz="8" w:space="0" w:color="auto"/>
            </w:tcBorders>
            <w:shd w:val="clear" w:color="auto" w:fill="auto"/>
            <w:vAlign w:val="center"/>
          </w:tcPr>
          <w:p w:rsidR="009A3772" w:rsidRPr="00C90F7E" w:rsidRDefault="009A3772">
            <w:pPr>
              <w:pStyle w:val="NormalArial"/>
              <w:rPr>
                <w:i/>
                <w:sz w:val="20"/>
              </w:rPr>
            </w:pPr>
          </w:p>
        </w:tc>
        <w:tc>
          <w:tcPr>
            <w:tcW w:w="4673" w:type="dxa"/>
            <w:tcBorders>
              <w:top w:val="single" w:sz="8" w:space="0" w:color="auto"/>
              <w:bottom w:val="single" w:sz="8" w:space="0" w:color="auto"/>
            </w:tcBorders>
            <w:shd w:val="clear" w:color="auto" w:fill="auto"/>
            <w:vAlign w:val="center"/>
          </w:tcPr>
          <w:p w:rsidR="009A3772" w:rsidRPr="00C90F7E" w:rsidRDefault="009A3772">
            <w:pPr>
              <w:pStyle w:val="NormalArial"/>
              <w:rPr>
                <w:i/>
                <w:sz w:val="20"/>
              </w:rPr>
            </w:pPr>
          </w:p>
        </w:tc>
      </w:tr>
      <w:tr w:rsidR="009A3772" w:rsidRPr="00C90F7E"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9A3772" w:rsidRPr="00C90F7E" w:rsidRDefault="009A3772">
            <w:pPr>
              <w:pStyle w:val="NormalArial"/>
              <w:rPr>
                <w:i/>
                <w:sz w:val="20"/>
              </w:rPr>
            </w:pPr>
          </w:p>
        </w:tc>
        <w:tc>
          <w:tcPr>
            <w:tcW w:w="4673" w:type="dxa"/>
            <w:tcBorders>
              <w:top w:val="single" w:sz="8" w:space="0" w:color="auto"/>
              <w:bottom w:val="single" w:sz="8" w:space="0" w:color="auto"/>
            </w:tcBorders>
            <w:vAlign w:val="center"/>
          </w:tcPr>
          <w:p w:rsidR="009A3772" w:rsidRPr="00C90F7E" w:rsidRDefault="009A3772">
            <w:pPr>
              <w:pStyle w:val="NormalArial"/>
              <w:rPr>
                <w:i/>
                <w:sz w:val="20"/>
              </w:rPr>
            </w:pPr>
          </w:p>
        </w:tc>
      </w:tr>
      <w:tr w:rsidR="009A3772" w:rsidRPr="00C90F7E"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A3772" w:rsidRPr="00E41BCF" w:rsidRDefault="009A3772">
            <w:pPr>
              <w:pStyle w:val="Header"/>
              <w:jc w:val="center"/>
            </w:pPr>
          </w:p>
        </w:tc>
        <w:tc>
          <w:tcPr>
            <w:tcW w:w="360" w:type="dxa"/>
            <w:tcBorders>
              <w:top w:val="single" w:sz="8" w:space="0" w:color="auto"/>
              <w:bottom w:val="single" w:sz="12" w:space="0" w:color="auto"/>
            </w:tcBorders>
            <w:vAlign w:val="center"/>
          </w:tcPr>
          <w:p w:rsidR="009A3772" w:rsidRDefault="009A3772">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9A3772" w:rsidRPr="00C90F7E" w:rsidRDefault="009A3772">
            <w:pPr>
              <w:pStyle w:val="NormalArial"/>
              <w:rPr>
                <w:i/>
                <w:sz w:val="20"/>
              </w:rPr>
            </w:pPr>
          </w:p>
        </w:tc>
        <w:tc>
          <w:tcPr>
            <w:tcW w:w="4673" w:type="dxa"/>
            <w:tcBorders>
              <w:top w:val="single" w:sz="8" w:space="0" w:color="auto"/>
              <w:bottom w:val="single" w:sz="12" w:space="0" w:color="auto"/>
            </w:tcBorders>
            <w:vAlign w:val="center"/>
          </w:tcPr>
          <w:p w:rsidR="009A3772" w:rsidRPr="00C90F7E" w:rsidRDefault="009A3772">
            <w:pPr>
              <w:pStyle w:val="NormalArial"/>
              <w:rPr>
                <w:i/>
                <w:sz w:val="20"/>
              </w:rPr>
            </w:pPr>
          </w:p>
        </w:tc>
      </w:tr>
      <w:tr w:rsidR="009A3772" w:rsidRPr="000C3592"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9A3772" w:rsidRPr="00E41BCF" w:rsidRDefault="009A3772">
            <w:pPr>
              <w:pStyle w:val="Header"/>
              <w:jc w:val="center"/>
            </w:pPr>
            <w:r w:rsidRPr="00E41BCF">
              <w:t>Market Benefit</w:t>
            </w:r>
          </w:p>
        </w:tc>
        <w:tc>
          <w:tcPr>
            <w:tcW w:w="360" w:type="dxa"/>
            <w:tcBorders>
              <w:top w:val="single" w:sz="12" w:space="0" w:color="auto"/>
              <w:left w:val="single" w:sz="4" w:space="0" w:color="auto"/>
              <w:bottom w:val="single" w:sz="8" w:space="0" w:color="auto"/>
            </w:tcBorders>
            <w:shd w:val="clear" w:color="auto" w:fill="auto"/>
            <w:vAlign w:val="center"/>
          </w:tcPr>
          <w:p w:rsidR="009A3772" w:rsidRDefault="009A3772">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9A3772" w:rsidRPr="000C3592" w:rsidRDefault="009A3772">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9A3772" w:rsidRPr="000C3592" w:rsidRDefault="009A3772">
            <w:pPr>
              <w:pStyle w:val="NormalArial"/>
              <w:jc w:val="center"/>
              <w:rPr>
                <w:b/>
                <w:sz w:val="20"/>
              </w:rPr>
            </w:pPr>
            <w:r>
              <w:rPr>
                <w:b/>
                <w:sz w:val="20"/>
              </w:rPr>
              <w:t>Monetary Impact</w:t>
            </w:r>
          </w:p>
        </w:tc>
      </w:tr>
      <w:tr w:rsidR="009A3772" w:rsidRPr="00C90F7E"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shd w:val="clear" w:color="auto" w:fill="auto"/>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9A3772" w:rsidRPr="00C90F7E" w:rsidRDefault="00932172" w:rsidP="006662C4">
            <w:pPr>
              <w:pStyle w:val="NormalArial"/>
              <w:rPr>
                <w:i/>
                <w:sz w:val="20"/>
              </w:rPr>
            </w:pPr>
            <w:r>
              <w:rPr>
                <w:b/>
                <w:i/>
                <w:sz w:val="20"/>
                <w:szCs w:val="20"/>
              </w:rPr>
              <w:t xml:space="preserve">Improves system reliability by providing an automatic and </w:t>
            </w:r>
            <w:r w:rsidR="006662C4">
              <w:rPr>
                <w:b/>
                <w:i/>
                <w:sz w:val="20"/>
                <w:szCs w:val="20"/>
              </w:rPr>
              <w:t>4 second</w:t>
            </w:r>
            <w:r>
              <w:rPr>
                <w:b/>
                <w:i/>
                <w:sz w:val="20"/>
                <w:szCs w:val="20"/>
              </w:rPr>
              <w:t xml:space="preserve"> generator response to frequency deviations.</w:t>
            </w:r>
          </w:p>
        </w:tc>
        <w:tc>
          <w:tcPr>
            <w:tcW w:w="4673" w:type="dxa"/>
            <w:tcBorders>
              <w:top w:val="single" w:sz="8" w:space="0" w:color="auto"/>
              <w:bottom w:val="single" w:sz="8" w:space="0" w:color="auto"/>
            </w:tcBorders>
            <w:vAlign w:val="center"/>
          </w:tcPr>
          <w:p w:rsidR="009A3772" w:rsidRPr="00C90F7E" w:rsidRDefault="00894499">
            <w:pPr>
              <w:pStyle w:val="NormalArial"/>
              <w:rPr>
                <w:i/>
                <w:sz w:val="20"/>
              </w:rPr>
            </w:pPr>
            <w:r>
              <w:rPr>
                <w:i/>
                <w:sz w:val="20"/>
              </w:rPr>
              <w:t>Difficult to quantify</w:t>
            </w:r>
          </w:p>
        </w:tc>
      </w:tr>
      <w:tr w:rsidR="009A3772" w:rsidRPr="00C90F7E"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2</w:t>
            </w:r>
          </w:p>
        </w:tc>
        <w:tc>
          <w:tcPr>
            <w:tcW w:w="3600" w:type="dxa"/>
            <w:tcBorders>
              <w:top w:val="single" w:sz="8" w:space="0" w:color="auto"/>
              <w:bottom w:val="single" w:sz="8" w:space="0" w:color="auto"/>
            </w:tcBorders>
            <w:vAlign w:val="center"/>
          </w:tcPr>
          <w:p w:rsidR="009A3772" w:rsidRPr="00C90F7E" w:rsidRDefault="009A3772">
            <w:pPr>
              <w:pStyle w:val="NormalArial"/>
              <w:rPr>
                <w:i/>
                <w:sz w:val="20"/>
              </w:rPr>
            </w:pPr>
          </w:p>
        </w:tc>
        <w:tc>
          <w:tcPr>
            <w:tcW w:w="4673" w:type="dxa"/>
            <w:tcBorders>
              <w:top w:val="single" w:sz="8" w:space="0" w:color="auto"/>
              <w:bottom w:val="single" w:sz="8" w:space="0" w:color="auto"/>
            </w:tcBorders>
            <w:vAlign w:val="center"/>
          </w:tcPr>
          <w:p w:rsidR="009A3772" w:rsidRPr="00C90F7E" w:rsidRDefault="009A3772">
            <w:pPr>
              <w:pStyle w:val="NormalArial"/>
              <w:rPr>
                <w:i/>
                <w:sz w:val="20"/>
              </w:rPr>
            </w:pPr>
          </w:p>
        </w:tc>
      </w:tr>
      <w:tr w:rsidR="009A3772" w:rsidRPr="00C90F7E"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9A3772" w:rsidRPr="00C90F7E" w:rsidRDefault="009A3772">
            <w:pPr>
              <w:pStyle w:val="NormalArial"/>
              <w:rPr>
                <w:i/>
                <w:sz w:val="20"/>
              </w:rPr>
            </w:pPr>
          </w:p>
        </w:tc>
        <w:tc>
          <w:tcPr>
            <w:tcW w:w="4673" w:type="dxa"/>
            <w:tcBorders>
              <w:top w:val="single" w:sz="8" w:space="0" w:color="auto"/>
              <w:bottom w:val="single" w:sz="8" w:space="0" w:color="auto"/>
            </w:tcBorders>
            <w:vAlign w:val="center"/>
          </w:tcPr>
          <w:p w:rsidR="009A3772" w:rsidRPr="00C90F7E" w:rsidRDefault="009A3772">
            <w:pPr>
              <w:pStyle w:val="NormalArial"/>
              <w:rPr>
                <w:i/>
                <w:sz w:val="20"/>
              </w:rPr>
            </w:pPr>
          </w:p>
        </w:tc>
      </w:tr>
      <w:tr w:rsidR="009A3772" w:rsidRPr="00C90F7E"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A3772" w:rsidRPr="00E41BCF" w:rsidRDefault="009A3772">
            <w:pPr>
              <w:pStyle w:val="Header"/>
              <w:jc w:val="center"/>
            </w:pPr>
          </w:p>
        </w:tc>
        <w:tc>
          <w:tcPr>
            <w:tcW w:w="360" w:type="dxa"/>
            <w:tcBorders>
              <w:top w:val="single" w:sz="8" w:space="0" w:color="auto"/>
              <w:bottom w:val="single" w:sz="12" w:space="0" w:color="auto"/>
            </w:tcBorders>
            <w:vAlign w:val="center"/>
          </w:tcPr>
          <w:p w:rsidR="009A3772" w:rsidRDefault="009A3772">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9A3772" w:rsidRPr="00C90F7E" w:rsidRDefault="009A3772">
            <w:pPr>
              <w:pStyle w:val="NormalArial"/>
              <w:rPr>
                <w:i/>
                <w:sz w:val="20"/>
              </w:rPr>
            </w:pPr>
          </w:p>
        </w:tc>
        <w:tc>
          <w:tcPr>
            <w:tcW w:w="4673" w:type="dxa"/>
            <w:tcBorders>
              <w:top w:val="single" w:sz="8" w:space="0" w:color="auto"/>
              <w:bottom w:val="single" w:sz="12" w:space="0" w:color="auto"/>
            </w:tcBorders>
            <w:vAlign w:val="center"/>
          </w:tcPr>
          <w:p w:rsidR="009A3772" w:rsidRPr="00C90F7E" w:rsidRDefault="009A3772">
            <w:pPr>
              <w:pStyle w:val="NormalArial"/>
              <w:rPr>
                <w:i/>
                <w:sz w:val="20"/>
              </w:rPr>
            </w:pPr>
          </w:p>
        </w:tc>
      </w:tr>
      <w:tr w:rsidR="009A3772" w:rsidRPr="00B40AA6"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A3772" w:rsidRPr="00E41BCF" w:rsidRDefault="009A3772">
            <w:pPr>
              <w:pStyle w:val="Header"/>
            </w:pPr>
            <w:r w:rsidRPr="00E41BCF">
              <w:t>Additional Qualitative Information</w:t>
            </w:r>
          </w:p>
        </w:tc>
        <w:tc>
          <w:tcPr>
            <w:tcW w:w="360" w:type="dxa"/>
            <w:tcBorders>
              <w:top w:val="single" w:sz="12" w:space="0" w:color="auto"/>
              <w:bottom w:val="single" w:sz="8" w:space="0" w:color="auto"/>
            </w:tcBorders>
            <w:vAlign w:val="center"/>
          </w:tcPr>
          <w:p w:rsidR="009A3772" w:rsidRDefault="009A3772">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9A3772" w:rsidRPr="00B40AA6" w:rsidRDefault="00E456D6" w:rsidP="00B47FBC">
            <w:pPr>
              <w:pStyle w:val="NormalArial"/>
              <w:rPr>
                <w:i/>
                <w:sz w:val="20"/>
              </w:rPr>
            </w:pPr>
            <w:r>
              <w:rPr>
                <w:i/>
                <w:sz w:val="20"/>
              </w:rPr>
              <w:t xml:space="preserve">Frequency response by hydro Generation Resources equipped with UFRs helps to minimize impact to the Grid, thus lowering the amount of risk premium built into RRS offers.  </w:t>
            </w:r>
          </w:p>
        </w:tc>
      </w:tr>
      <w:tr w:rsidR="009A3772" w:rsidRPr="00B40AA6"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shd w:val="clear" w:color="auto" w:fill="auto"/>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2</w:t>
            </w:r>
          </w:p>
        </w:tc>
        <w:tc>
          <w:tcPr>
            <w:tcW w:w="8273" w:type="dxa"/>
            <w:gridSpan w:val="2"/>
            <w:tcBorders>
              <w:top w:val="single" w:sz="8" w:space="0" w:color="auto"/>
              <w:bottom w:val="single" w:sz="8" w:space="0" w:color="auto"/>
            </w:tcBorders>
            <w:vAlign w:val="center"/>
          </w:tcPr>
          <w:p w:rsidR="009A3772" w:rsidRPr="00B40AA6" w:rsidRDefault="009A3772">
            <w:pPr>
              <w:pStyle w:val="NormalArial"/>
              <w:rPr>
                <w:i/>
                <w:sz w:val="20"/>
              </w:rPr>
            </w:pPr>
          </w:p>
        </w:tc>
      </w:tr>
      <w:tr w:rsidR="009A3772" w:rsidRPr="00B40AA6"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9A3772" w:rsidRPr="00B40AA6" w:rsidRDefault="009A3772">
            <w:pPr>
              <w:pStyle w:val="NormalArial"/>
              <w:rPr>
                <w:i/>
                <w:sz w:val="20"/>
              </w:rPr>
            </w:pPr>
          </w:p>
        </w:tc>
      </w:tr>
      <w:tr w:rsidR="009A3772" w:rsidRPr="00B40AA6"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A3772" w:rsidRPr="00E41BCF" w:rsidRDefault="009A3772">
            <w:pPr>
              <w:pStyle w:val="Header"/>
            </w:pPr>
          </w:p>
        </w:tc>
        <w:tc>
          <w:tcPr>
            <w:tcW w:w="360" w:type="dxa"/>
            <w:tcBorders>
              <w:top w:val="single" w:sz="8" w:space="0" w:color="auto"/>
              <w:bottom w:val="single" w:sz="12" w:space="0" w:color="auto"/>
            </w:tcBorders>
            <w:vAlign w:val="center"/>
          </w:tcPr>
          <w:p w:rsidR="009A3772" w:rsidRDefault="009A3772">
            <w:pPr>
              <w:pStyle w:val="NormalArial"/>
              <w:jc w:val="center"/>
              <w:rPr>
                <w:sz w:val="20"/>
              </w:rPr>
            </w:pPr>
            <w:r>
              <w:rPr>
                <w:sz w:val="20"/>
              </w:rPr>
              <w:t>4</w:t>
            </w:r>
          </w:p>
        </w:tc>
        <w:tc>
          <w:tcPr>
            <w:tcW w:w="8273" w:type="dxa"/>
            <w:gridSpan w:val="2"/>
            <w:tcBorders>
              <w:top w:val="single" w:sz="8" w:space="0" w:color="auto"/>
              <w:bottom w:val="single" w:sz="12" w:space="0" w:color="auto"/>
            </w:tcBorders>
            <w:vAlign w:val="center"/>
          </w:tcPr>
          <w:p w:rsidR="009A3772" w:rsidRPr="00B40AA6" w:rsidRDefault="009A3772">
            <w:pPr>
              <w:pStyle w:val="NormalArial"/>
              <w:rPr>
                <w:i/>
                <w:sz w:val="20"/>
              </w:rPr>
            </w:pPr>
          </w:p>
        </w:tc>
      </w:tr>
      <w:tr w:rsidR="009A3772" w:rsidRPr="00E966F7"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A3772" w:rsidRPr="00E41BCF" w:rsidRDefault="009A3772">
            <w:pPr>
              <w:pStyle w:val="Header"/>
              <w:jc w:val="center"/>
            </w:pPr>
            <w:r w:rsidRPr="00E41BCF">
              <w:t>Other Comments</w:t>
            </w:r>
          </w:p>
        </w:tc>
        <w:tc>
          <w:tcPr>
            <w:tcW w:w="360" w:type="dxa"/>
            <w:tcBorders>
              <w:top w:val="single" w:sz="12" w:space="0" w:color="auto"/>
              <w:bottom w:val="single" w:sz="8" w:space="0" w:color="auto"/>
            </w:tcBorders>
            <w:vAlign w:val="center"/>
          </w:tcPr>
          <w:p w:rsidR="009A3772" w:rsidRDefault="009A3772">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9A3772" w:rsidRPr="00E966F7" w:rsidRDefault="009A3772">
            <w:pPr>
              <w:pStyle w:val="NormalArial"/>
              <w:rPr>
                <w:i/>
                <w:sz w:val="20"/>
              </w:rPr>
            </w:pPr>
          </w:p>
        </w:tc>
      </w:tr>
      <w:tr w:rsidR="009A3772" w:rsidRPr="00E966F7"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shd w:val="clear" w:color="auto" w:fill="auto"/>
            <w:vAlign w:val="center"/>
          </w:tcPr>
          <w:p w:rsidR="009A3772" w:rsidRPr="00E966F7" w:rsidRDefault="009A3772">
            <w:pPr>
              <w:pStyle w:val="Header"/>
              <w:jc w:val="center"/>
              <w:rPr>
                <w:sz w:val="20"/>
                <w:szCs w:val="20"/>
              </w:rPr>
            </w:pPr>
          </w:p>
        </w:tc>
        <w:tc>
          <w:tcPr>
            <w:tcW w:w="360" w:type="dxa"/>
            <w:tcBorders>
              <w:top w:val="single" w:sz="8" w:space="0" w:color="auto"/>
            </w:tcBorders>
            <w:vAlign w:val="center"/>
          </w:tcPr>
          <w:p w:rsidR="009A3772" w:rsidRDefault="009A3772">
            <w:pPr>
              <w:pStyle w:val="NormalArial"/>
              <w:jc w:val="center"/>
              <w:rPr>
                <w:sz w:val="20"/>
              </w:rPr>
            </w:pPr>
            <w:r>
              <w:rPr>
                <w:sz w:val="20"/>
              </w:rPr>
              <w:t>2</w:t>
            </w:r>
          </w:p>
        </w:tc>
        <w:tc>
          <w:tcPr>
            <w:tcW w:w="8273" w:type="dxa"/>
            <w:gridSpan w:val="2"/>
            <w:tcBorders>
              <w:top w:val="single" w:sz="8" w:space="0" w:color="auto"/>
            </w:tcBorders>
            <w:vAlign w:val="center"/>
          </w:tcPr>
          <w:p w:rsidR="009A3772" w:rsidRPr="00E966F7" w:rsidRDefault="009A3772">
            <w:pPr>
              <w:pStyle w:val="NormalArial"/>
              <w:rPr>
                <w:i/>
                <w:sz w:val="20"/>
              </w:rPr>
            </w:pPr>
          </w:p>
        </w:tc>
      </w:tr>
      <w:tr w:rsidR="009A3772" w:rsidRPr="00E966F7"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A3772" w:rsidRPr="00E966F7" w:rsidRDefault="009A3772">
            <w:pPr>
              <w:pStyle w:val="Head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9A3772" w:rsidRPr="00E966F7" w:rsidRDefault="009A3772">
            <w:pPr>
              <w:pStyle w:val="NormalArial"/>
              <w:rPr>
                <w:i/>
                <w:sz w:val="20"/>
              </w:rPr>
            </w:pPr>
          </w:p>
        </w:tc>
      </w:tr>
      <w:tr w:rsidR="009A3772" w:rsidRPr="00E966F7" w:rsidTr="00B75A2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tcBorders>
              <w:bottom w:val="single" w:sz="8" w:space="0" w:color="auto"/>
            </w:tcBorders>
            <w:vAlign w:val="center"/>
          </w:tcPr>
          <w:p w:rsidR="009A3772" w:rsidRPr="00E966F7" w:rsidRDefault="009A3772">
            <w:pPr>
              <w:pStyle w:val="Head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4</w:t>
            </w:r>
          </w:p>
        </w:tc>
        <w:tc>
          <w:tcPr>
            <w:tcW w:w="8273" w:type="dxa"/>
            <w:gridSpan w:val="2"/>
            <w:tcBorders>
              <w:top w:val="single" w:sz="8" w:space="0" w:color="auto"/>
              <w:bottom w:val="single" w:sz="8" w:space="0" w:color="auto"/>
            </w:tcBorders>
            <w:vAlign w:val="center"/>
          </w:tcPr>
          <w:p w:rsidR="009A3772" w:rsidRPr="00E966F7" w:rsidRDefault="009A3772">
            <w:pPr>
              <w:pStyle w:val="NormalArial"/>
              <w:rPr>
                <w:i/>
                <w:sz w:val="20"/>
              </w:rPr>
            </w:pP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9A3772" w:rsidTr="00BC2D06">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A06FE0">
            <w:pPr>
              <w:pStyle w:val="NormalArial"/>
            </w:pPr>
            <w:r>
              <w:t>Jack Thormahlen</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C76DBC">
            <w:pPr>
              <w:pStyle w:val="NormalArial"/>
            </w:pPr>
            <w:hyperlink r:id="rId7" w:history="1">
              <w:r w:rsidR="00A06FE0" w:rsidRPr="00250CAC">
                <w:rPr>
                  <w:rStyle w:val="Hyperlink"/>
                </w:rPr>
                <w:t>jack.thormahlen@lcra.org</w:t>
              </w:r>
            </w:hyperlink>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A06FE0">
            <w:pPr>
              <w:pStyle w:val="NormalArial"/>
            </w:pPr>
            <w:r>
              <w:t>LCRA</w:t>
            </w:r>
          </w:p>
        </w:tc>
      </w:tr>
      <w:tr w:rsidR="009A3772" w:rsidTr="00BC2D06">
        <w:trPr>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A06FE0">
            <w:pPr>
              <w:pStyle w:val="NormalArial"/>
            </w:pPr>
            <w:r>
              <w:t>512-473-3200 ext 2635</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BC2D06">
        <w:trPr>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DC54A8">
            <w:pPr>
              <w:pStyle w:val="NormalArial"/>
            </w:pPr>
            <w:r>
              <w:t>Cooperative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9A3772" w:rsidRPr="00D56D61" w:rsidTr="007C199B">
        <w:trPr>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7C199B">
        <w:trPr>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9A3772">
            <w:pPr>
              <w:pStyle w:val="NormalArial"/>
            </w:pPr>
          </w:p>
        </w:tc>
      </w:tr>
      <w:tr w:rsidR="009A3772" w:rsidRPr="00D56D61" w:rsidTr="007C199B">
        <w:trPr>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9A3772">
            <w:pPr>
              <w:pStyle w:val="NormalArial"/>
            </w:pPr>
          </w:p>
        </w:tc>
      </w:tr>
      <w:tr w:rsidR="009A3772" w:rsidRPr="005370B5" w:rsidTr="007C199B">
        <w:trPr>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9A3772">
            <w:pPr>
              <w:pStyle w:val="NormalArial"/>
            </w:pP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BC2D06" w:rsidRPr="00BA2009" w:rsidRDefault="00BC2D06" w:rsidP="00BC2D06">
      <w:pPr>
        <w:jc w:val="center"/>
        <w:rPr>
          <w:b/>
          <w:i/>
          <w:color w:val="FF0000"/>
          <w:u w:val="single"/>
        </w:rPr>
      </w:pPr>
    </w:p>
    <w:p w:rsidR="00C0583B" w:rsidRDefault="00C0583B" w:rsidP="00DF2F3A">
      <w:pPr>
        <w:rPr>
          <w:ins w:id="0" w:author="LCRA" w:date="2011-06-08T11:12:00Z"/>
          <w:b/>
        </w:rPr>
      </w:pPr>
      <w:bookmarkStart w:id="1" w:name="_Toc204048540"/>
      <w:bookmarkStart w:id="2" w:name="_Toc293314046"/>
      <w:bookmarkStart w:id="3" w:name="_Toc114235812"/>
      <w:bookmarkStart w:id="4" w:name="_Toc144692000"/>
      <w:bookmarkStart w:id="5" w:name="_Toc204048612"/>
      <w:bookmarkStart w:id="6" w:name="_Toc293314132"/>
    </w:p>
    <w:p w:rsidR="00C0583B" w:rsidRDefault="00C0583B" w:rsidP="00DF2F3A">
      <w:pPr>
        <w:rPr>
          <w:ins w:id="7" w:author="LCRA" w:date="2011-06-08T11:12:00Z"/>
          <w:b/>
        </w:rPr>
      </w:pPr>
    </w:p>
    <w:p w:rsidR="00C0583B" w:rsidRDefault="00C0583B" w:rsidP="00DF2F3A">
      <w:pPr>
        <w:rPr>
          <w:ins w:id="8" w:author="LCRA" w:date="2011-06-08T11:12:00Z"/>
          <w:b/>
        </w:rPr>
      </w:pPr>
    </w:p>
    <w:p w:rsidR="00DF2F3A" w:rsidRPr="00D90D28" w:rsidRDefault="00DF2F3A" w:rsidP="00DF2F3A">
      <w:pPr>
        <w:rPr>
          <w:b/>
        </w:rPr>
      </w:pPr>
      <w:r w:rsidRPr="00D90D28">
        <w:rPr>
          <w:b/>
        </w:rPr>
        <w:t>3.8</w:t>
      </w:r>
      <w:r w:rsidRPr="00D90D28">
        <w:rPr>
          <w:b/>
        </w:rPr>
        <w:tab/>
        <w:t>Special Considerations for Split Generation Meters</w:t>
      </w:r>
      <w:bookmarkEnd w:id="1"/>
      <w:r w:rsidRPr="00D90D28">
        <w:rPr>
          <w:b/>
        </w:rPr>
        <w:t>, Combined Cycle Generation Resources</w:t>
      </w:r>
      <w:ins w:id="9" w:author="jthormah" w:date="2011-06-08T09:47:00Z">
        <w:r w:rsidR="008044EC">
          <w:rPr>
            <w:b/>
          </w:rPr>
          <w:t>,</w:t>
        </w:r>
        <w:r w:rsidR="008044EC" w:rsidRPr="00D90D28">
          <w:rPr>
            <w:b/>
          </w:rPr>
          <w:t xml:space="preserve"> </w:t>
        </w:r>
      </w:ins>
      <w:del w:id="10" w:author="jthormah" w:date="2011-06-08T09:47:00Z">
        <w:r w:rsidRPr="00D90D28" w:rsidDel="008044EC">
          <w:rPr>
            <w:b/>
          </w:rPr>
          <w:delText xml:space="preserve"> and </w:delText>
        </w:r>
      </w:del>
      <w:r w:rsidRPr="00D90D28">
        <w:rPr>
          <w:b/>
        </w:rPr>
        <w:t>Quick Start Generation Resources</w:t>
      </w:r>
      <w:bookmarkEnd w:id="2"/>
      <w:ins w:id="11" w:author="jthormah" w:date="2011-06-08T09:46:00Z">
        <w:r w:rsidR="008044EC">
          <w:rPr>
            <w:b/>
          </w:rPr>
          <w:t xml:space="preserve">, and </w:t>
        </w:r>
      </w:ins>
      <w:ins w:id="12" w:author="jthormah" w:date="2011-06-09T11:18:00Z">
        <w:r w:rsidR="006662C4">
          <w:rPr>
            <w:b/>
          </w:rPr>
          <w:t>h</w:t>
        </w:r>
      </w:ins>
      <w:ins w:id="13" w:author="jthormah" w:date="2011-06-08T09:46:00Z">
        <w:r w:rsidR="008044EC" w:rsidRPr="00DF2F3A">
          <w:rPr>
            <w:b/>
          </w:rPr>
          <w:t>ydro Generation Resources</w:t>
        </w:r>
      </w:ins>
    </w:p>
    <w:p w:rsidR="00DF2F3A" w:rsidRDefault="00DF2F3A" w:rsidP="00DF2F3A"/>
    <w:p w:rsidR="008044EC" w:rsidRDefault="008044EC" w:rsidP="008044EC">
      <w:pPr>
        <w:pStyle w:val="H3"/>
        <w:rPr>
          <w:ins w:id="14" w:author="jthormah" w:date="2011-06-08T09:46:00Z"/>
        </w:rPr>
      </w:pPr>
      <w:bookmarkStart w:id="15" w:name="_Toc277141537"/>
      <w:bookmarkStart w:id="16" w:name="_Toc293314049"/>
      <w:ins w:id="17" w:author="jthormah" w:date="2011-06-08T09:46:00Z">
        <w:r>
          <w:lastRenderedPageBreak/>
          <w:t>3.8.4</w:t>
        </w:r>
        <w:r>
          <w:rPr>
            <w:b w:val="0"/>
          </w:rPr>
          <w:tab/>
        </w:r>
        <w:r>
          <w:t>Hydro Generation Resources</w:t>
        </w:r>
        <w:bookmarkEnd w:id="15"/>
        <w:bookmarkEnd w:id="16"/>
      </w:ins>
    </w:p>
    <w:p w:rsidR="008044EC" w:rsidRDefault="008044EC" w:rsidP="008044EC">
      <w:pPr>
        <w:pStyle w:val="BodyText"/>
        <w:rPr>
          <w:ins w:id="18" w:author="jthormah" w:date="2011-06-08T09:46:00Z"/>
        </w:rPr>
      </w:pPr>
      <w:ins w:id="19" w:author="jthormah" w:date="2011-06-08T09:46:00Z">
        <w:r>
          <w:t xml:space="preserve">A QSE is exempt from meeting its RRS obligation for the MW amount provided by a hydro Generation Resource operating in synchronous condenser fast response mode and triggered by an Under Frequency Relay device (UFR) at the frequency set point specified in Protocol Section 3.18(3) (b) without corresponding RRS deployment by ERCOT. This exemption covers only the duration when hydro RRS MW is deployed by automatic UFR action.   </w:t>
        </w:r>
      </w:ins>
    </w:p>
    <w:p w:rsidR="00DF2F3A" w:rsidDel="008044EC" w:rsidRDefault="00DF2F3A" w:rsidP="00DF2F3A">
      <w:pPr>
        <w:pStyle w:val="BodyText"/>
        <w:rPr>
          <w:del w:id="20" w:author="jthormah" w:date="2011-06-08T09:46:00Z"/>
        </w:rPr>
      </w:pPr>
    </w:p>
    <w:p w:rsidR="00D90D28" w:rsidRDefault="00D90D28" w:rsidP="00D90D28">
      <w:pPr>
        <w:pStyle w:val="H2"/>
      </w:pPr>
      <w:r>
        <w:t>3.18</w:t>
      </w:r>
      <w:r>
        <w:tab/>
        <w:t>Resource Limits in Providing Ancillary Service</w:t>
      </w:r>
      <w:bookmarkEnd w:id="3"/>
      <w:bookmarkEnd w:id="4"/>
      <w:bookmarkEnd w:id="5"/>
      <w:bookmarkEnd w:id="6"/>
      <w:r>
        <w:t xml:space="preserve"> </w:t>
      </w:r>
    </w:p>
    <w:p w:rsidR="00D90D28" w:rsidRDefault="00D90D28" w:rsidP="00D90D28">
      <w:pPr>
        <w:pStyle w:val="BodyTextNumbered"/>
      </w:pPr>
      <w:r>
        <w:t>(1)</w:t>
      </w:r>
      <w:r>
        <w:tab/>
        <w:t>For both Generation Resources and Load Resources the High Sustained Limit (HSL) must be greater than or equal to the Low Sustained Limit (LSL) and the sum of the Resource-specific designation of capacity to provide Responsive Reserve (RRS), Regulation Up (Reg-Up), Regulation Down (Reg-Down), and Non-Spinning Reserve (Non-Spin).</w:t>
      </w:r>
    </w:p>
    <w:p w:rsidR="00D90D28" w:rsidRDefault="00D90D28" w:rsidP="00D90D28">
      <w:pPr>
        <w:pStyle w:val="BodyTextNumbered"/>
      </w:pPr>
      <w:r>
        <w:t>(2)</w:t>
      </w:r>
      <w:r>
        <w:tab/>
        <w:t>For Non-Spin, the amount of Non-Spin provided must be less than or equal to the HSL for Off-Line Generation Resources.</w:t>
      </w:r>
    </w:p>
    <w:p w:rsidR="00D90D28" w:rsidRDefault="00D90D28" w:rsidP="00D90D28">
      <w:pPr>
        <w:pStyle w:val="BodyTextNumbered"/>
      </w:pPr>
      <w:r>
        <w:t>(3)</w:t>
      </w:r>
      <w:r>
        <w:tab/>
        <w:t>For RRS Service:</w:t>
      </w:r>
    </w:p>
    <w:p w:rsidR="00D90D28" w:rsidRDefault="00D90D28" w:rsidP="00D90D28">
      <w:pPr>
        <w:ind w:left="1440" w:hanging="720"/>
      </w:pPr>
      <w:r w:rsidRPr="00D90D28">
        <w:t>(a)</w:t>
      </w:r>
      <w:r w:rsidRPr="00D90D28">
        <w:tab/>
        <w:t xml:space="preserve">The amount of RRS provided from a Generation Resource must be less than or equal to 20% of thermal </w:t>
      </w:r>
      <w:r w:rsidRPr="00D90D28">
        <w:rPr>
          <w:szCs w:val="20"/>
        </w:rPr>
        <w:t>unit HSL for an Ancillary Service Offer and must be less than or equal to ten times the Emergency</w:t>
      </w:r>
      <w:r w:rsidRPr="00D90D28">
        <w:t xml:space="preserve"> Ramp Rate; </w:t>
      </w:r>
    </w:p>
    <w:p w:rsidR="00D90D28" w:rsidRPr="00D90D28" w:rsidRDefault="00D90D28" w:rsidP="00D90D28">
      <w:pPr>
        <w:ind w:left="1440" w:hanging="720"/>
      </w:pPr>
    </w:p>
    <w:p w:rsidR="00D90D28" w:rsidRDefault="00D90D28" w:rsidP="00D90D28">
      <w:pPr>
        <w:ind w:left="1440" w:hanging="720"/>
      </w:pPr>
      <w:r w:rsidRPr="00D90D28">
        <w:t>(b)</w:t>
      </w:r>
      <w:r w:rsidRPr="00D90D28">
        <w:tab/>
        <w:t>Hydro</w:t>
      </w:r>
      <w:del w:id="21" w:author="jthormah" w:date="2011-06-09T11:18:00Z">
        <w:r w:rsidRPr="00D90D28" w:rsidDel="006662C4">
          <w:delText>-powered</w:delText>
        </w:r>
      </w:del>
      <w:ins w:id="22" w:author="jthormah" w:date="2011-06-09T11:18:00Z">
        <w:r w:rsidR="006662C4">
          <w:t xml:space="preserve"> Generation</w:t>
        </w:r>
      </w:ins>
      <w:r w:rsidRPr="00D90D28">
        <w:t xml:space="preserve"> Resources operating in the synchronous condenser fast-response mode may provide RRS up to the </w:t>
      </w:r>
      <w:ins w:id="23" w:author="jthormah" w:date="2011-06-08T09:45:00Z">
        <w:r w:rsidR="008044EC">
          <w:rPr>
            <w:sz w:val="23"/>
            <w:szCs w:val="23"/>
          </w:rPr>
          <w:t>hydro Generation</w:t>
        </w:r>
        <w:r w:rsidR="008044EC" w:rsidRPr="00D90D28">
          <w:t xml:space="preserve"> </w:t>
        </w:r>
      </w:ins>
      <w:r w:rsidRPr="00D90D28">
        <w:t>Resource’s prove</w:t>
      </w:r>
      <w:ins w:id="24" w:author="jthormah" w:date="2011-06-08T09:45:00Z">
        <w:r w:rsidR="008044EC">
          <w:t>n</w:t>
        </w:r>
      </w:ins>
      <w:del w:id="25" w:author="jthormah" w:date="2011-06-08T09:45:00Z">
        <w:r w:rsidRPr="00D90D28" w:rsidDel="008044EC">
          <w:delText>d</w:delText>
        </w:r>
      </w:del>
      <w:r w:rsidRPr="00D90D28">
        <w:t xml:space="preserve"> 20-second response </w:t>
      </w:r>
      <w:ins w:id="26" w:author="jthormah" w:date="2011-06-08T09:45:00Z">
        <w:r w:rsidR="008044EC">
          <w:rPr>
            <w:sz w:val="23"/>
            <w:szCs w:val="23"/>
          </w:rPr>
          <w:t>capability</w:t>
        </w:r>
        <w:r w:rsidR="008044EC" w:rsidRPr="00D90D28">
          <w:t xml:space="preserve"> </w:t>
        </w:r>
      </w:ins>
      <w:r w:rsidRPr="00D90D28">
        <w:t>(which may be 100% of the HSL</w:t>
      </w:r>
      <w:ins w:id="27" w:author="jthormah" w:date="2011-06-08T09:44:00Z">
        <w:r w:rsidR="008044EC" w:rsidRPr="00D90D28">
          <w:t>)</w:t>
        </w:r>
        <w:r w:rsidR="008044EC" w:rsidRPr="008044EC">
          <w:t xml:space="preserve">. </w:t>
        </w:r>
        <w:r w:rsidR="008044EC">
          <w:rPr>
            <w:szCs w:val="20"/>
          </w:rPr>
          <w:t>The initiation setting of the automatic under frequency relay setting shall not be lower than 59.80 Hz.</w:t>
        </w:r>
      </w:ins>
      <w:r w:rsidRPr="00D90D28">
        <w:t xml:space="preserve">; </w:t>
      </w:r>
    </w:p>
    <w:p w:rsidR="00D90D28" w:rsidRPr="00D90D28" w:rsidRDefault="00D90D28" w:rsidP="00D90D28">
      <w:pPr>
        <w:ind w:left="1440" w:hanging="720"/>
      </w:pPr>
    </w:p>
    <w:p w:rsidR="00D90D28" w:rsidRDefault="00D90D28" w:rsidP="00D90D28">
      <w:pPr>
        <w:ind w:left="1440" w:hanging="720"/>
      </w:pPr>
      <w:r w:rsidRPr="00D90D28">
        <w:t>(c)</w:t>
      </w:r>
      <w:r w:rsidRPr="00D90D28">
        <w:tab/>
        <w:t>For any hydro</w:t>
      </w:r>
      <w:del w:id="28" w:author="jthormah" w:date="2011-06-09T11:19:00Z">
        <w:r w:rsidRPr="00D90D28" w:rsidDel="006662C4">
          <w:delText>-powered</w:delText>
        </w:r>
      </w:del>
      <w:ins w:id="29" w:author="jthormah" w:date="2011-06-09T11:19:00Z">
        <w:r w:rsidR="006662C4">
          <w:t xml:space="preserve"> Generation</w:t>
        </w:r>
      </w:ins>
      <w:r w:rsidRPr="00D90D28">
        <w:t xml:space="preserve"> Resource with a five percent droop setting operating as a generator, the amount of RRS provided may never be more than 20% of the HSL; and </w:t>
      </w:r>
    </w:p>
    <w:p w:rsidR="00D90D28" w:rsidRPr="00D90D28" w:rsidRDefault="00D90D28" w:rsidP="00D90D28">
      <w:pPr>
        <w:ind w:left="1440" w:hanging="720"/>
      </w:pPr>
    </w:p>
    <w:p w:rsidR="00D90D28" w:rsidRPr="00D90D28" w:rsidRDefault="00D90D28" w:rsidP="00D90D28">
      <w:pPr>
        <w:ind w:left="1440" w:hanging="720"/>
      </w:pPr>
      <w:r w:rsidRPr="00D90D28">
        <w:t>(d)</w:t>
      </w:r>
      <w:r w:rsidRPr="00D90D28">
        <w:tab/>
        <w:t xml:space="preserve">The amount of RRS provided from a Load Resource must be less than or equal to the HSL minus the sum of the LSL, Reg-Up Resource Responsibility, Reg-Down Resource Responsibility, and Non-Spin Resource Responsibility. </w:t>
      </w:r>
    </w:p>
    <w:p w:rsidR="009A3772" w:rsidRDefault="009A3772" w:rsidP="00BC2D06"/>
    <w:p w:rsidR="00A06FE0" w:rsidRDefault="00A06FE0" w:rsidP="00A06FE0">
      <w:pPr>
        <w:pStyle w:val="H5"/>
      </w:pPr>
      <w:bookmarkStart w:id="30" w:name="_Toc141777782"/>
      <w:bookmarkStart w:id="31" w:name="_Toc203961363"/>
      <w:bookmarkStart w:id="32" w:name="_Toc283801869"/>
      <w:r w:rsidRPr="00451E30">
        <w:t>8.1.1.4.2</w:t>
      </w:r>
      <w:r w:rsidRPr="00451E30">
        <w:tab/>
        <w:t>Responsive Reserve Service Energy Deployment Criteria</w:t>
      </w:r>
      <w:bookmarkEnd w:id="30"/>
      <w:bookmarkEnd w:id="31"/>
      <w:bookmarkEnd w:id="32"/>
    </w:p>
    <w:p w:rsidR="00A06FE0" w:rsidRPr="00A06FE0" w:rsidRDefault="00A06FE0" w:rsidP="00A06FE0">
      <w:pPr>
        <w:ind w:left="720" w:hanging="720"/>
        <w:rPr>
          <w:iCs/>
          <w:szCs w:val="20"/>
        </w:rPr>
      </w:pPr>
      <w:r w:rsidRPr="00A06FE0">
        <w:rPr>
          <w:iCs/>
          <w:szCs w:val="20"/>
        </w:rPr>
        <w:t>(1)</w:t>
      </w:r>
      <w:r w:rsidRPr="00A06FE0">
        <w:rPr>
          <w:iCs/>
          <w:szCs w:val="20"/>
        </w:rPr>
        <w:tab/>
        <w:t xml:space="preserve">Each QSE providing RRS shall so indicate by appropriate entries in the Resource’s Ancillary Service Schedule and the Ancillary Service Resource Responsibility providing that service.  ERCOT shall adjust the Generation Resource’s Base Point for any requested RRS energy in the next cycle of SCED as specified in Section 6.5.7.6.2.2, Deployment of </w:t>
      </w:r>
      <w:r w:rsidRPr="00A06FE0">
        <w:rPr>
          <w:iCs/>
          <w:szCs w:val="20"/>
        </w:rPr>
        <w:lastRenderedPageBreak/>
        <w:t>Responsive Reserve Service.  For Controllable Load Resources, the QSE shall control its Resources to operate to the Resource’s Scheduled Power Consumption minus any Ancillary Service deployments.  Control performance during periods in which ERCOT has deployed RRS shall be based on the requirements below and failure to meet any one of these requirements shall be reported to TRE as non-compliance:</w:t>
      </w:r>
    </w:p>
    <w:p w:rsidR="00A06FE0" w:rsidRDefault="00A06FE0" w:rsidP="00A06FE0">
      <w:pPr>
        <w:ind w:left="720" w:hanging="720"/>
        <w:rPr>
          <w:iCs/>
          <w:szCs w:val="20"/>
        </w:rPr>
      </w:pPr>
    </w:p>
    <w:p w:rsidR="00A06FE0" w:rsidRPr="00A06FE0" w:rsidRDefault="00A06FE0" w:rsidP="00A06FE0">
      <w:pPr>
        <w:ind w:left="1440" w:hanging="720"/>
        <w:rPr>
          <w:iCs/>
          <w:szCs w:val="20"/>
        </w:rPr>
      </w:pPr>
      <w:r w:rsidRPr="00A06FE0">
        <w:rPr>
          <w:iCs/>
          <w:szCs w:val="20"/>
        </w:rPr>
        <w:t>(a)</w:t>
      </w:r>
      <w:r w:rsidRPr="00A06FE0">
        <w:rPr>
          <w:iCs/>
          <w:szCs w:val="20"/>
        </w:rPr>
        <w:tab/>
        <w: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p w:rsidR="00A06FE0" w:rsidRDefault="00A06FE0" w:rsidP="00A06FE0">
      <w:pPr>
        <w:ind w:left="1440" w:hanging="720"/>
        <w:rPr>
          <w:iCs/>
          <w:szCs w:val="20"/>
        </w:rPr>
      </w:pPr>
    </w:p>
    <w:p w:rsidR="00A06FE0" w:rsidRPr="00A06FE0" w:rsidRDefault="00A06FE0" w:rsidP="00A06FE0">
      <w:pPr>
        <w:ind w:left="1440" w:hanging="720"/>
        <w:rPr>
          <w:iCs/>
          <w:szCs w:val="20"/>
        </w:rPr>
      </w:pPr>
      <w:r w:rsidRPr="00A06FE0">
        <w:rPr>
          <w:iCs/>
          <w:szCs w:val="20"/>
        </w:rPr>
        <w:t>(b)</w:t>
      </w:r>
      <w:r w:rsidRPr="00A06FE0">
        <w:rPr>
          <w:iCs/>
          <w:szCs w:val="20"/>
        </w:rPr>
        <w:tab/>
        <w:t>For QSEs with Load Resources, excluding Controllable Load Resources, ten minutes following deployment instruction, the sum of the QSE’s Load Resource response shall not be less than 95%, nor more than 150% of the requested MW deployment and be maintained until recalled or the Resource’s obligation to provide RRS expires.</w:t>
      </w:r>
    </w:p>
    <w:p w:rsidR="00A06FE0" w:rsidRDefault="00A06FE0" w:rsidP="00A06FE0">
      <w:pPr>
        <w:ind w:left="1440" w:hanging="720"/>
        <w:rPr>
          <w:iCs/>
          <w:szCs w:val="20"/>
        </w:rPr>
      </w:pPr>
    </w:p>
    <w:p w:rsidR="00A06FE0" w:rsidRPr="00A06FE0" w:rsidRDefault="00A06FE0" w:rsidP="00A06FE0">
      <w:pPr>
        <w:ind w:left="1440" w:hanging="720"/>
        <w:rPr>
          <w:iCs/>
          <w:szCs w:val="20"/>
        </w:rPr>
      </w:pPr>
      <w:r w:rsidRPr="00A06FE0">
        <w:rPr>
          <w:iCs/>
          <w:szCs w:val="20"/>
        </w:rPr>
        <w:t>(c)</w:t>
      </w:r>
      <w:r w:rsidRPr="00A06FE0">
        <w:rPr>
          <w:iCs/>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rsidR="00A06FE0" w:rsidRDefault="00A06FE0" w:rsidP="00A06FE0">
      <w:pPr>
        <w:ind w:left="1440" w:hanging="720"/>
        <w:rPr>
          <w:iCs/>
          <w:szCs w:val="20"/>
        </w:rPr>
      </w:pPr>
    </w:p>
    <w:p w:rsidR="00A06FE0" w:rsidRPr="00A06FE0" w:rsidRDefault="00A06FE0" w:rsidP="00A06FE0">
      <w:pPr>
        <w:ind w:left="1440" w:hanging="720"/>
        <w:rPr>
          <w:iCs/>
          <w:szCs w:val="20"/>
        </w:rPr>
      </w:pPr>
      <w:r w:rsidRPr="00A06FE0">
        <w:rPr>
          <w:iCs/>
          <w:szCs w:val="20"/>
        </w:rPr>
        <w:t>(d)</w:t>
      </w:r>
      <w:r w:rsidRPr="00A06FE0">
        <w:rPr>
          <w:iCs/>
          <w:szCs w:val="20"/>
        </w:rP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rsidR="00A06FE0" w:rsidRDefault="00A06FE0" w:rsidP="00A06FE0">
      <w:pPr>
        <w:ind w:left="1440" w:hanging="720"/>
        <w:rPr>
          <w:iCs/>
          <w:szCs w:val="20"/>
        </w:rPr>
      </w:pPr>
    </w:p>
    <w:p w:rsidR="00A06FE0" w:rsidRDefault="00A06FE0" w:rsidP="00A06FE0">
      <w:pPr>
        <w:ind w:left="1440" w:hanging="720"/>
        <w:rPr>
          <w:iCs/>
          <w:szCs w:val="20"/>
        </w:rPr>
      </w:pPr>
      <w:r w:rsidRPr="00A06FE0">
        <w:rPr>
          <w:iCs/>
          <w:szCs w:val="20"/>
        </w:rPr>
        <w:t>(e)</w:t>
      </w:r>
      <w:r w:rsidRPr="00A06FE0">
        <w:rPr>
          <w:iCs/>
          <w:szCs w:val="20"/>
        </w:rPr>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w:t>
      </w:r>
      <w:r w:rsidRPr="00A06FE0">
        <w:rPr>
          <w:iCs/>
          <w:szCs w:val="20"/>
        </w:rPr>
        <w:lastRenderedPageBreak/>
        <w:t>data being telemetered to ERCOT during the Settlement Interval indicated in the Dispatch Instruction.</w:t>
      </w:r>
    </w:p>
    <w:p w:rsidR="00A06FE0" w:rsidRPr="00A06FE0" w:rsidRDefault="00A06FE0" w:rsidP="00A06FE0">
      <w:pPr>
        <w:ind w:left="720" w:hanging="720"/>
        <w:rPr>
          <w:iCs/>
          <w:szCs w:val="20"/>
        </w:rPr>
      </w:pPr>
    </w:p>
    <w:p w:rsidR="00A06FE0" w:rsidRPr="00A06FE0" w:rsidRDefault="00A06FE0" w:rsidP="00A06FE0">
      <w:pPr>
        <w:ind w:left="720" w:hanging="720"/>
        <w:rPr>
          <w:iCs/>
          <w:szCs w:val="20"/>
        </w:rPr>
      </w:pPr>
      <w:r w:rsidRPr="00A06FE0">
        <w:rPr>
          <w:iCs/>
          <w:szCs w:val="20"/>
        </w:rPr>
        <w:t>(2)</w:t>
      </w:r>
      <w:r w:rsidRPr="00A06FE0">
        <w:rPr>
          <w:iCs/>
          <w:szCs w:val="20"/>
        </w:rPr>
        <w:tab/>
        <w:t xml:space="preserve">For all Measurable Events, ERCOT shall use the recorded data for each two-second scan rate value of real power output for each Generation Resource, Controllable Load Resource.  ERCOT shall use the recorded MW data beginning one minute before the start of the frequency excursion event until ten minutes after the start of the frequency excursion event. </w:t>
      </w:r>
      <w:r w:rsidRPr="00A06FE0">
        <w:rPr>
          <w:b/>
          <w:iCs/>
          <w:szCs w:val="20"/>
        </w:rPr>
        <w:t xml:space="preserve"> </w:t>
      </w:r>
      <w:r w:rsidRPr="00A06FE0">
        <w:rPr>
          <w:iCs/>
          <w:szCs w:val="20"/>
        </w:rPr>
        <w:t xml:space="preserve">Satisfactory performance must be measured by comparing actual Primary Frequency Response to the expected Primary Frequency Response as required in the Operating Guides. </w:t>
      </w:r>
    </w:p>
    <w:p w:rsidR="00A06FE0" w:rsidRDefault="00A06FE0" w:rsidP="00A06FE0">
      <w:pPr>
        <w:ind w:left="720" w:hanging="720"/>
        <w:rPr>
          <w:iCs/>
          <w:szCs w:val="20"/>
        </w:rPr>
      </w:pPr>
    </w:p>
    <w:p w:rsidR="00A06FE0" w:rsidRPr="00A06FE0" w:rsidRDefault="00A06FE0" w:rsidP="00A06FE0">
      <w:pPr>
        <w:ind w:left="720" w:hanging="720"/>
        <w:rPr>
          <w:iCs/>
          <w:szCs w:val="20"/>
        </w:rPr>
      </w:pPr>
      <w:r w:rsidRPr="00A06FE0">
        <w:rPr>
          <w:iCs/>
          <w:szCs w:val="20"/>
        </w:rPr>
        <w:t>(3)</w:t>
      </w:r>
      <w:r w:rsidRPr="00A06FE0">
        <w:rPr>
          <w:iCs/>
          <w:szCs w:val="20"/>
        </w:rPr>
        <w:tab/>
        <w:t>ERCOT shall monitor the Primary Frequency Response that is delivered during Measurable Events of Generation Resources and Controllable Load Resources, relay response for Loads and hydro RRS</w:t>
      </w:r>
      <w:ins w:id="33" w:author="LCRA" w:date="2011-06-07T17:54:00Z">
        <w:r w:rsidR="00DF2F3A" w:rsidRPr="00DF2F3A">
          <w:rPr>
            <w:sz w:val="23"/>
            <w:szCs w:val="23"/>
          </w:rPr>
          <w:t xml:space="preserve"> </w:t>
        </w:r>
      </w:ins>
      <w:ins w:id="34" w:author="jthormah" w:date="2011-06-08T09:41:00Z">
        <w:r w:rsidR="005B6D7B">
          <w:rPr>
            <w:sz w:val="23"/>
            <w:szCs w:val="23"/>
          </w:rPr>
          <w:t>at the frequency specified in Protocol Section 3.18(3)(b)</w:t>
        </w:r>
      </w:ins>
      <w:r w:rsidRPr="00A06FE0">
        <w:rPr>
          <w:iCs/>
          <w:szCs w:val="20"/>
        </w:rPr>
        <w:t xml:space="preserve">.  Primary Frequency Response performance must be analyzed by </w:t>
      </w:r>
      <w:smartTag w:uri="urn:schemas-microsoft-com:office:smarttags" w:element="stockticker">
        <w:r w:rsidRPr="00A06FE0">
          <w:rPr>
            <w:iCs/>
            <w:szCs w:val="20"/>
          </w:rPr>
          <w:t>TAC</w:t>
        </w:r>
      </w:smartTag>
      <w:r w:rsidRPr="00A06FE0">
        <w:rPr>
          <w:iCs/>
          <w:szCs w:val="20"/>
        </w:rPr>
        <w:t xml:space="preserve"> and a performance metric must be provided in the Operating Guides.</w:t>
      </w:r>
    </w:p>
    <w:p w:rsidR="00D90D28" w:rsidRPr="00BA2009" w:rsidRDefault="00D90D28" w:rsidP="00BC2D06"/>
    <w:sectPr w:rsidR="00D90D28" w:rsidRPr="00BA2009" w:rsidSect="0017435C">
      <w:headerReference w:type="default" r:id="rId8"/>
      <w:footerReference w:type="even" r:id="rId9"/>
      <w:footerReference w:type="defaul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A62" w:rsidRDefault="00600A62">
      <w:r>
        <w:separator/>
      </w:r>
    </w:p>
  </w:endnote>
  <w:endnote w:type="continuationSeparator" w:id="0">
    <w:p w:rsidR="00600A62" w:rsidRDefault="00600A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5E7" w:rsidRPr="00412DCA" w:rsidRDefault="00C76DB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345E7" w:rsidRPr="00412DCA">
      <w:rPr>
        <w:rFonts w:ascii="Arial" w:hAnsi="Arial" w:cs="Arial"/>
        <w:sz w:val="18"/>
      </w:rPr>
      <w:instrText xml:space="preserve"> FILENAME </w:instrText>
    </w:r>
    <w:r w:rsidRPr="00412DCA">
      <w:rPr>
        <w:rFonts w:ascii="Arial" w:hAnsi="Arial" w:cs="Arial"/>
        <w:sz w:val="18"/>
      </w:rPr>
      <w:fldChar w:fldCharType="separate"/>
    </w:r>
    <w:r w:rsidR="00D345E7" w:rsidRPr="00412DCA">
      <w:rPr>
        <w:rFonts w:ascii="Arial" w:hAnsi="Arial" w:cs="Arial"/>
        <w:noProof/>
        <w:sz w:val="18"/>
      </w:rPr>
      <w:t>PRR_Template.doc</w:t>
    </w:r>
    <w:r w:rsidRPr="00412DCA">
      <w:rPr>
        <w:rFonts w:ascii="Arial" w:hAnsi="Arial" w:cs="Arial"/>
        <w:sz w:val="18"/>
      </w:rPr>
      <w:fldChar w:fldCharType="end"/>
    </w:r>
    <w:r w:rsidR="00D345E7" w:rsidRPr="00412DCA">
      <w:rPr>
        <w:rFonts w:ascii="Arial" w:hAnsi="Arial" w:cs="Arial"/>
        <w:sz w:val="18"/>
      </w:rPr>
      <w:tab/>
      <w:t xml:space="preserve">Page </w:t>
    </w:r>
    <w:r w:rsidRPr="00412DCA">
      <w:rPr>
        <w:rFonts w:ascii="Arial" w:hAnsi="Arial" w:cs="Arial"/>
        <w:sz w:val="18"/>
      </w:rPr>
      <w:fldChar w:fldCharType="begin"/>
    </w:r>
    <w:r w:rsidR="00D345E7" w:rsidRPr="00412DCA">
      <w:rPr>
        <w:rFonts w:ascii="Arial" w:hAnsi="Arial" w:cs="Arial"/>
        <w:sz w:val="18"/>
      </w:rPr>
      <w:instrText xml:space="preserve"> PAGE </w:instrText>
    </w:r>
    <w:r w:rsidRPr="00412DCA">
      <w:rPr>
        <w:rFonts w:ascii="Arial" w:hAnsi="Arial" w:cs="Arial"/>
        <w:sz w:val="18"/>
      </w:rPr>
      <w:fldChar w:fldCharType="separate"/>
    </w:r>
    <w:r w:rsidR="00D345E7" w:rsidRPr="00412DCA">
      <w:rPr>
        <w:rFonts w:ascii="Arial" w:hAnsi="Arial" w:cs="Arial"/>
        <w:noProof/>
        <w:sz w:val="18"/>
      </w:rPr>
      <w:t>2</w:t>
    </w:r>
    <w:r w:rsidRPr="00412DCA">
      <w:rPr>
        <w:rFonts w:ascii="Arial" w:hAnsi="Arial" w:cs="Arial"/>
        <w:sz w:val="18"/>
      </w:rPr>
      <w:fldChar w:fldCharType="end"/>
    </w:r>
    <w:r w:rsidR="00D345E7" w:rsidRPr="00412DCA">
      <w:rPr>
        <w:rFonts w:ascii="Arial" w:hAnsi="Arial" w:cs="Arial"/>
        <w:sz w:val="18"/>
      </w:rPr>
      <w:t xml:space="preserve"> of </w:t>
    </w:r>
    <w:r w:rsidRPr="00412DCA">
      <w:rPr>
        <w:rFonts w:ascii="Arial" w:hAnsi="Arial" w:cs="Arial"/>
        <w:sz w:val="18"/>
      </w:rPr>
      <w:fldChar w:fldCharType="begin"/>
    </w:r>
    <w:r w:rsidR="00D345E7" w:rsidRPr="00412DCA">
      <w:rPr>
        <w:rFonts w:ascii="Arial" w:hAnsi="Arial" w:cs="Arial"/>
        <w:sz w:val="18"/>
      </w:rPr>
      <w:instrText xml:space="preserve"> NUMPAGES </w:instrText>
    </w:r>
    <w:r w:rsidRPr="00412DCA">
      <w:rPr>
        <w:rFonts w:ascii="Arial" w:hAnsi="Arial" w:cs="Arial"/>
        <w:sz w:val="18"/>
      </w:rPr>
      <w:fldChar w:fldCharType="separate"/>
    </w:r>
    <w:r w:rsidR="00D345E7">
      <w:rPr>
        <w:rFonts w:ascii="Arial" w:hAnsi="Arial" w:cs="Arial"/>
        <w:noProof/>
        <w:sz w:val="18"/>
      </w:rPr>
      <w:t>3</w:t>
    </w:r>
    <w:r w:rsidRPr="00412DCA">
      <w:rPr>
        <w:rFonts w:ascii="Arial" w:hAnsi="Arial" w:cs="Arial"/>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5E7" w:rsidRDefault="00D345E7">
    <w:pPr>
      <w:pStyle w:val="Footer"/>
      <w:tabs>
        <w:tab w:val="clear" w:pos="4320"/>
        <w:tab w:val="clear" w:pos="8640"/>
        <w:tab w:val="right" w:pos="9360"/>
      </w:tabs>
      <w:rPr>
        <w:rFonts w:ascii="Arial" w:hAnsi="Arial" w:cs="Arial"/>
        <w:sz w:val="18"/>
      </w:rPr>
    </w:pPr>
    <w:r>
      <w:rPr>
        <w:rFonts w:ascii="Arial" w:hAnsi="Arial" w:cs="Arial"/>
        <w:sz w:val="18"/>
      </w:rPr>
      <w:t>3XXNPRR-01 Hydro RRS Deployment UFR set point 06XX11</w:t>
    </w:r>
    <w:r>
      <w:rPr>
        <w:rFonts w:ascii="Arial" w:hAnsi="Arial" w:cs="Arial"/>
        <w:sz w:val="18"/>
      </w:rPr>
      <w:tab/>
      <w:t>Pa</w:t>
    </w:r>
    <w:r w:rsidRPr="00412DCA">
      <w:rPr>
        <w:rFonts w:ascii="Arial" w:hAnsi="Arial" w:cs="Arial"/>
        <w:sz w:val="18"/>
      </w:rPr>
      <w:t xml:space="preserve">ge </w:t>
    </w:r>
    <w:r w:rsidR="00C76DBC" w:rsidRPr="00412DCA">
      <w:rPr>
        <w:rFonts w:ascii="Arial" w:hAnsi="Arial" w:cs="Arial"/>
        <w:sz w:val="18"/>
      </w:rPr>
      <w:fldChar w:fldCharType="begin"/>
    </w:r>
    <w:r w:rsidRPr="00412DCA">
      <w:rPr>
        <w:rFonts w:ascii="Arial" w:hAnsi="Arial" w:cs="Arial"/>
        <w:sz w:val="18"/>
      </w:rPr>
      <w:instrText xml:space="preserve"> PAGE </w:instrText>
    </w:r>
    <w:r w:rsidR="00C76DBC" w:rsidRPr="00412DCA">
      <w:rPr>
        <w:rFonts w:ascii="Arial" w:hAnsi="Arial" w:cs="Arial"/>
        <w:sz w:val="18"/>
      </w:rPr>
      <w:fldChar w:fldCharType="separate"/>
    </w:r>
    <w:r w:rsidR="00BE6C1A">
      <w:rPr>
        <w:rFonts w:ascii="Arial" w:hAnsi="Arial" w:cs="Arial"/>
        <w:noProof/>
        <w:sz w:val="18"/>
      </w:rPr>
      <w:t>1</w:t>
    </w:r>
    <w:r w:rsidR="00C76DBC" w:rsidRPr="00412DCA">
      <w:rPr>
        <w:rFonts w:ascii="Arial" w:hAnsi="Arial" w:cs="Arial"/>
        <w:sz w:val="18"/>
      </w:rPr>
      <w:fldChar w:fldCharType="end"/>
    </w:r>
    <w:r w:rsidRPr="00412DCA">
      <w:rPr>
        <w:rFonts w:ascii="Arial" w:hAnsi="Arial" w:cs="Arial"/>
        <w:sz w:val="18"/>
      </w:rPr>
      <w:t xml:space="preserve"> of </w:t>
    </w:r>
    <w:r w:rsidR="00C76DBC" w:rsidRPr="00412DCA">
      <w:rPr>
        <w:rFonts w:ascii="Arial" w:hAnsi="Arial" w:cs="Arial"/>
        <w:sz w:val="18"/>
      </w:rPr>
      <w:fldChar w:fldCharType="begin"/>
    </w:r>
    <w:r w:rsidRPr="00412DCA">
      <w:rPr>
        <w:rFonts w:ascii="Arial" w:hAnsi="Arial" w:cs="Arial"/>
        <w:sz w:val="18"/>
      </w:rPr>
      <w:instrText xml:space="preserve"> NUMPAGES </w:instrText>
    </w:r>
    <w:r w:rsidR="00C76DBC" w:rsidRPr="00412DCA">
      <w:rPr>
        <w:rFonts w:ascii="Arial" w:hAnsi="Arial" w:cs="Arial"/>
        <w:sz w:val="18"/>
      </w:rPr>
      <w:fldChar w:fldCharType="separate"/>
    </w:r>
    <w:r w:rsidR="00BE6C1A">
      <w:rPr>
        <w:rFonts w:ascii="Arial" w:hAnsi="Arial" w:cs="Arial"/>
        <w:noProof/>
        <w:sz w:val="18"/>
      </w:rPr>
      <w:t>5</w:t>
    </w:r>
    <w:r w:rsidR="00C76DBC" w:rsidRPr="00412DCA">
      <w:rPr>
        <w:rFonts w:ascii="Arial" w:hAnsi="Arial" w:cs="Arial"/>
        <w:sz w:val="18"/>
      </w:rPr>
      <w:fldChar w:fldCharType="end"/>
    </w:r>
  </w:p>
  <w:p w:rsidR="00D345E7" w:rsidRPr="00412DCA" w:rsidRDefault="00D345E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5E7" w:rsidRPr="00412DCA" w:rsidRDefault="00C76DB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345E7" w:rsidRPr="00412DCA">
      <w:rPr>
        <w:rFonts w:ascii="Arial" w:hAnsi="Arial" w:cs="Arial"/>
        <w:sz w:val="18"/>
      </w:rPr>
      <w:instrText xml:space="preserve"> FILENAME </w:instrText>
    </w:r>
    <w:r w:rsidRPr="00412DCA">
      <w:rPr>
        <w:rFonts w:ascii="Arial" w:hAnsi="Arial" w:cs="Arial"/>
        <w:sz w:val="18"/>
      </w:rPr>
      <w:fldChar w:fldCharType="separate"/>
    </w:r>
    <w:r w:rsidR="00D345E7" w:rsidRPr="00412DCA">
      <w:rPr>
        <w:rFonts w:ascii="Arial" w:hAnsi="Arial" w:cs="Arial"/>
        <w:noProof/>
        <w:sz w:val="18"/>
      </w:rPr>
      <w:t>PRR_Template.doc</w:t>
    </w:r>
    <w:r w:rsidRPr="00412DCA">
      <w:rPr>
        <w:rFonts w:ascii="Arial" w:hAnsi="Arial" w:cs="Arial"/>
        <w:sz w:val="18"/>
      </w:rPr>
      <w:fldChar w:fldCharType="end"/>
    </w:r>
    <w:r w:rsidR="00D345E7" w:rsidRPr="00412DCA">
      <w:rPr>
        <w:rFonts w:ascii="Arial" w:hAnsi="Arial" w:cs="Arial"/>
        <w:sz w:val="18"/>
      </w:rPr>
      <w:tab/>
      <w:t xml:space="preserve">Page </w:t>
    </w:r>
    <w:r w:rsidRPr="00412DCA">
      <w:rPr>
        <w:rFonts w:ascii="Arial" w:hAnsi="Arial" w:cs="Arial"/>
        <w:sz w:val="18"/>
      </w:rPr>
      <w:fldChar w:fldCharType="begin"/>
    </w:r>
    <w:r w:rsidR="00D345E7" w:rsidRPr="00412DCA">
      <w:rPr>
        <w:rFonts w:ascii="Arial" w:hAnsi="Arial" w:cs="Arial"/>
        <w:sz w:val="18"/>
      </w:rPr>
      <w:instrText xml:space="preserve"> PAGE </w:instrText>
    </w:r>
    <w:r w:rsidRPr="00412DCA">
      <w:rPr>
        <w:rFonts w:ascii="Arial" w:hAnsi="Arial" w:cs="Arial"/>
        <w:sz w:val="18"/>
      </w:rPr>
      <w:fldChar w:fldCharType="separate"/>
    </w:r>
    <w:r w:rsidR="00D345E7" w:rsidRPr="00412DCA">
      <w:rPr>
        <w:rFonts w:ascii="Arial" w:hAnsi="Arial" w:cs="Arial"/>
        <w:noProof/>
        <w:sz w:val="18"/>
      </w:rPr>
      <w:t>2</w:t>
    </w:r>
    <w:r w:rsidRPr="00412DCA">
      <w:rPr>
        <w:rFonts w:ascii="Arial" w:hAnsi="Arial" w:cs="Arial"/>
        <w:sz w:val="18"/>
      </w:rPr>
      <w:fldChar w:fldCharType="end"/>
    </w:r>
    <w:r w:rsidR="00D345E7" w:rsidRPr="00412DCA">
      <w:rPr>
        <w:rFonts w:ascii="Arial" w:hAnsi="Arial" w:cs="Arial"/>
        <w:sz w:val="18"/>
      </w:rPr>
      <w:t xml:space="preserve"> of </w:t>
    </w:r>
    <w:r w:rsidRPr="00412DCA">
      <w:rPr>
        <w:rFonts w:ascii="Arial" w:hAnsi="Arial" w:cs="Arial"/>
        <w:sz w:val="18"/>
      </w:rPr>
      <w:fldChar w:fldCharType="begin"/>
    </w:r>
    <w:r w:rsidR="00D345E7" w:rsidRPr="00412DCA">
      <w:rPr>
        <w:rFonts w:ascii="Arial" w:hAnsi="Arial" w:cs="Arial"/>
        <w:sz w:val="18"/>
      </w:rPr>
      <w:instrText xml:space="preserve"> NUMPAGES </w:instrText>
    </w:r>
    <w:r w:rsidRPr="00412DCA">
      <w:rPr>
        <w:rFonts w:ascii="Arial" w:hAnsi="Arial" w:cs="Arial"/>
        <w:sz w:val="18"/>
      </w:rPr>
      <w:fldChar w:fldCharType="separate"/>
    </w:r>
    <w:r w:rsidR="00D345E7">
      <w:rPr>
        <w:rFonts w:ascii="Arial" w:hAnsi="Arial" w:cs="Arial"/>
        <w:noProof/>
        <w:sz w:val="18"/>
      </w:rPr>
      <w:t>3</w:t>
    </w:r>
    <w:r w:rsidRPr="00412DCA">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A62" w:rsidRDefault="00600A62">
      <w:r>
        <w:separator/>
      </w:r>
    </w:p>
  </w:footnote>
  <w:footnote w:type="continuationSeparator" w:id="0">
    <w:p w:rsidR="00600A62" w:rsidRDefault="00600A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5E7" w:rsidRDefault="00D345E7">
    <w:pPr>
      <w:pStyle w:val="Header"/>
      <w:jc w:val="center"/>
      <w:rPr>
        <w:sz w:val="32"/>
      </w:rPr>
    </w:pPr>
    <w:r>
      <w:rPr>
        <w:sz w:val="32"/>
      </w:rPr>
      <w:t>Nodal Protocol Revision Request</w:t>
    </w:r>
  </w:p>
  <w:p w:rsidR="00D345E7" w:rsidRDefault="00D345E7">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7"/>
  </w:num>
  <w:num w:numId="3">
    <w:abstractNumId w:val="8"/>
  </w:num>
  <w:num w:numId="4">
    <w:abstractNumId w:val="1"/>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2"/>
  </w:num>
  <w:num w:numId="15">
    <w:abstractNumId w:val="3"/>
  </w:num>
  <w:num w:numId="16">
    <w:abstractNumId w:val="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stylePaneFormatFilter w:val="3F01"/>
  <w:defaultTabStop w:val="720"/>
  <w:noPunctuationKerning/>
  <w:characterSpacingControl w:val="doNotCompress"/>
  <w:hdrShapeDefaults>
    <o:shapedefaults v:ext="edit" spidmax="11266"/>
  </w:hdrShapeDefaults>
  <w:footnotePr>
    <w:footnote w:id="-1"/>
    <w:footnote w:id="0"/>
  </w:footnotePr>
  <w:endnotePr>
    <w:endnote w:id="-1"/>
    <w:endnote w:id="0"/>
  </w:endnotePr>
  <w:compat/>
  <w:rsids>
    <w:rsidRoot w:val="00534C6C"/>
    <w:rsid w:val="00067FE2"/>
    <w:rsid w:val="000C060D"/>
    <w:rsid w:val="00120C14"/>
    <w:rsid w:val="0014546D"/>
    <w:rsid w:val="0017435C"/>
    <w:rsid w:val="0019314C"/>
    <w:rsid w:val="001E13AE"/>
    <w:rsid w:val="0026088B"/>
    <w:rsid w:val="002B763A"/>
    <w:rsid w:val="003013F2"/>
    <w:rsid w:val="0030694A"/>
    <w:rsid w:val="003A3D77"/>
    <w:rsid w:val="003B4B1D"/>
    <w:rsid w:val="00413159"/>
    <w:rsid w:val="004463BA"/>
    <w:rsid w:val="0045323E"/>
    <w:rsid w:val="004822D4"/>
    <w:rsid w:val="00534C6C"/>
    <w:rsid w:val="005B6D7B"/>
    <w:rsid w:val="005F0AA0"/>
    <w:rsid w:val="00600A62"/>
    <w:rsid w:val="0062434E"/>
    <w:rsid w:val="006450CD"/>
    <w:rsid w:val="00656911"/>
    <w:rsid w:val="006662C4"/>
    <w:rsid w:val="006D7F1C"/>
    <w:rsid w:val="0072151B"/>
    <w:rsid w:val="007415AA"/>
    <w:rsid w:val="00743968"/>
    <w:rsid w:val="00754353"/>
    <w:rsid w:val="007859AD"/>
    <w:rsid w:val="00791CB9"/>
    <w:rsid w:val="00793130"/>
    <w:rsid w:val="007B14BE"/>
    <w:rsid w:val="007C199B"/>
    <w:rsid w:val="007E0452"/>
    <w:rsid w:val="008044EC"/>
    <w:rsid w:val="0083013B"/>
    <w:rsid w:val="00894499"/>
    <w:rsid w:val="008B7A89"/>
    <w:rsid w:val="009258C6"/>
    <w:rsid w:val="00932172"/>
    <w:rsid w:val="009366DA"/>
    <w:rsid w:val="00963A51"/>
    <w:rsid w:val="009A3772"/>
    <w:rsid w:val="009A3DCD"/>
    <w:rsid w:val="00A06FE0"/>
    <w:rsid w:val="00A5678D"/>
    <w:rsid w:val="00A73275"/>
    <w:rsid w:val="00A93F80"/>
    <w:rsid w:val="00AF56C6"/>
    <w:rsid w:val="00B34D4D"/>
    <w:rsid w:val="00B47FBC"/>
    <w:rsid w:val="00B57F96"/>
    <w:rsid w:val="00B75A26"/>
    <w:rsid w:val="00BC2D06"/>
    <w:rsid w:val="00BE6C1A"/>
    <w:rsid w:val="00C0583B"/>
    <w:rsid w:val="00C76DBC"/>
    <w:rsid w:val="00C90702"/>
    <w:rsid w:val="00C90766"/>
    <w:rsid w:val="00C917FF"/>
    <w:rsid w:val="00CC4F39"/>
    <w:rsid w:val="00CF008D"/>
    <w:rsid w:val="00D271E3"/>
    <w:rsid w:val="00D345E7"/>
    <w:rsid w:val="00D47A80"/>
    <w:rsid w:val="00D862C8"/>
    <w:rsid w:val="00D90D28"/>
    <w:rsid w:val="00D91EE9"/>
    <w:rsid w:val="00D97220"/>
    <w:rsid w:val="00DA734F"/>
    <w:rsid w:val="00DC54A8"/>
    <w:rsid w:val="00DD102B"/>
    <w:rsid w:val="00DF2F3A"/>
    <w:rsid w:val="00E218C8"/>
    <w:rsid w:val="00E37AB0"/>
    <w:rsid w:val="00E456D6"/>
    <w:rsid w:val="00E51662"/>
    <w:rsid w:val="00EF232A"/>
    <w:rsid w:val="00F44236"/>
    <w:rsid w:val="00FA57B2"/>
    <w:rsid w:val="00FE4D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435C"/>
    <w:rPr>
      <w:sz w:val="24"/>
      <w:szCs w:val="24"/>
    </w:rPr>
  </w:style>
  <w:style w:type="paragraph" w:styleId="Heading1">
    <w:name w:val="heading 1"/>
    <w:basedOn w:val="Normal"/>
    <w:next w:val="BodyText"/>
    <w:qFormat/>
    <w:rsid w:val="0017435C"/>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17435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17435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17435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17435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17435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17435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17435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17435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7435C"/>
    <w:pPr>
      <w:tabs>
        <w:tab w:val="center" w:pos="4320"/>
        <w:tab w:val="right" w:pos="8640"/>
      </w:tabs>
    </w:pPr>
    <w:rPr>
      <w:rFonts w:ascii="Arial" w:hAnsi="Arial"/>
      <w:b/>
      <w:bCs/>
    </w:rPr>
  </w:style>
  <w:style w:type="paragraph" w:styleId="Footer">
    <w:name w:val="footer"/>
    <w:basedOn w:val="Normal"/>
    <w:rsid w:val="0017435C"/>
    <w:pPr>
      <w:tabs>
        <w:tab w:val="center" w:pos="4320"/>
        <w:tab w:val="right" w:pos="8640"/>
      </w:tabs>
    </w:pPr>
  </w:style>
  <w:style w:type="paragraph" w:customStyle="1" w:styleId="TXUNormal">
    <w:name w:val="TXUNormal"/>
    <w:rsid w:val="0017435C"/>
    <w:pPr>
      <w:spacing w:after="120"/>
    </w:pPr>
  </w:style>
  <w:style w:type="paragraph" w:customStyle="1" w:styleId="TXUHeader">
    <w:name w:val="TXUHeader"/>
    <w:basedOn w:val="TXUNormal"/>
    <w:rsid w:val="0017435C"/>
    <w:pPr>
      <w:tabs>
        <w:tab w:val="right" w:pos="9360"/>
      </w:tabs>
      <w:spacing w:after="0"/>
    </w:pPr>
    <w:rPr>
      <w:noProof/>
      <w:sz w:val="16"/>
    </w:rPr>
  </w:style>
  <w:style w:type="paragraph" w:customStyle="1" w:styleId="TXUHeaderForm">
    <w:name w:val="TXUHeaderForm"/>
    <w:basedOn w:val="TXUHeader"/>
    <w:next w:val="Normal"/>
    <w:rsid w:val="0017435C"/>
    <w:rPr>
      <w:sz w:val="24"/>
    </w:rPr>
  </w:style>
  <w:style w:type="paragraph" w:customStyle="1" w:styleId="TXUSubject">
    <w:name w:val="TXUSubject"/>
    <w:basedOn w:val="TXUNormal"/>
    <w:next w:val="TXUNormal"/>
    <w:rsid w:val="0017435C"/>
    <w:pPr>
      <w:spacing w:after="240"/>
    </w:pPr>
    <w:rPr>
      <w:b/>
    </w:rPr>
  </w:style>
  <w:style w:type="paragraph" w:customStyle="1" w:styleId="TXUFooter">
    <w:name w:val="TXUFooter"/>
    <w:basedOn w:val="TXUNormal"/>
    <w:rsid w:val="0017435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7435C"/>
    <w:rPr>
      <w:sz w:val="20"/>
    </w:rPr>
  </w:style>
  <w:style w:type="paragraph" w:customStyle="1" w:styleId="Comments">
    <w:name w:val="Comments"/>
    <w:basedOn w:val="Normal"/>
    <w:rsid w:val="0017435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sid w:val="0017435C"/>
    <w:rPr>
      <w:color w:val="0000FF"/>
      <w:u w:val="single"/>
    </w:rPr>
  </w:style>
  <w:style w:type="paragraph" w:styleId="BodyText">
    <w:name w:val="Body Text"/>
    <w:basedOn w:val="Normal"/>
    <w:rsid w:val="0017435C"/>
    <w:pPr>
      <w:spacing w:after="240"/>
    </w:pPr>
  </w:style>
  <w:style w:type="paragraph" w:styleId="BodyTextIndent">
    <w:name w:val="Body Text Indent"/>
    <w:basedOn w:val="Normal"/>
    <w:rsid w:val="0017435C"/>
    <w:pPr>
      <w:spacing w:after="240"/>
      <w:ind w:left="720"/>
    </w:pPr>
    <w:rPr>
      <w:iCs/>
      <w:szCs w:val="20"/>
    </w:rPr>
  </w:style>
  <w:style w:type="paragraph" w:customStyle="1" w:styleId="Bullet">
    <w:name w:val="Bullet"/>
    <w:basedOn w:val="Normal"/>
    <w:rsid w:val="0017435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7435C"/>
    <w:rPr>
      <w:rFonts w:ascii="Arial" w:hAnsi="Arial"/>
    </w:rPr>
  </w:style>
  <w:style w:type="table" w:customStyle="1" w:styleId="BoxedLanguage">
    <w:name w:val="Boxed Language"/>
    <w:basedOn w:val="TableNormal"/>
    <w:rsid w:val="0017435C"/>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rsid w:val="0017435C"/>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17435C"/>
    <w:rPr>
      <w:sz w:val="18"/>
      <w:szCs w:val="20"/>
    </w:rPr>
  </w:style>
  <w:style w:type="paragraph" w:customStyle="1" w:styleId="Formula">
    <w:name w:val="Formula"/>
    <w:basedOn w:val="Normal"/>
    <w:autoRedefine/>
    <w:rsid w:val="0017435C"/>
    <w:pPr>
      <w:tabs>
        <w:tab w:val="left" w:pos="2340"/>
        <w:tab w:val="left" w:pos="3420"/>
      </w:tabs>
      <w:spacing w:after="240"/>
      <w:ind w:left="3420" w:hanging="2700"/>
    </w:pPr>
    <w:rPr>
      <w:bCs/>
    </w:rPr>
  </w:style>
  <w:style w:type="paragraph" w:customStyle="1" w:styleId="FormulaBold">
    <w:name w:val="Formula Bold"/>
    <w:basedOn w:val="Normal"/>
    <w:autoRedefine/>
    <w:rsid w:val="0017435C"/>
    <w:pPr>
      <w:tabs>
        <w:tab w:val="left" w:pos="2340"/>
        <w:tab w:val="left" w:pos="3420"/>
      </w:tabs>
      <w:spacing w:after="240"/>
      <w:ind w:left="3420" w:hanging="2700"/>
    </w:pPr>
    <w:rPr>
      <w:b/>
      <w:bCs/>
    </w:rPr>
  </w:style>
  <w:style w:type="table" w:customStyle="1" w:styleId="FormulaVariableTable">
    <w:name w:val="Formula Variable Table"/>
    <w:basedOn w:val="TableNormal"/>
    <w:rsid w:val="0017435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7435C"/>
    <w:pPr>
      <w:numPr>
        <w:ilvl w:val="0"/>
        <w:numId w:val="0"/>
      </w:numPr>
      <w:tabs>
        <w:tab w:val="left" w:pos="900"/>
      </w:tabs>
      <w:ind w:left="900" w:hanging="900"/>
    </w:pPr>
  </w:style>
  <w:style w:type="paragraph" w:customStyle="1" w:styleId="H3">
    <w:name w:val="H3"/>
    <w:basedOn w:val="Heading3"/>
    <w:next w:val="BodyText"/>
    <w:link w:val="H3Char"/>
    <w:rsid w:val="0017435C"/>
    <w:pPr>
      <w:numPr>
        <w:ilvl w:val="0"/>
        <w:numId w:val="0"/>
      </w:numPr>
      <w:tabs>
        <w:tab w:val="clear" w:pos="1008"/>
        <w:tab w:val="left" w:pos="1080"/>
      </w:tabs>
      <w:ind w:left="1080" w:hanging="1080"/>
    </w:pPr>
  </w:style>
  <w:style w:type="paragraph" w:customStyle="1" w:styleId="H4">
    <w:name w:val="H4"/>
    <w:basedOn w:val="Heading4"/>
    <w:next w:val="BodyText"/>
    <w:rsid w:val="0017435C"/>
    <w:pPr>
      <w:numPr>
        <w:ilvl w:val="0"/>
        <w:numId w:val="0"/>
      </w:numPr>
      <w:tabs>
        <w:tab w:val="clear" w:pos="1296"/>
        <w:tab w:val="left" w:pos="1260"/>
      </w:tabs>
      <w:ind w:left="1260" w:hanging="1260"/>
    </w:pPr>
  </w:style>
  <w:style w:type="paragraph" w:customStyle="1" w:styleId="H5">
    <w:name w:val="H5"/>
    <w:basedOn w:val="Heading5"/>
    <w:next w:val="BodyText"/>
    <w:link w:val="H5Char"/>
    <w:rsid w:val="0017435C"/>
    <w:pPr>
      <w:numPr>
        <w:ilvl w:val="0"/>
        <w:numId w:val="0"/>
      </w:numPr>
      <w:tabs>
        <w:tab w:val="clear" w:pos="1440"/>
        <w:tab w:val="left" w:pos="1620"/>
      </w:tabs>
      <w:ind w:left="1620" w:hanging="1620"/>
    </w:pPr>
  </w:style>
  <w:style w:type="paragraph" w:customStyle="1" w:styleId="H6">
    <w:name w:val="H6"/>
    <w:basedOn w:val="Heading6"/>
    <w:next w:val="BodyText"/>
    <w:rsid w:val="0017435C"/>
    <w:pPr>
      <w:numPr>
        <w:ilvl w:val="0"/>
        <w:numId w:val="0"/>
      </w:numPr>
      <w:tabs>
        <w:tab w:val="clear" w:pos="1584"/>
        <w:tab w:val="left" w:pos="1800"/>
      </w:tabs>
      <w:ind w:left="1800" w:hanging="1800"/>
    </w:pPr>
  </w:style>
  <w:style w:type="paragraph" w:customStyle="1" w:styleId="H7">
    <w:name w:val="H7"/>
    <w:basedOn w:val="Heading7"/>
    <w:next w:val="BodyText"/>
    <w:rsid w:val="0017435C"/>
    <w:pPr>
      <w:numPr>
        <w:ilvl w:val="0"/>
        <w:numId w:val="0"/>
      </w:numPr>
      <w:tabs>
        <w:tab w:val="clear" w:pos="1728"/>
        <w:tab w:val="left" w:pos="1980"/>
      </w:tabs>
      <w:ind w:left="1980" w:hanging="1980"/>
    </w:pPr>
    <w:rPr>
      <w:b/>
      <w:i/>
    </w:rPr>
  </w:style>
  <w:style w:type="paragraph" w:customStyle="1" w:styleId="H8">
    <w:name w:val="H8"/>
    <w:basedOn w:val="Heading8"/>
    <w:next w:val="BodyText"/>
    <w:rsid w:val="0017435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17435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17435C"/>
    <w:pPr>
      <w:keepNext/>
      <w:spacing w:before="240"/>
    </w:pPr>
    <w:rPr>
      <w:b/>
      <w:iCs/>
      <w:szCs w:val="20"/>
    </w:rPr>
  </w:style>
  <w:style w:type="paragraph" w:customStyle="1" w:styleId="Instructions">
    <w:name w:val="Instructions"/>
    <w:basedOn w:val="BodyText"/>
    <w:rsid w:val="0017435C"/>
    <w:rPr>
      <w:b/>
      <w:i/>
      <w:iCs/>
    </w:rPr>
  </w:style>
  <w:style w:type="paragraph" w:styleId="List">
    <w:name w:val="List"/>
    <w:basedOn w:val="Normal"/>
    <w:rsid w:val="0017435C"/>
    <w:pPr>
      <w:spacing w:after="240"/>
      <w:ind w:left="720" w:hanging="720"/>
    </w:pPr>
    <w:rPr>
      <w:szCs w:val="20"/>
    </w:rPr>
  </w:style>
  <w:style w:type="paragraph" w:styleId="List2">
    <w:name w:val="List 2"/>
    <w:basedOn w:val="Normal"/>
    <w:rsid w:val="0017435C"/>
    <w:pPr>
      <w:spacing w:after="240"/>
      <w:ind w:left="1440" w:hanging="720"/>
    </w:pPr>
    <w:rPr>
      <w:szCs w:val="20"/>
    </w:rPr>
  </w:style>
  <w:style w:type="paragraph" w:styleId="List3">
    <w:name w:val="List 3"/>
    <w:basedOn w:val="Normal"/>
    <w:rsid w:val="0017435C"/>
    <w:pPr>
      <w:spacing w:after="240"/>
      <w:ind w:left="2160" w:hanging="720"/>
    </w:pPr>
    <w:rPr>
      <w:szCs w:val="20"/>
    </w:rPr>
  </w:style>
  <w:style w:type="paragraph" w:customStyle="1" w:styleId="ListIntroduction">
    <w:name w:val="List Introduction"/>
    <w:basedOn w:val="BodyText"/>
    <w:rsid w:val="0017435C"/>
    <w:pPr>
      <w:keepNext/>
    </w:pPr>
    <w:rPr>
      <w:iCs/>
      <w:szCs w:val="20"/>
    </w:rPr>
  </w:style>
  <w:style w:type="paragraph" w:customStyle="1" w:styleId="ListSub">
    <w:name w:val="List Sub"/>
    <w:basedOn w:val="List"/>
    <w:rsid w:val="0017435C"/>
    <w:pPr>
      <w:ind w:firstLine="0"/>
    </w:pPr>
  </w:style>
  <w:style w:type="character" w:styleId="PageNumber">
    <w:name w:val="page number"/>
    <w:basedOn w:val="DefaultParagraphFont"/>
    <w:rsid w:val="0017435C"/>
  </w:style>
  <w:style w:type="paragraph" w:customStyle="1" w:styleId="Spaceafterbox">
    <w:name w:val="Space after box"/>
    <w:basedOn w:val="Normal"/>
    <w:rsid w:val="0017435C"/>
    <w:rPr>
      <w:szCs w:val="20"/>
    </w:rPr>
  </w:style>
  <w:style w:type="paragraph" w:customStyle="1" w:styleId="TableBody">
    <w:name w:val="Table Body"/>
    <w:basedOn w:val="BodyText"/>
    <w:rsid w:val="0017435C"/>
    <w:pPr>
      <w:spacing w:after="60"/>
    </w:pPr>
    <w:rPr>
      <w:iCs/>
      <w:sz w:val="20"/>
      <w:szCs w:val="20"/>
    </w:rPr>
  </w:style>
  <w:style w:type="paragraph" w:customStyle="1" w:styleId="TableBullet">
    <w:name w:val="Table Bullet"/>
    <w:basedOn w:val="TableBody"/>
    <w:rsid w:val="0017435C"/>
    <w:pPr>
      <w:numPr>
        <w:numId w:val="14"/>
      </w:numPr>
      <w:ind w:left="0" w:firstLine="0"/>
    </w:pPr>
  </w:style>
  <w:style w:type="table" w:styleId="TableGrid">
    <w:name w:val="Table Grid"/>
    <w:basedOn w:val="TableNormal"/>
    <w:rsid w:val="00174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sid w:val="0017435C"/>
    <w:rPr>
      <w:b/>
      <w:iCs/>
      <w:sz w:val="20"/>
      <w:szCs w:val="20"/>
    </w:rPr>
  </w:style>
  <w:style w:type="paragraph" w:styleId="TOC1">
    <w:name w:val="toc 1"/>
    <w:basedOn w:val="Normal"/>
    <w:next w:val="Normal"/>
    <w:autoRedefine/>
    <w:semiHidden/>
    <w:rsid w:val="0017435C"/>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17435C"/>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17435C"/>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17435C"/>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17435C"/>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17435C"/>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17435C"/>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17435C"/>
    <w:pPr>
      <w:ind w:left="1680"/>
    </w:pPr>
    <w:rPr>
      <w:sz w:val="18"/>
      <w:szCs w:val="18"/>
    </w:rPr>
  </w:style>
  <w:style w:type="paragraph" w:styleId="TOC9">
    <w:name w:val="toc 9"/>
    <w:basedOn w:val="Normal"/>
    <w:next w:val="Normal"/>
    <w:autoRedefine/>
    <w:semiHidden/>
    <w:rsid w:val="0017435C"/>
    <w:pPr>
      <w:ind w:left="1920"/>
    </w:pPr>
    <w:rPr>
      <w:sz w:val="18"/>
      <w:szCs w:val="18"/>
    </w:rPr>
  </w:style>
  <w:style w:type="paragraph" w:customStyle="1" w:styleId="VariableDefinition">
    <w:name w:val="Variable Definition"/>
    <w:basedOn w:val="BodyTextIndent"/>
    <w:rsid w:val="0017435C"/>
    <w:pPr>
      <w:tabs>
        <w:tab w:val="left" w:pos="2160"/>
      </w:tabs>
      <w:ind w:left="2160" w:hanging="1440"/>
      <w:contextualSpacing/>
    </w:pPr>
  </w:style>
  <w:style w:type="table" w:customStyle="1" w:styleId="VariableTable">
    <w:name w:val="Variable Table"/>
    <w:basedOn w:val="TableNormal"/>
    <w:rsid w:val="0017435C"/>
    <w:tblPr>
      <w:tblInd w:w="0" w:type="dxa"/>
      <w:tblCellMar>
        <w:top w:w="0" w:type="dxa"/>
        <w:left w:w="108" w:type="dxa"/>
        <w:bottom w:w="0" w:type="dxa"/>
        <w:right w:w="108" w:type="dxa"/>
      </w:tblCellMar>
    </w:tblPr>
  </w:style>
  <w:style w:type="paragraph" w:styleId="BalloonText">
    <w:name w:val="Balloon Text"/>
    <w:basedOn w:val="Normal"/>
    <w:semiHidden/>
    <w:rsid w:val="0017435C"/>
    <w:rPr>
      <w:rFonts w:ascii="Tahoma" w:hAnsi="Tahoma" w:cs="Tahoma"/>
      <w:sz w:val="16"/>
      <w:szCs w:val="16"/>
    </w:rPr>
  </w:style>
  <w:style w:type="character" w:styleId="CommentReference">
    <w:name w:val="annotation reference"/>
    <w:basedOn w:val="DefaultParagraphFont"/>
    <w:semiHidden/>
    <w:rsid w:val="0017435C"/>
    <w:rPr>
      <w:sz w:val="16"/>
      <w:szCs w:val="16"/>
    </w:rPr>
  </w:style>
  <w:style w:type="paragraph" w:styleId="CommentText">
    <w:name w:val="annotation text"/>
    <w:basedOn w:val="Normal"/>
    <w:semiHidden/>
    <w:rsid w:val="0017435C"/>
    <w:rPr>
      <w:sz w:val="20"/>
      <w:szCs w:val="20"/>
    </w:rPr>
  </w:style>
  <w:style w:type="paragraph" w:styleId="CommentSubject">
    <w:name w:val="annotation subject"/>
    <w:basedOn w:val="CommentText"/>
    <w:next w:val="CommentText"/>
    <w:semiHidden/>
    <w:rsid w:val="0017435C"/>
    <w:rPr>
      <w:b/>
      <w:bCs/>
    </w:rPr>
  </w:style>
  <w:style w:type="character" w:customStyle="1" w:styleId="NormalArialChar">
    <w:name w:val="Normal+Arial Char"/>
    <w:basedOn w:val="DefaultParagraphFont"/>
    <w:link w:val="NormalArial"/>
    <w:rsid w:val="0017435C"/>
    <w:rPr>
      <w:rFonts w:ascii="Arial" w:hAnsi="Arial"/>
      <w:sz w:val="24"/>
      <w:szCs w:val="24"/>
      <w:lang w:val="en-US" w:eastAsia="en-US" w:bidi="ar-SA"/>
    </w:rPr>
  </w:style>
  <w:style w:type="character" w:styleId="FollowedHyperlink">
    <w:name w:val="FollowedHyperlink"/>
    <w:basedOn w:val="DefaultParagraphFont"/>
    <w:rsid w:val="007E0452"/>
    <w:rPr>
      <w:color w:val="800080"/>
      <w:u w:val="single"/>
    </w:rPr>
  </w:style>
  <w:style w:type="character" w:customStyle="1" w:styleId="H2Char">
    <w:name w:val="H2 Char"/>
    <w:basedOn w:val="DefaultParagraphFont"/>
    <w:link w:val="H2"/>
    <w:rsid w:val="00D90D28"/>
    <w:rPr>
      <w:b/>
      <w:sz w:val="24"/>
    </w:rPr>
  </w:style>
  <w:style w:type="character" w:customStyle="1" w:styleId="BodyTextNumberedChar1">
    <w:name w:val="Body Text Numbered Char1"/>
    <w:basedOn w:val="DefaultParagraphFont"/>
    <w:link w:val="BodyTextNumbered"/>
    <w:rsid w:val="00D90D28"/>
    <w:rPr>
      <w:iCs/>
      <w:sz w:val="24"/>
    </w:rPr>
  </w:style>
  <w:style w:type="paragraph" w:customStyle="1" w:styleId="BodyTextNumbered">
    <w:name w:val="Body Text Numbered"/>
    <w:basedOn w:val="BodyText"/>
    <w:link w:val="BodyTextNumberedChar1"/>
    <w:rsid w:val="00D90D28"/>
    <w:pPr>
      <w:ind w:left="720" w:hanging="720"/>
    </w:pPr>
    <w:rPr>
      <w:iCs/>
      <w:szCs w:val="20"/>
    </w:rPr>
  </w:style>
  <w:style w:type="character" w:customStyle="1" w:styleId="H3Char">
    <w:name w:val="H3 Char"/>
    <w:basedOn w:val="DefaultParagraphFont"/>
    <w:link w:val="H3"/>
    <w:rsid w:val="00D90D28"/>
    <w:rPr>
      <w:b/>
      <w:bCs/>
      <w:i/>
      <w:sz w:val="24"/>
    </w:rPr>
  </w:style>
  <w:style w:type="paragraph" w:customStyle="1" w:styleId="Default">
    <w:name w:val="Default"/>
    <w:rsid w:val="00A06FE0"/>
    <w:pPr>
      <w:autoSpaceDE w:val="0"/>
      <w:autoSpaceDN w:val="0"/>
      <w:adjustRightInd w:val="0"/>
    </w:pPr>
    <w:rPr>
      <w:rFonts w:eastAsiaTheme="minorHAnsi"/>
      <w:color w:val="000000"/>
      <w:sz w:val="24"/>
      <w:szCs w:val="24"/>
    </w:rPr>
  </w:style>
  <w:style w:type="character" w:customStyle="1" w:styleId="H5Char">
    <w:name w:val="H5 Char"/>
    <w:basedOn w:val="DefaultParagraphFont"/>
    <w:link w:val="H5"/>
    <w:rsid w:val="00A06FE0"/>
    <w:rPr>
      <w:b/>
      <w:bCs/>
      <w:i/>
      <w:iCs/>
      <w:sz w:val="24"/>
      <w:szCs w:val="26"/>
    </w:rPr>
  </w:style>
  <w:style w:type="character" w:customStyle="1" w:styleId="BodyTextNumberedChar">
    <w:name w:val="Body Text Numbered Char"/>
    <w:basedOn w:val="DefaultParagraphFont"/>
    <w:rsid w:val="00A06FE0"/>
    <w:rPr>
      <w:iCs/>
      <w:sz w:val="24"/>
      <w:lang w:val="en-US" w:eastAsia="en-US" w:bidi="ar-SA"/>
    </w:rPr>
  </w:style>
</w:styles>
</file>

<file path=word/webSettings.xml><?xml version="1.0" encoding="utf-8"?>
<w:webSettings xmlns:r="http://schemas.openxmlformats.org/officeDocument/2006/relationships" xmlns:w="http://schemas.openxmlformats.org/wordprocessingml/2006/main">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ck.thormahlen@lcra.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1371</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9174</CharactersWithSpaces>
  <SharedDoc>false</SharedDoc>
  <HLinks>
    <vt:vector size="6" baseType="variant">
      <vt:variant>
        <vt:i4>7012384</vt:i4>
      </vt:variant>
      <vt:variant>
        <vt:i4>0</vt:i4>
      </vt:variant>
      <vt:variant>
        <vt:i4>0</vt:i4>
      </vt:variant>
      <vt:variant>
        <vt:i4>5</vt:i4>
      </vt:variant>
      <vt:variant>
        <vt:lpwstr>http://www.ercot.com/content/mktrules/protocols/Revision Request and Comment Submission Guidelines.doc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jthormah</cp:lastModifiedBy>
  <cp:revision>4</cp:revision>
  <cp:lastPrinted>2001-06-20T16:28:00Z</cp:lastPrinted>
  <dcterms:created xsi:type="dcterms:W3CDTF">2011-06-09T16:20:00Z</dcterms:created>
  <dcterms:modified xsi:type="dcterms:W3CDTF">2011-06-09T20:00:00Z</dcterms:modified>
</cp:coreProperties>
</file>