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C98" w:rsidRPr="00A72C98" w:rsidRDefault="00A72C98" w:rsidP="00A72C98">
      <w:pPr>
        <w:spacing w:after="0"/>
        <w:jc w:val="center"/>
        <w:rPr>
          <w:b/>
          <w:smallCaps/>
          <w:sz w:val="28"/>
          <w:szCs w:val="28"/>
        </w:rPr>
      </w:pPr>
      <w:r w:rsidRPr="00A72C98">
        <w:rPr>
          <w:b/>
          <w:smallCaps/>
          <w:sz w:val="28"/>
          <w:szCs w:val="28"/>
        </w:rPr>
        <w:t>Valley Import Constraint</w:t>
      </w:r>
    </w:p>
    <w:p w:rsidR="00A72C98" w:rsidRPr="00A72C98" w:rsidRDefault="00A72C98" w:rsidP="00A72C98">
      <w:pPr>
        <w:jc w:val="center"/>
        <w:rPr>
          <w:b/>
          <w:smallCaps/>
          <w:sz w:val="28"/>
          <w:szCs w:val="28"/>
        </w:rPr>
      </w:pPr>
      <w:r w:rsidRPr="00A72C98">
        <w:rPr>
          <w:b/>
          <w:smallCaps/>
          <w:sz w:val="28"/>
          <w:szCs w:val="28"/>
        </w:rPr>
        <w:t xml:space="preserve">Potomac Economics – April </w:t>
      </w:r>
      <w:r w:rsidR="00B41CF7">
        <w:rPr>
          <w:b/>
          <w:smallCaps/>
          <w:sz w:val="28"/>
          <w:szCs w:val="28"/>
        </w:rPr>
        <w:t>27</w:t>
      </w:r>
      <w:r w:rsidRPr="00A72C98">
        <w:rPr>
          <w:b/>
          <w:smallCaps/>
          <w:sz w:val="28"/>
          <w:szCs w:val="28"/>
        </w:rPr>
        <w:t>, 2011</w:t>
      </w:r>
    </w:p>
    <w:p w:rsidR="009608ED" w:rsidRDefault="009608ED">
      <w:r>
        <w:t>The shadow price cap values for transmission constraints and power balance in the nodal market were first approved by the ERCOT Technical Advisory Committee in November 2008, specifying the following initial values</w:t>
      </w:r>
      <w:r w:rsidR="00A72C98" w:rsidRPr="00A72C98">
        <w:t xml:space="preserve"> </w:t>
      </w:r>
      <w:r w:rsidR="00A72C98">
        <w:t>and objective</w:t>
      </w:r>
      <w:r>
        <w:t>:</w:t>
      </w:r>
      <w:r>
        <w:rPr>
          <w:rStyle w:val="FootnoteReference"/>
        </w:rPr>
        <w:footnoteReference w:id="1"/>
      </w:r>
      <w:r>
        <w:t xml:space="preserve">  </w:t>
      </w:r>
    </w:p>
    <w:p w:rsidR="009608ED" w:rsidRPr="00244387" w:rsidRDefault="009608ED" w:rsidP="009608ED">
      <w:pPr>
        <w:ind w:left="720" w:right="720"/>
        <w:rPr>
          <w:rFonts w:ascii="Calibri" w:eastAsia="Calibri" w:hAnsi="Calibri" w:cs="Times New Roman"/>
          <w:i/>
        </w:rPr>
      </w:pPr>
      <w:r w:rsidRPr="00244387">
        <w:rPr>
          <w:rFonts w:ascii="Calibri" w:eastAsia="Calibri" w:hAnsi="Calibri" w:cs="Times New Roman"/>
          <w:i/>
        </w:rPr>
        <w:t>This document presents proposed values for the initial nodal constraint shadow price caps and power balance penalty factors for discussion at the August 27, 2008 ERCOT CMWG meeting.  It is anticipated that the initial values that are adopted will be used in the Nodal EDS testing environment, which will allow for evaluation of the results and the potential for general (i.e., for a voltage class) or specific (i.e., for a specific constraint) modifications based on experience.  The initial proposed values are as follows:</w:t>
      </w:r>
    </w:p>
    <w:p w:rsidR="009608ED" w:rsidRPr="00244387" w:rsidRDefault="009608ED" w:rsidP="009608ED">
      <w:pPr>
        <w:ind w:left="720" w:right="720"/>
        <w:rPr>
          <w:rFonts w:ascii="Calibri" w:eastAsia="Calibri" w:hAnsi="Calibri" w:cs="Times New Roman"/>
          <w:b/>
          <w:i/>
        </w:rPr>
      </w:pPr>
      <w:r w:rsidRPr="00244387">
        <w:rPr>
          <w:rFonts w:ascii="Calibri" w:eastAsia="Calibri" w:hAnsi="Calibri" w:cs="Times New Roman"/>
          <w:b/>
          <w:i/>
        </w:rPr>
        <w:t>Constraints:</w:t>
      </w:r>
    </w:p>
    <w:p w:rsidR="009608ED" w:rsidRPr="00244387" w:rsidRDefault="009608ED" w:rsidP="009608ED">
      <w:pPr>
        <w:numPr>
          <w:ilvl w:val="0"/>
          <w:numId w:val="1"/>
        </w:numPr>
        <w:tabs>
          <w:tab w:val="clear" w:pos="720"/>
        </w:tabs>
        <w:spacing w:after="0" w:line="240" w:lineRule="auto"/>
        <w:ind w:left="1080" w:right="720"/>
        <w:rPr>
          <w:rFonts w:ascii="Calibri" w:eastAsia="Calibri" w:hAnsi="Calibri" w:cs="Times New Roman"/>
          <w:i/>
        </w:rPr>
      </w:pPr>
      <w:r w:rsidRPr="00244387">
        <w:rPr>
          <w:rFonts w:ascii="Calibri" w:eastAsia="Calibri" w:hAnsi="Calibri" w:cs="Times New Roman"/>
          <w:i/>
        </w:rPr>
        <w:t>Base Case/Voltage:  $5,000/MW</w:t>
      </w:r>
    </w:p>
    <w:p w:rsidR="009608ED" w:rsidRPr="00244387" w:rsidRDefault="009608ED" w:rsidP="009608ED">
      <w:pPr>
        <w:numPr>
          <w:ilvl w:val="0"/>
          <w:numId w:val="1"/>
        </w:numPr>
        <w:tabs>
          <w:tab w:val="clear" w:pos="720"/>
        </w:tabs>
        <w:spacing w:after="0" w:line="240" w:lineRule="auto"/>
        <w:ind w:left="1080" w:right="720"/>
        <w:rPr>
          <w:rFonts w:ascii="Calibri" w:eastAsia="Calibri" w:hAnsi="Calibri" w:cs="Times New Roman"/>
          <w:i/>
        </w:rPr>
      </w:pPr>
      <w:r w:rsidRPr="00244387">
        <w:rPr>
          <w:rFonts w:ascii="Calibri" w:eastAsia="Calibri" w:hAnsi="Calibri" w:cs="Times New Roman"/>
          <w:i/>
        </w:rPr>
        <w:t>N-1</w:t>
      </w:r>
    </w:p>
    <w:p w:rsidR="009608ED" w:rsidRPr="00244387" w:rsidRDefault="009608ED" w:rsidP="00A04561">
      <w:pPr>
        <w:numPr>
          <w:ilvl w:val="1"/>
          <w:numId w:val="1"/>
        </w:numPr>
        <w:tabs>
          <w:tab w:val="clear" w:pos="1440"/>
        </w:tabs>
        <w:spacing w:after="0" w:line="240" w:lineRule="auto"/>
        <w:ind w:right="720"/>
        <w:rPr>
          <w:rFonts w:ascii="Calibri" w:eastAsia="Calibri" w:hAnsi="Calibri" w:cs="Times New Roman"/>
          <w:i/>
        </w:rPr>
      </w:pPr>
      <w:r w:rsidRPr="00244387">
        <w:rPr>
          <w:rFonts w:ascii="Calibri" w:eastAsia="Calibri" w:hAnsi="Calibri" w:cs="Times New Roman"/>
          <w:i/>
        </w:rPr>
        <w:t>345 kV:  $4,500/MW</w:t>
      </w:r>
    </w:p>
    <w:p w:rsidR="009608ED" w:rsidRPr="00244387" w:rsidRDefault="009608ED" w:rsidP="00A04561">
      <w:pPr>
        <w:numPr>
          <w:ilvl w:val="1"/>
          <w:numId w:val="1"/>
        </w:numPr>
        <w:tabs>
          <w:tab w:val="clear" w:pos="1440"/>
        </w:tabs>
        <w:spacing w:after="0" w:line="240" w:lineRule="auto"/>
        <w:ind w:right="720"/>
        <w:rPr>
          <w:rFonts w:ascii="Calibri" w:eastAsia="Calibri" w:hAnsi="Calibri" w:cs="Times New Roman"/>
          <w:i/>
        </w:rPr>
      </w:pPr>
      <w:r w:rsidRPr="00244387">
        <w:rPr>
          <w:rFonts w:ascii="Calibri" w:eastAsia="Calibri" w:hAnsi="Calibri" w:cs="Times New Roman"/>
          <w:i/>
        </w:rPr>
        <w:t>138 kV:  $3,500/MW</w:t>
      </w:r>
    </w:p>
    <w:p w:rsidR="009608ED" w:rsidRPr="00244387" w:rsidRDefault="009608ED" w:rsidP="00A04561">
      <w:pPr>
        <w:numPr>
          <w:ilvl w:val="1"/>
          <w:numId w:val="1"/>
        </w:numPr>
        <w:tabs>
          <w:tab w:val="clear" w:pos="1440"/>
        </w:tabs>
        <w:spacing w:after="0" w:line="240" w:lineRule="auto"/>
        <w:ind w:right="720"/>
        <w:rPr>
          <w:rFonts w:ascii="Calibri" w:eastAsia="Calibri" w:hAnsi="Calibri" w:cs="Times New Roman"/>
          <w:i/>
        </w:rPr>
      </w:pPr>
      <w:r w:rsidRPr="00244387">
        <w:rPr>
          <w:rFonts w:ascii="Calibri" w:eastAsia="Calibri" w:hAnsi="Calibri" w:cs="Times New Roman"/>
          <w:i/>
        </w:rPr>
        <w:t>69 kV:  $2,800/MW</w:t>
      </w:r>
    </w:p>
    <w:p w:rsidR="009608ED" w:rsidRPr="00244387" w:rsidRDefault="009608ED" w:rsidP="00A72C98">
      <w:pPr>
        <w:spacing w:before="240"/>
        <w:ind w:left="720" w:right="720"/>
        <w:rPr>
          <w:rFonts w:ascii="Calibri" w:eastAsia="Calibri" w:hAnsi="Calibri" w:cs="Times New Roman"/>
          <w:b/>
          <w:i/>
        </w:rPr>
      </w:pPr>
      <w:r w:rsidRPr="00244387">
        <w:rPr>
          <w:rFonts w:ascii="Calibri" w:eastAsia="Calibri" w:hAnsi="Calibri" w:cs="Times New Roman"/>
          <w:b/>
          <w:i/>
        </w:rPr>
        <w:t>Power Balance:</w:t>
      </w:r>
    </w:p>
    <w:p w:rsidR="009608ED" w:rsidRPr="00244387" w:rsidRDefault="009608ED" w:rsidP="009608ED">
      <w:pPr>
        <w:numPr>
          <w:ilvl w:val="0"/>
          <w:numId w:val="2"/>
        </w:numPr>
        <w:tabs>
          <w:tab w:val="clear" w:pos="720"/>
        </w:tabs>
        <w:spacing w:after="0" w:line="240" w:lineRule="auto"/>
        <w:ind w:left="1080" w:right="720"/>
        <w:rPr>
          <w:rFonts w:ascii="Calibri" w:eastAsia="Calibri" w:hAnsi="Calibri" w:cs="Times New Roman"/>
          <w:i/>
        </w:rPr>
      </w:pPr>
      <w:r w:rsidRPr="00244387">
        <w:rPr>
          <w:rFonts w:ascii="Calibri" w:eastAsia="Calibri" w:hAnsi="Calibri" w:cs="Times New Roman"/>
          <w:i/>
        </w:rPr>
        <w:t>$3,001/</w:t>
      </w:r>
      <w:proofErr w:type="spellStart"/>
      <w:r w:rsidRPr="00244387">
        <w:rPr>
          <w:rFonts w:ascii="Calibri" w:eastAsia="Calibri" w:hAnsi="Calibri" w:cs="Times New Roman"/>
          <w:i/>
        </w:rPr>
        <w:t>MWh</w:t>
      </w:r>
      <w:proofErr w:type="spellEnd"/>
    </w:p>
    <w:p w:rsidR="009608ED" w:rsidRPr="00244387" w:rsidRDefault="009608ED" w:rsidP="00CB3E84">
      <w:pPr>
        <w:numPr>
          <w:ilvl w:val="0"/>
          <w:numId w:val="2"/>
        </w:numPr>
        <w:tabs>
          <w:tab w:val="clear" w:pos="720"/>
        </w:tabs>
        <w:spacing w:after="240" w:line="240" w:lineRule="auto"/>
        <w:ind w:left="1080" w:right="720"/>
        <w:rPr>
          <w:rFonts w:ascii="Calibri" w:eastAsia="Calibri" w:hAnsi="Calibri" w:cs="Times New Roman"/>
          <w:i/>
        </w:rPr>
      </w:pPr>
      <w:r w:rsidRPr="00244387">
        <w:rPr>
          <w:rFonts w:ascii="Calibri" w:eastAsia="Calibri" w:hAnsi="Calibri" w:cs="Times New Roman"/>
          <w:i/>
        </w:rPr>
        <w:t>ERCOT has indicated that the ability to specify the power balance penalty factor as a curve is being developed, which will require additional discussion and is not addressed in this document.</w:t>
      </w:r>
    </w:p>
    <w:p w:rsidR="009608ED" w:rsidRPr="00244387" w:rsidRDefault="009608ED" w:rsidP="009608ED">
      <w:pPr>
        <w:spacing w:after="240"/>
        <w:ind w:left="720" w:right="720"/>
        <w:rPr>
          <w:rFonts w:ascii="Calibri" w:eastAsia="Calibri" w:hAnsi="Calibri" w:cs="Times New Roman"/>
          <w:i/>
        </w:rPr>
      </w:pPr>
      <w:r w:rsidRPr="00244387">
        <w:rPr>
          <w:rFonts w:ascii="Calibri" w:eastAsia="Calibri" w:hAnsi="Calibri" w:cs="Times New Roman"/>
          <w:i/>
        </w:rPr>
        <w:t xml:space="preserve">The objective in establishing the levels of these penalty factor values is to provide an appropriate balance between ensuring reliable system operations, preventing inefficient </w:t>
      </w:r>
      <w:proofErr w:type="spellStart"/>
      <w:r w:rsidRPr="00244387">
        <w:rPr>
          <w:rFonts w:ascii="Calibri" w:eastAsia="Calibri" w:hAnsi="Calibri" w:cs="Times New Roman"/>
          <w:i/>
        </w:rPr>
        <w:t>redispatch</w:t>
      </w:r>
      <w:proofErr w:type="spellEnd"/>
      <w:r w:rsidRPr="00244387">
        <w:rPr>
          <w:rFonts w:ascii="Calibri" w:eastAsia="Calibri" w:hAnsi="Calibri" w:cs="Times New Roman"/>
          <w:i/>
        </w:rPr>
        <w:t xml:space="preserve">, ensuring efficient pricing outcomes during </w:t>
      </w:r>
      <w:proofErr w:type="spellStart"/>
      <w:r w:rsidRPr="00244387">
        <w:rPr>
          <w:rFonts w:ascii="Calibri" w:eastAsia="Calibri" w:hAnsi="Calibri" w:cs="Times New Roman"/>
          <w:i/>
        </w:rPr>
        <w:t>locational</w:t>
      </w:r>
      <w:proofErr w:type="spellEnd"/>
      <w:r w:rsidRPr="00244387">
        <w:rPr>
          <w:rFonts w:ascii="Calibri" w:eastAsia="Calibri" w:hAnsi="Calibri" w:cs="Times New Roman"/>
          <w:i/>
        </w:rPr>
        <w:t xml:space="preserve"> or system-wide scarcity conditions, and observing the applicable system-wide offer cap levels.  </w:t>
      </w:r>
    </w:p>
    <w:p w:rsidR="00B96D3C" w:rsidRDefault="009608ED">
      <w:r>
        <w:t>The initial values proposed in this TAC-approved d</w:t>
      </w:r>
      <w:r w:rsidR="00CB3E84">
        <w:t xml:space="preserve">ocument remain in place today, although the potential for modifications based on experience was anticipated.  </w:t>
      </w:r>
      <w:r w:rsidR="00244387">
        <w:t>Experience with the Valley Import constraint, which is essentially a radial load pocket, indicates that modification to the shadow price cap value is warranted because the shift factor values are much higher than the typical shift factor distribution associated with a networked base case/voltage constraint.</w:t>
      </w:r>
    </w:p>
    <w:p w:rsidR="00CF395C" w:rsidRDefault="00CF395C">
      <w:r>
        <w:t>In consideration of the unique nature of the Valley Import constraint and the factors included in the balancing objective, it is our opinion that the proposal endorsed by the Wholesale Mar</w:t>
      </w:r>
      <w:r w:rsidR="00CE305B">
        <w:t xml:space="preserve">ket </w:t>
      </w:r>
      <w:r w:rsidR="00CE305B">
        <w:lastRenderedPageBreak/>
        <w:t>Subcommittee at its April 15</w:t>
      </w:r>
      <w:r>
        <w:t>, 2011 meeting, a</w:t>
      </w:r>
      <w:r w:rsidR="00E63AAF">
        <w:t>s modified below, represents a reasonable</w:t>
      </w:r>
      <w:r>
        <w:t xml:space="preserve"> modification to the</w:t>
      </w:r>
      <w:r w:rsidR="00F0408A">
        <w:t xml:space="preserve"> current $5,000/</w:t>
      </w:r>
      <w:proofErr w:type="spellStart"/>
      <w:r w:rsidR="00F0408A">
        <w:t>MWh</w:t>
      </w:r>
      <w:proofErr w:type="spellEnd"/>
      <w:r>
        <w:t xml:space="preserve"> shadow price cap value for the Valley Import constraint.</w:t>
      </w:r>
    </w:p>
    <w:p w:rsidR="00CF395C" w:rsidRDefault="00CF395C">
      <w:r>
        <w:t xml:space="preserve">As background, the </w:t>
      </w:r>
      <w:r w:rsidR="00F0408A">
        <w:t xml:space="preserve">following is a summary of the </w:t>
      </w:r>
      <w:r>
        <w:t>WMS-endorsed proposal</w:t>
      </w:r>
      <w:r w:rsidR="00F0408A">
        <w:t xml:space="preserve"> for the Valley Import constraint</w:t>
      </w:r>
      <w:r>
        <w:t>:</w:t>
      </w:r>
    </w:p>
    <w:p w:rsidR="00F0408A" w:rsidRDefault="00F0408A" w:rsidP="00F0408A">
      <w:pPr>
        <w:pStyle w:val="ListParagraph"/>
        <w:numPr>
          <w:ilvl w:val="0"/>
          <w:numId w:val="3"/>
        </w:numPr>
      </w:pPr>
      <w:r>
        <w:t>Reduce the shadow price cap to $200/</w:t>
      </w:r>
      <w:proofErr w:type="spellStart"/>
      <w:r>
        <w:t>MWh</w:t>
      </w:r>
      <w:proofErr w:type="spellEnd"/>
      <w:r>
        <w:t xml:space="preserve"> for violations up to 100 MW over the typical voltage stability import limit (100 MW is the typical “reliability margin” applied to the normal voltage stability limit).</w:t>
      </w:r>
    </w:p>
    <w:p w:rsidR="00F0408A" w:rsidRDefault="00F0408A" w:rsidP="00F0408A">
      <w:pPr>
        <w:pStyle w:val="ListParagraph"/>
        <w:numPr>
          <w:ilvl w:val="0"/>
          <w:numId w:val="3"/>
        </w:numPr>
      </w:pPr>
      <w:r>
        <w:t>Reduce the shadow price cap to $2,000/</w:t>
      </w:r>
      <w:proofErr w:type="spellStart"/>
      <w:r>
        <w:t>MWh</w:t>
      </w:r>
      <w:proofErr w:type="spellEnd"/>
      <w:r>
        <w:t xml:space="preserve"> for violations exceeding the normal voltage stability limit (normally 1,200 MW).</w:t>
      </w:r>
    </w:p>
    <w:p w:rsidR="00F0408A" w:rsidRDefault="00F0408A" w:rsidP="00F0408A">
      <w:pPr>
        <w:pStyle w:val="ListParagraph"/>
        <w:numPr>
          <w:ilvl w:val="0"/>
          <w:numId w:val="3"/>
        </w:numPr>
      </w:pPr>
      <w:r>
        <w:t>Reduce the shadow price cap to $2,000/</w:t>
      </w:r>
      <w:proofErr w:type="spellStart"/>
      <w:r>
        <w:t>MWh</w:t>
      </w:r>
      <w:proofErr w:type="spellEnd"/>
      <w:r>
        <w:t xml:space="preserve"> for violations of thermal import limits.</w:t>
      </w:r>
    </w:p>
    <w:p w:rsidR="00F0408A" w:rsidRDefault="00F0408A" w:rsidP="00F0408A">
      <w:pPr>
        <w:pStyle w:val="ListParagraph"/>
        <w:numPr>
          <w:ilvl w:val="0"/>
          <w:numId w:val="3"/>
        </w:numPr>
      </w:pPr>
      <w:r>
        <w:t xml:space="preserve">If the regional </w:t>
      </w:r>
      <w:proofErr w:type="spellStart"/>
      <w:r>
        <w:t>peak</w:t>
      </w:r>
      <w:r w:rsidR="001C7B9B">
        <w:t>er</w:t>
      </w:r>
      <w:proofErr w:type="spellEnd"/>
      <w:r>
        <w:t xml:space="preserve"> net margin </w:t>
      </w:r>
      <w:r w:rsidR="001C7B9B">
        <w:t xml:space="preserve">(“PNM”) </w:t>
      </w:r>
      <w:r>
        <w:t>for generation resource locations in the Valley exceeds $175,000/MW-yr in a calendar year, reduce the shadow price cap for all Valley import constraints to $200/</w:t>
      </w:r>
      <w:proofErr w:type="spellStart"/>
      <w:r>
        <w:t>MWh</w:t>
      </w:r>
      <w:proofErr w:type="spellEnd"/>
      <w:r>
        <w:t>.</w:t>
      </w:r>
    </w:p>
    <w:p w:rsidR="00F0408A" w:rsidRDefault="005577C7" w:rsidP="00F0408A">
      <w:r>
        <w:t>Generally, we support this proposal because it promotes and balances the following objectives:</w:t>
      </w:r>
    </w:p>
    <w:p w:rsidR="005577C7" w:rsidRDefault="005577C7" w:rsidP="005577C7">
      <w:pPr>
        <w:pStyle w:val="ListParagraph"/>
        <w:numPr>
          <w:ilvl w:val="0"/>
          <w:numId w:val="4"/>
        </w:numPr>
      </w:pPr>
      <w:r>
        <w:t xml:space="preserve">Maintains the principle of marginal cost pricing as specified in PUC Subst. R. 25.501, in that the marginal cost of reliably serving demand in the Valley when all resources are exhausted is a function of </w:t>
      </w:r>
      <w:r w:rsidR="00CE305B">
        <w:t>clearing on the demand side</w:t>
      </w:r>
      <w:r>
        <w:t>;</w:t>
      </w:r>
    </w:p>
    <w:p w:rsidR="005577C7" w:rsidRDefault="005577C7" w:rsidP="005577C7">
      <w:pPr>
        <w:pStyle w:val="ListParagraph"/>
        <w:numPr>
          <w:ilvl w:val="0"/>
          <w:numId w:val="4"/>
        </w:numPr>
      </w:pPr>
      <w:r>
        <w:t>Maintains pricing outcomes within the bounds of the system-wide offer caps specified in PUCT Subst. R. 25.505</w:t>
      </w:r>
      <w:r w:rsidR="00CE305B">
        <w:t>;</w:t>
      </w:r>
      <w:r w:rsidR="00CE305B">
        <w:rPr>
          <w:rStyle w:val="FootnoteReference"/>
        </w:rPr>
        <w:footnoteReference w:id="2"/>
      </w:r>
      <w:r>
        <w:t xml:space="preserve"> and</w:t>
      </w:r>
    </w:p>
    <w:p w:rsidR="005577C7" w:rsidRDefault="00CE305B" w:rsidP="005577C7">
      <w:pPr>
        <w:pStyle w:val="ListParagraph"/>
        <w:numPr>
          <w:ilvl w:val="0"/>
          <w:numId w:val="4"/>
        </w:numPr>
      </w:pPr>
      <w:r>
        <w:t xml:space="preserve">Maintains – </w:t>
      </w:r>
      <w:r w:rsidR="005577C7">
        <w:t xml:space="preserve">on a more restrictive, regional basis </w:t>
      </w:r>
      <w:r>
        <w:t xml:space="preserve">– </w:t>
      </w:r>
      <w:r w:rsidR="005577C7">
        <w:t xml:space="preserve">the wealth transfer limitation of the ERCOT-wide </w:t>
      </w:r>
      <w:r w:rsidR="001C7B9B">
        <w:t>PNM</w:t>
      </w:r>
      <w:r w:rsidR="005577C7">
        <w:t>, as specified in PUC Subst. R. 25.505.</w:t>
      </w:r>
    </w:p>
    <w:p w:rsidR="005577C7" w:rsidRDefault="005577C7" w:rsidP="005577C7">
      <w:r>
        <w:t xml:space="preserve">However, unlike the ERCOT-wide </w:t>
      </w:r>
      <w:r w:rsidR="001C7B9B">
        <w:t xml:space="preserve">PNM </w:t>
      </w:r>
      <w:r w:rsidR="00CE305B">
        <w:t xml:space="preserve">mechanism </w:t>
      </w:r>
      <w:r w:rsidR="001C7B9B">
        <w:t>that</w:t>
      </w:r>
      <w:r>
        <w:t xml:space="preserve"> reduce</w:t>
      </w:r>
      <w:r w:rsidR="00CE305B">
        <w:t>s</w:t>
      </w:r>
      <w:r>
        <w:t xml:space="preserve"> the system-wide offer cap for the entire market upon reaching the threshold value defined in the rule, the system-wide offer cap would not change based on a regional accrual.  Thus, it is possible for the combination of regional and system scarcity events to cause the Valley region to meet the regional threshold and still accrue additional scarcity revenues through the unmodified system-wide offer cap.  To account for this</w:t>
      </w:r>
      <w:r w:rsidR="00DA50EF">
        <w:t xml:space="preserve"> difference</w:t>
      </w:r>
      <w:r>
        <w:t xml:space="preserve">, we suggest a </w:t>
      </w:r>
      <w:r w:rsidR="00DA50EF">
        <w:t>declining shadow price cap for the values that would otherwise be $2,000/</w:t>
      </w:r>
      <w:proofErr w:type="spellStart"/>
      <w:r w:rsidR="00DA50EF">
        <w:t>MWh</w:t>
      </w:r>
      <w:proofErr w:type="spellEnd"/>
      <w:r w:rsidR="00DA50EF">
        <w:t xml:space="preserve"> in the WMS-endorsed proposal once the regional</w:t>
      </w:r>
      <w:r>
        <w:t xml:space="preserve"> </w:t>
      </w:r>
      <w:r w:rsidR="001C7B9B">
        <w:t xml:space="preserve">PNM </w:t>
      </w:r>
      <w:r w:rsidR="00843B9B">
        <w:t>for the Valley exceeds $125</w:t>
      </w:r>
      <w:r w:rsidR="00DA50EF">
        <w:t>,000, as follows:</w:t>
      </w:r>
    </w:p>
    <w:p w:rsidR="00DA50EF" w:rsidRDefault="00843B9B" w:rsidP="00DA50EF">
      <w:pPr>
        <w:pStyle w:val="ListParagraph"/>
        <w:numPr>
          <w:ilvl w:val="0"/>
          <w:numId w:val="5"/>
        </w:numPr>
      </w:pPr>
      <w:r>
        <w:t>Valley region PNM &lt; $125</w:t>
      </w:r>
      <w:r w:rsidR="00DA50EF">
        <w:t>,000:  $2,000/</w:t>
      </w:r>
      <w:proofErr w:type="spellStart"/>
      <w:r w:rsidR="00DA50EF">
        <w:t>MWh</w:t>
      </w:r>
      <w:proofErr w:type="spellEnd"/>
    </w:p>
    <w:p w:rsidR="00DA50EF" w:rsidRDefault="00DA50EF" w:rsidP="00DA50EF">
      <w:pPr>
        <w:pStyle w:val="ListParagraph"/>
        <w:numPr>
          <w:ilvl w:val="0"/>
          <w:numId w:val="5"/>
        </w:numPr>
      </w:pPr>
      <w:r>
        <w:t>Valley region PNM &gt; $125,000 and &lt; $150,000:  $1,000/</w:t>
      </w:r>
      <w:proofErr w:type="spellStart"/>
      <w:r>
        <w:t>MWh</w:t>
      </w:r>
      <w:proofErr w:type="spellEnd"/>
    </w:p>
    <w:p w:rsidR="00DA50EF" w:rsidRDefault="00DA50EF" w:rsidP="00DA50EF">
      <w:pPr>
        <w:pStyle w:val="ListParagraph"/>
        <w:numPr>
          <w:ilvl w:val="0"/>
          <w:numId w:val="5"/>
        </w:numPr>
      </w:pPr>
      <w:r>
        <w:t>Valley region PNM &gt; $150,000 and &lt; $175,000:  $500/</w:t>
      </w:r>
      <w:proofErr w:type="spellStart"/>
      <w:r>
        <w:t>MWh</w:t>
      </w:r>
      <w:proofErr w:type="spellEnd"/>
    </w:p>
    <w:p w:rsidR="00DA50EF" w:rsidRDefault="00DA50EF" w:rsidP="00DA50EF">
      <w:pPr>
        <w:pStyle w:val="ListParagraph"/>
        <w:numPr>
          <w:ilvl w:val="0"/>
          <w:numId w:val="5"/>
        </w:numPr>
      </w:pPr>
      <w:r>
        <w:t>Valley region PNM &gt; $175,000:  $200/</w:t>
      </w:r>
      <w:proofErr w:type="spellStart"/>
      <w:r>
        <w:t>MWh</w:t>
      </w:r>
      <w:proofErr w:type="spellEnd"/>
    </w:p>
    <w:sectPr w:rsidR="00DA50EF" w:rsidSect="00B96D3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4279" w:rsidRDefault="00404279" w:rsidP="009608ED">
      <w:pPr>
        <w:spacing w:after="0" w:line="240" w:lineRule="auto"/>
      </w:pPr>
      <w:r>
        <w:separator/>
      </w:r>
    </w:p>
  </w:endnote>
  <w:endnote w:type="continuationSeparator" w:id="0">
    <w:p w:rsidR="00404279" w:rsidRDefault="00404279" w:rsidP="009608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4279" w:rsidRDefault="00404279" w:rsidP="009608ED">
      <w:pPr>
        <w:spacing w:after="0" w:line="240" w:lineRule="auto"/>
      </w:pPr>
      <w:r>
        <w:separator/>
      </w:r>
    </w:p>
  </w:footnote>
  <w:footnote w:type="continuationSeparator" w:id="0">
    <w:p w:rsidR="00404279" w:rsidRDefault="00404279" w:rsidP="009608ED">
      <w:pPr>
        <w:spacing w:after="0" w:line="240" w:lineRule="auto"/>
      </w:pPr>
      <w:r>
        <w:continuationSeparator/>
      </w:r>
    </w:p>
  </w:footnote>
  <w:footnote w:id="1">
    <w:p w:rsidR="009608ED" w:rsidRPr="007870B5" w:rsidRDefault="009608ED">
      <w:pPr>
        <w:pStyle w:val="FootnoteText"/>
        <w:rPr>
          <w:sz w:val="18"/>
          <w:szCs w:val="18"/>
        </w:rPr>
      </w:pPr>
      <w:r>
        <w:rPr>
          <w:rStyle w:val="FootnoteReference"/>
        </w:rPr>
        <w:footnoteRef/>
      </w:r>
      <w:r>
        <w:t xml:space="preserve"> </w:t>
      </w:r>
      <w:hyperlink r:id="rId1" w:history="1">
        <w:r w:rsidRPr="007870B5">
          <w:rPr>
            <w:rStyle w:val="Hyperlink"/>
            <w:sz w:val="18"/>
            <w:szCs w:val="18"/>
          </w:rPr>
          <w:t>http://www.ercot.com/content/meetings/tac/keydocs/2008/1106/11._CMWG_20080827_Penalty_Factors_Comment.doc</w:t>
        </w:r>
      </w:hyperlink>
      <w:r w:rsidRPr="007870B5">
        <w:rPr>
          <w:sz w:val="18"/>
          <w:szCs w:val="18"/>
        </w:rPr>
        <w:t xml:space="preserve"> </w:t>
      </w:r>
    </w:p>
  </w:footnote>
  <w:footnote w:id="2">
    <w:p w:rsidR="00CE305B" w:rsidRDefault="00CE305B" w:rsidP="00AE6855">
      <w:pPr>
        <w:pStyle w:val="FootnoteText"/>
        <w:ind w:left="180" w:hanging="180"/>
      </w:pPr>
      <w:r>
        <w:rPr>
          <w:rStyle w:val="FootnoteReference"/>
        </w:rPr>
        <w:footnoteRef/>
      </w:r>
      <w:r>
        <w:t xml:space="preserve"> </w:t>
      </w:r>
      <w:r w:rsidR="00AE6855">
        <w:tab/>
      </w:r>
      <w:r>
        <w:t xml:space="preserve">Note that </w:t>
      </w:r>
      <w:r w:rsidR="00A72C98">
        <w:t xml:space="preserve">under some conditions, such as </w:t>
      </w:r>
      <w:r>
        <w:t xml:space="preserve">simultaneous system-wide and Valley shortage conditions, prices in the Valley </w:t>
      </w:r>
      <w:r w:rsidR="00A72C98">
        <w:t xml:space="preserve">(and other locations) </w:t>
      </w:r>
      <w:r>
        <w:t>can still exceed the system-wide offer caps</w:t>
      </w:r>
      <w:r w:rsidR="00A72C98">
        <w:t xml:space="preserve"> (and fall below the system-wide offer floor)</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F278D"/>
    <w:multiLevelType w:val="hybridMultilevel"/>
    <w:tmpl w:val="25326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EC1A61"/>
    <w:multiLevelType w:val="hybridMultilevel"/>
    <w:tmpl w:val="67CEB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646107"/>
    <w:multiLevelType w:val="hybridMultilevel"/>
    <w:tmpl w:val="27788E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18C652D"/>
    <w:multiLevelType w:val="hybridMultilevel"/>
    <w:tmpl w:val="99784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608ED"/>
    <w:rsid w:val="00015F1B"/>
    <w:rsid w:val="00037008"/>
    <w:rsid w:val="000609AC"/>
    <w:rsid w:val="000C7D40"/>
    <w:rsid w:val="001C7B9B"/>
    <w:rsid w:val="00221228"/>
    <w:rsid w:val="00244387"/>
    <w:rsid w:val="00404279"/>
    <w:rsid w:val="005577C7"/>
    <w:rsid w:val="007870B5"/>
    <w:rsid w:val="00843B9B"/>
    <w:rsid w:val="009608ED"/>
    <w:rsid w:val="00A04561"/>
    <w:rsid w:val="00A41841"/>
    <w:rsid w:val="00A53C15"/>
    <w:rsid w:val="00A72C98"/>
    <w:rsid w:val="00AE6855"/>
    <w:rsid w:val="00B41CF7"/>
    <w:rsid w:val="00B96D3C"/>
    <w:rsid w:val="00C656BC"/>
    <w:rsid w:val="00CB3E84"/>
    <w:rsid w:val="00CE305B"/>
    <w:rsid w:val="00CF395C"/>
    <w:rsid w:val="00DA086E"/>
    <w:rsid w:val="00DA50EF"/>
    <w:rsid w:val="00E623F0"/>
    <w:rsid w:val="00E63AAF"/>
    <w:rsid w:val="00F0408A"/>
    <w:rsid w:val="00F72976"/>
    <w:rsid w:val="00F735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D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608E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08ED"/>
    <w:rPr>
      <w:sz w:val="20"/>
      <w:szCs w:val="20"/>
    </w:rPr>
  </w:style>
  <w:style w:type="character" w:styleId="FootnoteReference">
    <w:name w:val="footnote reference"/>
    <w:basedOn w:val="DefaultParagraphFont"/>
    <w:uiPriority w:val="99"/>
    <w:semiHidden/>
    <w:unhideWhenUsed/>
    <w:rsid w:val="009608ED"/>
    <w:rPr>
      <w:vertAlign w:val="superscript"/>
    </w:rPr>
  </w:style>
  <w:style w:type="character" w:styleId="Hyperlink">
    <w:name w:val="Hyperlink"/>
    <w:basedOn w:val="DefaultParagraphFont"/>
    <w:uiPriority w:val="99"/>
    <w:unhideWhenUsed/>
    <w:rsid w:val="009608ED"/>
    <w:rPr>
      <w:color w:val="0000FF" w:themeColor="hyperlink"/>
      <w:u w:val="single"/>
    </w:rPr>
  </w:style>
  <w:style w:type="paragraph" w:styleId="ListParagraph">
    <w:name w:val="List Paragraph"/>
    <w:basedOn w:val="Normal"/>
    <w:uiPriority w:val="34"/>
    <w:qFormat/>
    <w:rsid w:val="00F040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content/meetings/tac/keydocs/2008/1106/11._CMWG_20080827_Penalty_Factors_Comment.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06D62-3F2D-4173-ACC5-62D83BAE0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673</Words>
  <Characters>3841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Energy Reliability Council of Texas</Company>
  <LinksUpToDate>false</LinksUpToDate>
  <CharactersWithSpaces>4505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djones</dc:creator>
  <cp:keywords/>
  <dc:description/>
  <cp:lastModifiedBy>djones</cp:lastModifiedBy>
  <cp:revision>17</cp:revision>
  <cp:lastPrinted>2011-04-27T20:14:00Z</cp:lastPrinted>
  <dcterms:created xsi:type="dcterms:W3CDTF">2011-04-26T18:28:00Z</dcterms:created>
  <dcterms:modified xsi:type="dcterms:W3CDTF">2011-04-27T20:41:00Z</dcterms:modified>
</cp:coreProperties>
</file>