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1260"/>
        <w:gridCol w:w="900"/>
        <w:gridCol w:w="1980"/>
        <w:gridCol w:w="4680"/>
      </w:tblGrid>
      <w:tr w:rsidR="00630FB4">
        <w:tblPrEx>
          <w:tblCellMar>
            <w:top w:w="0" w:type="dxa"/>
            <w:bottom w:w="0" w:type="dxa"/>
          </w:tblCellMar>
        </w:tblPrEx>
        <w:trPr>
          <w:trHeight w:val="512"/>
        </w:trPr>
        <w:tc>
          <w:tcPr>
            <w:tcW w:w="1620" w:type="dxa"/>
            <w:tcBorders>
              <w:bottom w:val="single" w:sz="4" w:space="0" w:color="auto"/>
            </w:tcBorders>
            <w:shd w:val="clear" w:color="auto" w:fill="FFFFFF"/>
            <w:vAlign w:val="center"/>
          </w:tcPr>
          <w:p w:rsidR="00630FB4" w:rsidRDefault="009D7C0C">
            <w:pPr>
              <w:pStyle w:val="Header"/>
            </w:pPr>
            <w:r>
              <w:t>N</w:t>
            </w:r>
            <w:r w:rsidR="00630FB4">
              <w:t>PRR Number</w:t>
            </w:r>
          </w:p>
        </w:tc>
        <w:tc>
          <w:tcPr>
            <w:tcW w:w="1260" w:type="dxa"/>
            <w:tcBorders>
              <w:bottom w:val="single" w:sz="4" w:space="0" w:color="auto"/>
            </w:tcBorders>
            <w:vAlign w:val="center"/>
          </w:tcPr>
          <w:p w:rsidR="00630FB4" w:rsidRDefault="00915600">
            <w:pPr>
              <w:pStyle w:val="Header"/>
            </w:pPr>
            <w:r>
              <w:t>344</w:t>
            </w:r>
          </w:p>
        </w:tc>
        <w:tc>
          <w:tcPr>
            <w:tcW w:w="900" w:type="dxa"/>
            <w:tcBorders>
              <w:bottom w:val="single" w:sz="4" w:space="0" w:color="auto"/>
            </w:tcBorders>
            <w:shd w:val="clear" w:color="auto" w:fill="FFFFFF"/>
            <w:vAlign w:val="center"/>
          </w:tcPr>
          <w:p w:rsidR="00630FB4" w:rsidRDefault="009D7C0C">
            <w:pPr>
              <w:pStyle w:val="Header"/>
            </w:pPr>
            <w:r>
              <w:t>N</w:t>
            </w:r>
            <w:r w:rsidR="00630FB4">
              <w:t>PRR Title</w:t>
            </w:r>
          </w:p>
        </w:tc>
        <w:tc>
          <w:tcPr>
            <w:tcW w:w="6660" w:type="dxa"/>
            <w:gridSpan w:val="2"/>
            <w:tcBorders>
              <w:bottom w:val="single" w:sz="4" w:space="0" w:color="auto"/>
            </w:tcBorders>
            <w:vAlign w:val="center"/>
          </w:tcPr>
          <w:p w:rsidR="00630FB4" w:rsidRDefault="00915600">
            <w:pPr>
              <w:pStyle w:val="Header"/>
            </w:pPr>
            <w:r>
              <w:t>Define RMR Fuel Adder</w:t>
            </w:r>
          </w:p>
        </w:tc>
      </w:tr>
      <w:tr w:rsidR="005543FA">
        <w:tblPrEx>
          <w:tblCellMar>
            <w:top w:w="0" w:type="dxa"/>
            <w:bottom w:w="0" w:type="dxa"/>
          </w:tblCellMar>
        </w:tblPrEx>
        <w:trPr>
          <w:cantSplit/>
          <w:trHeight w:val="512"/>
        </w:trPr>
        <w:tc>
          <w:tcPr>
            <w:tcW w:w="1620" w:type="dxa"/>
            <w:tcBorders>
              <w:bottom w:val="single" w:sz="4" w:space="0" w:color="auto"/>
            </w:tcBorders>
            <w:shd w:val="clear" w:color="auto" w:fill="FFFFFF"/>
            <w:vAlign w:val="center"/>
          </w:tcPr>
          <w:p w:rsidR="005543FA" w:rsidRPr="00F573FE" w:rsidRDefault="005543FA" w:rsidP="00730FA8">
            <w:pPr>
              <w:pStyle w:val="Header"/>
            </w:pPr>
            <w:r>
              <w:t>Timeline</w:t>
            </w:r>
          </w:p>
        </w:tc>
        <w:tc>
          <w:tcPr>
            <w:tcW w:w="1260" w:type="dxa"/>
            <w:tcBorders>
              <w:bottom w:val="single" w:sz="4" w:space="0" w:color="auto"/>
            </w:tcBorders>
            <w:vAlign w:val="center"/>
          </w:tcPr>
          <w:p w:rsidR="005543FA" w:rsidRDefault="00915600" w:rsidP="00730FA8">
            <w:pPr>
              <w:pStyle w:val="Header"/>
              <w:rPr>
                <w:b w:val="0"/>
                <w:bCs w:val="0"/>
              </w:rPr>
            </w:pPr>
            <w:r>
              <w:rPr>
                <w:b w:val="0"/>
                <w:bCs w:val="0"/>
              </w:rPr>
              <w:t>Normal</w:t>
            </w:r>
          </w:p>
        </w:tc>
        <w:tc>
          <w:tcPr>
            <w:tcW w:w="2880" w:type="dxa"/>
            <w:gridSpan w:val="2"/>
            <w:tcBorders>
              <w:bottom w:val="single" w:sz="4" w:space="0" w:color="auto"/>
            </w:tcBorders>
            <w:shd w:val="clear" w:color="auto" w:fill="FFFFFF"/>
            <w:vAlign w:val="center"/>
          </w:tcPr>
          <w:p w:rsidR="005543FA" w:rsidRDefault="00C75ABB" w:rsidP="00730FA8">
            <w:pPr>
              <w:pStyle w:val="Header"/>
            </w:pPr>
            <w:r>
              <w:t>Action</w:t>
            </w:r>
          </w:p>
        </w:tc>
        <w:tc>
          <w:tcPr>
            <w:tcW w:w="4680" w:type="dxa"/>
            <w:tcBorders>
              <w:bottom w:val="single" w:sz="4" w:space="0" w:color="auto"/>
            </w:tcBorders>
            <w:shd w:val="clear" w:color="auto" w:fill="FFFFFF"/>
            <w:vAlign w:val="center"/>
          </w:tcPr>
          <w:p w:rsidR="005543FA" w:rsidRPr="00BD786A" w:rsidRDefault="00D53BFE" w:rsidP="00E0419C">
            <w:pPr>
              <w:pStyle w:val="Header"/>
              <w:rPr>
                <w:b w:val="0"/>
              </w:rPr>
            </w:pPr>
            <w:r>
              <w:rPr>
                <w:b w:val="0"/>
              </w:rPr>
              <w:t>Recommended Approval</w:t>
            </w:r>
          </w:p>
        </w:tc>
      </w:tr>
      <w:tr w:rsidR="00E66305">
        <w:tblPrEx>
          <w:tblCellMar>
            <w:top w:w="0" w:type="dxa"/>
            <w:bottom w:w="0" w:type="dxa"/>
          </w:tblCellMar>
        </w:tblPrEx>
        <w:trPr>
          <w:trHeight w:val="467"/>
        </w:trPr>
        <w:tc>
          <w:tcPr>
            <w:tcW w:w="2880" w:type="dxa"/>
            <w:gridSpan w:val="2"/>
            <w:tcBorders>
              <w:top w:val="single" w:sz="4" w:space="0" w:color="auto"/>
              <w:bottom w:val="single" w:sz="4" w:space="0" w:color="auto"/>
            </w:tcBorders>
            <w:shd w:val="clear" w:color="auto" w:fill="FFFFFF"/>
            <w:vAlign w:val="center"/>
          </w:tcPr>
          <w:p w:rsidR="00E66305" w:rsidRDefault="00E66305">
            <w:pPr>
              <w:pStyle w:val="Header"/>
            </w:pPr>
            <w:r>
              <w:t xml:space="preserve">Date of </w:t>
            </w:r>
            <w:r w:rsidR="00807265">
              <w:t>Decision</w:t>
            </w:r>
          </w:p>
        </w:tc>
        <w:tc>
          <w:tcPr>
            <w:tcW w:w="7560" w:type="dxa"/>
            <w:gridSpan w:val="3"/>
            <w:tcBorders>
              <w:top w:val="single" w:sz="4" w:space="0" w:color="auto"/>
            </w:tcBorders>
            <w:vAlign w:val="center"/>
          </w:tcPr>
          <w:p w:rsidR="00E66305" w:rsidRDefault="00915600" w:rsidP="006C3F70">
            <w:pPr>
              <w:pStyle w:val="NormalArial"/>
            </w:pPr>
            <w:r>
              <w:t>April 21, 2011</w:t>
            </w:r>
          </w:p>
        </w:tc>
      </w:tr>
      <w:tr w:rsidR="00B85BD1" w:rsidTr="00D051D0">
        <w:tblPrEx>
          <w:tblCellMar>
            <w:top w:w="0" w:type="dxa"/>
            <w:bottom w:w="0" w:type="dxa"/>
          </w:tblCellMar>
        </w:tblPrEx>
        <w:trPr>
          <w:trHeight w:val="647"/>
        </w:trPr>
        <w:tc>
          <w:tcPr>
            <w:tcW w:w="2880" w:type="dxa"/>
            <w:gridSpan w:val="2"/>
            <w:tcBorders>
              <w:bottom w:val="single" w:sz="4" w:space="0" w:color="auto"/>
            </w:tcBorders>
            <w:shd w:val="clear" w:color="auto" w:fill="FFFFFF"/>
            <w:vAlign w:val="center"/>
          </w:tcPr>
          <w:p w:rsidR="00B85BD1" w:rsidRDefault="00B85BD1" w:rsidP="00D051D0">
            <w:pPr>
              <w:pStyle w:val="Header"/>
            </w:pPr>
            <w:r>
              <w:t>Proposed Effective Date</w:t>
            </w:r>
          </w:p>
        </w:tc>
        <w:tc>
          <w:tcPr>
            <w:tcW w:w="7560" w:type="dxa"/>
            <w:gridSpan w:val="3"/>
            <w:vAlign w:val="center"/>
          </w:tcPr>
          <w:p w:rsidR="00B85BD1" w:rsidRDefault="00915600" w:rsidP="00D051D0">
            <w:pPr>
              <w:pStyle w:val="NormalArial"/>
            </w:pPr>
            <w:r>
              <w:t>To be determined.</w:t>
            </w:r>
          </w:p>
        </w:tc>
      </w:tr>
      <w:tr w:rsidR="00B85BD1" w:rsidTr="00D051D0">
        <w:tblPrEx>
          <w:tblCellMar>
            <w:top w:w="0" w:type="dxa"/>
            <w:bottom w:w="0" w:type="dxa"/>
          </w:tblCellMar>
        </w:tblPrEx>
        <w:trPr>
          <w:trHeight w:val="710"/>
        </w:trPr>
        <w:tc>
          <w:tcPr>
            <w:tcW w:w="2880" w:type="dxa"/>
            <w:gridSpan w:val="2"/>
            <w:tcBorders>
              <w:bottom w:val="single" w:sz="4" w:space="0" w:color="auto"/>
            </w:tcBorders>
            <w:shd w:val="clear" w:color="auto" w:fill="FFFFFF"/>
            <w:vAlign w:val="center"/>
          </w:tcPr>
          <w:p w:rsidR="00B85BD1" w:rsidRDefault="00B85BD1" w:rsidP="00D051D0">
            <w:pPr>
              <w:pStyle w:val="Header"/>
            </w:pPr>
            <w:r>
              <w:t>Priority and Rank Assigned</w:t>
            </w:r>
          </w:p>
        </w:tc>
        <w:tc>
          <w:tcPr>
            <w:tcW w:w="7560" w:type="dxa"/>
            <w:gridSpan w:val="3"/>
            <w:vAlign w:val="center"/>
          </w:tcPr>
          <w:p w:rsidR="00B85BD1" w:rsidRDefault="00915600" w:rsidP="00D051D0">
            <w:pPr>
              <w:pStyle w:val="NormalArial"/>
            </w:pPr>
            <w:r>
              <w:t>To be determined.</w:t>
            </w:r>
          </w:p>
        </w:tc>
      </w:tr>
      <w:tr w:rsidR="00915600">
        <w:tblPrEx>
          <w:tblCellMar>
            <w:top w:w="0" w:type="dxa"/>
            <w:bottom w:w="0" w:type="dxa"/>
          </w:tblCellMar>
        </w:tblPrEx>
        <w:trPr>
          <w:trHeight w:val="710"/>
        </w:trPr>
        <w:tc>
          <w:tcPr>
            <w:tcW w:w="2880" w:type="dxa"/>
            <w:gridSpan w:val="2"/>
            <w:tcBorders>
              <w:top w:val="single" w:sz="4" w:space="0" w:color="auto"/>
              <w:bottom w:val="single" w:sz="4" w:space="0" w:color="auto"/>
            </w:tcBorders>
            <w:shd w:val="clear" w:color="auto" w:fill="FFFFFF"/>
            <w:vAlign w:val="center"/>
          </w:tcPr>
          <w:p w:rsidR="00915600" w:rsidRDefault="00915600" w:rsidP="0024428F">
            <w:pPr>
              <w:pStyle w:val="Header"/>
            </w:pPr>
            <w:r>
              <w:t>Nodal Protocol Sections Requiring Revision</w:t>
            </w:r>
          </w:p>
        </w:tc>
        <w:tc>
          <w:tcPr>
            <w:tcW w:w="7560" w:type="dxa"/>
            <w:gridSpan w:val="3"/>
            <w:tcBorders>
              <w:top w:val="single" w:sz="4" w:space="0" w:color="auto"/>
            </w:tcBorders>
            <w:vAlign w:val="center"/>
          </w:tcPr>
          <w:p w:rsidR="00915600" w:rsidRPr="009A4402" w:rsidRDefault="00915600" w:rsidP="0024428F">
            <w:pPr>
              <w:pStyle w:val="NormalArial"/>
              <w:rPr>
                <w:rFonts w:cs="Arial"/>
              </w:rPr>
            </w:pPr>
            <w:r w:rsidRPr="009A4402">
              <w:rPr>
                <w:rFonts w:cs="Arial"/>
              </w:rPr>
              <w:t>3.14.1.16</w:t>
            </w:r>
            <w:r>
              <w:rPr>
                <w:rFonts w:cs="Arial"/>
              </w:rPr>
              <w:t xml:space="preserve">, </w:t>
            </w:r>
            <w:r w:rsidRPr="009A4402">
              <w:rPr>
                <w:rFonts w:cs="Arial"/>
              </w:rPr>
              <w:t>Reporting Actual Eligible Costs</w:t>
            </w:r>
          </w:p>
          <w:p w:rsidR="00915600" w:rsidRPr="009A4402" w:rsidRDefault="00915600" w:rsidP="0024428F">
            <w:pPr>
              <w:pStyle w:val="NormalArial"/>
              <w:rPr>
                <w:rFonts w:cs="Arial"/>
              </w:rPr>
            </w:pPr>
            <w:r w:rsidRPr="009A4402">
              <w:rPr>
                <w:rFonts w:cs="Arial"/>
              </w:rPr>
              <w:t>6.6.6.2</w:t>
            </w:r>
            <w:r>
              <w:rPr>
                <w:rFonts w:cs="Arial"/>
              </w:rPr>
              <w:t xml:space="preserve">, </w:t>
            </w:r>
            <w:r w:rsidRPr="009A4402">
              <w:rPr>
                <w:rFonts w:cs="Arial"/>
              </w:rPr>
              <w:t>RMR Payment for Energy</w:t>
            </w:r>
          </w:p>
        </w:tc>
      </w:tr>
      <w:tr w:rsidR="00915600">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915600" w:rsidRDefault="00915600">
            <w:pPr>
              <w:pStyle w:val="Header"/>
            </w:pPr>
            <w:r>
              <w:t>Revision Description</w:t>
            </w:r>
          </w:p>
        </w:tc>
        <w:tc>
          <w:tcPr>
            <w:tcW w:w="7560" w:type="dxa"/>
            <w:gridSpan w:val="3"/>
            <w:tcBorders>
              <w:bottom w:val="single" w:sz="4" w:space="0" w:color="auto"/>
            </w:tcBorders>
            <w:vAlign w:val="center"/>
          </w:tcPr>
          <w:p w:rsidR="00915600" w:rsidRPr="006C22B5" w:rsidRDefault="00915600" w:rsidP="0024428F">
            <w:pPr>
              <w:pStyle w:val="NormalArial"/>
              <w:rPr>
                <w:rFonts w:cs="Arial"/>
              </w:rPr>
            </w:pPr>
            <w:r w:rsidRPr="006C22B5">
              <w:rPr>
                <w:rFonts w:cs="Arial"/>
              </w:rPr>
              <w:t xml:space="preserve">This Nodal Protocol Revision Request (NPRR) defines the term “fuel adder” as reported by Resource Entities when filing </w:t>
            </w:r>
            <w:r>
              <w:rPr>
                <w:rFonts w:cs="Arial"/>
              </w:rPr>
              <w:t>Reliability Must-Run (</w:t>
            </w:r>
            <w:r w:rsidRPr="006C22B5">
              <w:rPr>
                <w:rFonts w:cs="Arial"/>
              </w:rPr>
              <w:t>RMR</w:t>
            </w:r>
            <w:r>
              <w:rPr>
                <w:rFonts w:cs="Arial"/>
              </w:rPr>
              <w:t>)</w:t>
            </w:r>
            <w:r w:rsidRPr="006C22B5">
              <w:rPr>
                <w:rFonts w:cs="Arial"/>
              </w:rPr>
              <w:t xml:space="preserve"> contracts.</w:t>
            </w:r>
            <w:r>
              <w:rPr>
                <w:rFonts w:cs="Arial"/>
              </w:rPr>
              <w:t xml:space="preserve">  The NPRR also clarifies that the fuel adder will be true-up to reflect actual fuel costs incurred. </w:t>
            </w:r>
          </w:p>
        </w:tc>
      </w:tr>
      <w:tr w:rsidR="00915600" w:rsidTr="00D051D0">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915600" w:rsidRDefault="00915600" w:rsidP="00D051D0">
            <w:pPr>
              <w:pStyle w:val="Header"/>
            </w:pPr>
            <w:r>
              <w:t>Reason for Revision</w:t>
            </w:r>
          </w:p>
        </w:tc>
        <w:tc>
          <w:tcPr>
            <w:tcW w:w="7560" w:type="dxa"/>
            <w:gridSpan w:val="3"/>
            <w:tcBorders>
              <w:bottom w:val="single" w:sz="4" w:space="0" w:color="auto"/>
            </w:tcBorders>
            <w:vAlign w:val="center"/>
          </w:tcPr>
          <w:p w:rsidR="00915600" w:rsidRPr="006C22B5" w:rsidRDefault="00915600" w:rsidP="0024428F">
            <w:pPr>
              <w:pStyle w:val="NormalArial"/>
              <w:rPr>
                <w:rFonts w:cs="Arial"/>
              </w:rPr>
            </w:pPr>
            <w:r w:rsidRPr="006C22B5">
              <w:rPr>
                <w:rFonts w:cs="Arial"/>
              </w:rPr>
              <w:t xml:space="preserve">This NPRR is submitted to ensure accurate fuel prices are used when calculating Three-Part Supply Offers for the </w:t>
            </w:r>
            <w:r>
              <w:rPr>
                <w:rFonts w:cs="Arial"/>
              </w:rPr>
              <w:t>Day-Ahead Market (</w:t>
            </w:r>
            <w:r w:rsidRPr="006C22B5">
              <w:rPr>
                <w:rFonts w:cs="Arial"/>
              </w:rPr>
              <w:t>DAM</w:t>
            </w:r>
            <w:r>
              <w:rPr>
                <w:rFonts w:cs="Arial"/>
              </w:rPr>
              <w:t>)</w:t>
            </w:r>
            <w:r w:rsidRPr="006C22B5">
              <w:rPr>
                <w:rFonts w:cs="Arial"/>
              </w:rPr>
              <w:t xml:space="preserve">.  When a Resource Entity files an RMR contract, it must provide to ERCOT the estimated fuel adder as part of its Eligible Costs submission. </w:t>
            </w:r>
            <w:r>
              <w:rPr>
                <w:rFonts w:cs="Arial"/>
              </w:rPr>
              <w:t xml:space="preserve"> </w:t>
            </w:r>
            <w:r w:rsidRPr="006C22B5">
              <w:rPr>
                <w:rFonts w:cs="Arial"/>
              </w:rPr>
              <w:t xml:space="preserve">This fuel adder is added to the appropriate index price to establish the Three-Part Supply Offers.  If the fuel adder is not accurate, it can skew the Three-Part Supply Offers and impact DAM results.  After the DAM has cleared, Resource Entities have the option of filing with ERCOT their actual fuel costs prior to the </w:t>
            </w:r>
            <w:r>
              <w:rPr>
                <w:rFonts w:cs="Arial"/>
              </w:rPr>
              <w:t>F</w:t>
            </w:r>
            <w:r w:rsidRPr="006C22B5">
              <w:rPr>
                <w:rFonts w:cs="Arial"/>
              </w:rPr>
              <w:t xml:space="preserve">inal or </w:t>
            </w:r>
            <w:r>
              <w:rPr>
                <w:rFonts w:cs="Arial"/>
              </w:rPr>
              <w:t>T</w:t>
            </w:r>
            <w:r w:rsidRPr="006C22B5">
              <w:rPr>
                <w:rFonts w:cs="Arial"/>
              </w:rPr>
              <w:t xml:space="preserve">rue-up </w:t>
            </w:r>
            <w:r>
              <w:rPr>
                <w:rFonts w:cs="Arial"/>
              </w:rPr>
              <w:t>S</w:t>
            </w:r>
            <w:r w:rsidRPr="006C22B5">
              <w:rPr>
                <w:rFonts w:cs="Arial"/>
              </w:rPr>
              <w:t>ettlements.</w:t>
            </w:r>
          </w:p>
        </w:tc>
      </w:tr>
      <w:tr w:rsidR="00915600">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915600" w:rsidRDefault="00915600">
            <w:pPr>
              <w:pStyle w:val="Header"/>
            </w:pPr>
            <w:r>
              <w:t>Overall Market Benefit</w:t>
            </w:r>
          </w:p>
        </w:tc>
        <w:tc>
          <w:tcPr>
            <w:tcW w:w="7560" w:type="dxa"/>
            <w:gridSpan w:val="3"/>
            <w:tcBorders>
              <w:bottom w:val="single" w:sz="4" w:space="0" w:color="auto"/>
            </w:tcBorders>
            <w:vAlign w:val="center"/>
          </w:tcPr>
          <w:p w:rsidR="00915600" w:rsidRDefault="00915600" w:rsidP="0024428F">
            <w:pPr>
              <w:pStyle w:val="NormalArial"/>
            </w:pPr>
            <w:r>
              <w:t>More accurate representation of actual costs in the DAM.</w:t>
            </w:r>
          </w:p>
        </w:tc>
      </w:tr>
      <w:tr w:rsidR="00915600">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915600" w:rsidRDefault="00915600">
            <w:pPr>
              <w:pStyle w:val="Header"/>
            </w:pPr>
            <w:r>
              <w:t>Overall Market Impact</w:t>
            </w:r>
          </w:p>
        </w:tc>
        <w:tc>
          <w:tcPr>
            <w:tcW w:w="7560" w:type="dxa"/>
            <w:gridSpan w:val="3"/>
            <w:tcBorders>
              <w:bottom w:val="single" w:sz="4" w:space="0" w:color="auto"/>
            </w:tcBorders>
            <w:vAlign w:val="center"/>
          </w:tcPr>
          <w:p w:rsidR="00915600" w:rsidRDefault="00915600" w:rsidP="0024428F">
            <w:pPr>
              <w:pStyle w:val="NormalArial"/>
            </w:pPr>
            <w:r>
              <w:t>None.</w:t>
            </w:r>
          </w:p>
        </w:tc>
      </w:tr>
      <w:tr w:rsidR="00915600">
        <w:tblPrEx>
          <w:tblCellMar>
            <w:top w:w="0" w:type="dxa"/>
            <w:bottom w:w="0" w:type="dxa"/>
          </w:tblCellMar>
        </w:tblPrEx>
        <w:trPr>
          <w:trHeight w:val="512"/>
        </w:trPr>
        <w:tc>
          <w:tcPr>
            <w:tcW w:w="2880" w:type="dxa"/>
            <w:gridSpan w:val="2"/>
            <w:shd w:val="clear" w:color="auto" w:fill="FFFFFF"/>
            <w:vAlign w:val="center"/>
          </w:tcPr>
          <w:p w:rsidR="00915600" w:rsidRDefault="00915600">
            <w:pPr>
              <w:pStyle w:val="Header"/>
            </w:pPr>
            <w:r>
              <w:t>Consumer Impact</w:t>
            </w:r>
          </w:p>
        </w:tc>
        <w:tc>
          <w:tcPr>
            <w:tcW w:w="7560" w:type="dxa"/>
            <w:gridSpan w:val="3"/>
            <w:vAlign w:val="center"/>
          </w:tcPr>
          <w:p w:rsidR="00915600" w:rsidRDefault="00915600" w:rsidP="0024428F">
            <w:pPr>
              <w:pStyle w:val="NormalArial"/>
            </w:pPr>
            <w:r>
              <w:t>None.</w:t>
            </w:r>
          </w:p>
        </w:tc>
      </w:tr>
      <w:tr w:rsidR="00915600" w:rsidTr="00915600">
        <w:tblPrEx>
          <w:tblCellMar>
            <w:top w:w="0" w:type="dxa"/>
            <w:bottom w:w="0" w:type="dxa"/>
          </w:tblCellMar>
        </w:tblPrEx>
        <w:trPr>
          <w:trHeight w:val="530"/>
        </w:trPr>
        <w:tc>
          <w:tcPr>
            <w:tcW w:w="2880" w:type="dxa"/>
            <w:gridSpan w:val="2"/>
            <w:shd w:val="clear" w:color="auto" w:fill="FFFFFF"/>
            <w:vAlign w:val="center"/>
          </w:tcPr>
          <w:p w:rsidR="00915600" w:rsidRDefault="00915600">
            <w:pPr>
              <w:pStyle w:val="Header"/>
            </w:pPr>
            <w:r>
              <w:t>Credit Impacts</w:t>
            </w:r>
          </w:p>
        </w:tc>
        <w:tc>
          <w:tcPr>
            <w:tcW w:w="7560" w:type="dxa"/>
            <w:gridSpan w:val="3"/>
            <w:vAlign w:val="center"/>
          </w:tcPr>
          <w:p w:rsidR="00915600" w:rsidRDefault="00915600" w:rsidP="000A42ED">
            <w:pPr>
              <w:pStyle w:val="NormalArial"/>
            </w:pPr>
            <w:r>
              <w:t>To be determined.</w:t>
            </w:r>
          </w:p>
        </w:tc>
      </w:tr>
      <w:tr w:rsidR="00915600">
        <w:tblPrEx>
          <w:tblCellMar>
            <w:top w:w="0" w:type="dxa"/>
            <w:bottom w:w="0" w:type="dxa"/>
          </w:tblCellMar>
        </w:tblPrEx>
        <w:trPr>
          <w:trHeight w:val="458"/>
        </w:trPr>
        <w:tc>
          <w:tcPr>
            <w:tcW w:w="2880" w:type="dxa"/>
            <w:gridSpan w:val="2"/>
            <w:shd w:val="clear" w:color="auto" w:fill="FFFFFF"/>
            <w:vAlign w:val="center"/>
          </w:tcPr>
          <w:p w:rsidR="00915600" w:rsidRDefault="00915600">
            <w:pPr>
              <w:pStyle w:val="Header"/>
            </w:pPr>
            <w:r>
              <w:t>Procedural History</w:t>
            </w:r>
          </w:p>
        </w:tc>
        <w:tc>
          <w:tcPr>
            <w:tcW w:w="7560" w:type="dxa"/>
            <w:gridSpan w:val="3"/>
            <w:vAlign w:val="center"/>
          </w:tcPr>
          <w:p w:rsidR="00915600" w:rsidRDefault="00915600" w:rsidP="00383223">
            <w:pPr>
              <w:pStyle w:val="NormalArial"/>
              <w:numPr>
                <w:ilvl w:val="0"/>
                <w:numId w:val="17"/>
              </w:numPr>
              <w:tabs>
                <w:tab w:val="clear" w:pos="720"/>
                <w:tab w:val="num" w:pos="432"/>
              </w:tabs>
              <w:ind w:left="432"/>
            </w:pPr>
            <w:r>
              <w:t>On 4/1/11, NPRR344 and an Impact Analysis were posted.</w:t>
            </w:r>
          </w:p>
          <w:p w:rsidR="00915600" w:rsidRDefault="00915600" w:rsidP="00383223">
            <w:pPr>
              <w:pStyle w:val="NormalArial"/>
              <w:numPr>
                <w:ilvl w:val="0"/>
                <w:numId w:val="17"/>
              </w:numPr>
              <w:tabs>
                <w:tab w:val="clear" w:pos="720"/>
                <w:tab w:val="num" w:pos="432"/>
              </w:tabs>
              <w:ind w:left="432"/>
            </w:pPr>
            <w:r>
              <w:t>On 4/11/11, WMS comments were posted.</w:t>
            </w:r>
          </w:p>
          <w:p w:rsidR="00915600" w:rsidRDefault="00915600" w:rsidP="00915600">
            <w:pPr>
              <w:pStyle w:val="NormalArial"/>
              <w:numPr>
                <w:ilvl w:val="0"/>
                <w:numId w:val="17"/>
              </w:numPr>
              <w:tabs>
                <w:tab w:val="clear" w:pos="720"/>
                <w:tab w:val="num" w:pos="432"/>
              </w:tabs>
              <w:ind w:left="432"/>
            </w:pPr>
            <w:r>
              <w:t>On 4/21/11, PRS considered NPRR344.</w:t>
            </w:r>
          </w:p>
        </w:tc>
      </w:tr>
      <w:tr w:rsidR="00915600">
        <w:tblPrEx>
          <w:tblCellMar>
            <w:top w:w="0" w:type="dxa"/>
            <w:bottom w:w="0" w:type="dxa"/>
          </w:tblCellMar>
        </w:tblPrEx>
        <w:trPr>
          <w:trHeight w:val="503"/>
        </w:trPr>
        <w:tc>
          <w:tcPr>
            <w:tcW w:w="2880" w:type="dxa"/>
            <w:gridSpan w:val="2"/>
            <w:shd w:val="clear" w:color="auto" w:fill="FFFFFF"/>
            <w:vAlign w:val="center"/>
          </w:tcPr>
          <w:p w:rsidR="00915600" w:rsidRDefault="00915600">
            <w:pPr>
              <w:pStyle w:val="Header"/>
            </w:pPr>
            <w:smartTag w:uri="urn:schemas-microsoft-com:office:smarttags" w:element="place">
              <w:r>
                <w:t>PRS</w:t>
              </w:r>
            </w:smartTag>
            <w:r>
              <w:t xml:space="preserve"> Decision </w:t>
            </w:r>
          </w:p>
        </w:tc>
        <w:tc>
          <w:tcPr>
            <w:tcW w:w="7560" w:type="dxa"/>
            <w:gridSpan w:val="3"/>
            <w:vAlign w:val="center"/>
          </w:tcPr>
          <w:p w:rsidR="00915600" w:rsidRDefault="00915600" w:rsidP="00383223">
            <w:pPr>
              <w:pStyle w:val="NormalArial"/>
            </w:pPr>
            <w:r>
              <w:t>On 4/21/11, PRS</w:t>
            </w:r>
            <w:r w:rsidR="00D53BFE">
              <w:t xml:space="preserve"> unanimously voted to recommend approval of NPRR344</w:t>
            </w:r>
            <w:r w:rsidR="00C75226">
              <w:t xml:space="preserve"> as submitted.  All Market Segments were present for the vote.</w:t>
            </w:r>
          </w:p>
        </w:tc>
      </w:tr>
      <w:tr w:rsidR="00915600">
        <w:tblPrEx>
          <w:tblCellMar>
            <w:top w:w="0" w:type="dxa"/>
            <w:bottom w:w="0" w:type="dxa"/>
          </w:tblCellMar>
        </w:tblPrEx>
        <w:trPr>
          <w:trHeight w:val="557"/>
        </w:trPr>
        <w:tc>
          <w:tcPr>
            <w:tcW w:w="2880" w:type="dxa"/>
            <w:gridSpan w:val="2"/>
            <w:shd w:val="clear" w:color="auto" w:fill="FFFFFF"/>
            <w:vAlign w:val="center"/>
          </w:tcPr>
          <w:p w:rsidR="00915600" w:rsidRDefault="00915600">
            <w:pPr>
              <w:pStyle w:val="Header"/>
            </w:pPr>
            <w:r>
              <w:t xml:space="preserve">Summary of </w:t>
            </w:r>
            <w:smartTag w:uri="urn:schemas-microsoft-com:office:smarttags" w:element="place">
              <w:r>
                <w:t>PRS</w:t>
              </w:r>
            </w:smartTag>
            <w:r>
              <w:t xml:space="preserve"> Discussion</w:t>
            </w:r>
          </w:p>
        </w:tc>
        <w:tc>
          <w:tcPr>
            <w:tcW w:w="7560" w:type="dxa"/>
            <w:gridSpan w:val="3"/>
            <w:vAlign w:val="center"/>
          </w:tcPr>
          <w:p w:rsidR="00915600" w:rsidRDefault="00915600" w:rsidP="006C3F70">
            <w:pPr>
              <w:pStyle w:val="NormalArial"/>
            </w:pPr>
            <w:r>
              <w:t>On 4/21/11,</w:t>
            </w:r>
            <w:r w:rsidR="00662B66">
              <w:t xml:space="preserve"> there was no discussion.</w:t>
            </w:r>
          </w:p>
        </w:tc>
      </w:tr>
    </w:tbl>
    <w:p w:rsidR="00B85BD1" w:rsidRDefault="00B85BD1" w:rsidP="00B85BD1">
      <w:pPr>
        <w:pStyle w:val="NormalArial"/>
      </w:pPr>
    </w:p>
    <w:tbl>
      <w:tblPr>
        <w:tblW w:w="10447"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
        <w:gridCol w:w="1800"/>
        <w:gridCol w:w="360"/>
        <w:gridCol w:w="3600"/>
        <w:gridCol w:w="4673"/>
        <w:gridCol w:w="7"/>
      </w:tblGrid>
      <w:tr w:rsidR="00915600" w:rsidTr="0024428F">
        <w:tblPrEx>
          <w:tblCellMar>
            <w:top w:w="0" w:type="dxa"/>
            <w:bottom w:w="0" w:type="dxa"/>
          </w:tblCellMar>
        </w:tblPrEx>
        <w:trPr>
          <w:gridBefore w:val="1"/>
          <w:wBefore w:w="7" w:type="dxa"/>
          <w:trHeight w:val="350"/>
        </w:trPr>
        <w:tc>
          <w:tcPr>
            <w:tcW w:w="10440" w:type="dxa"/>
            <w:gridSpan w:val="5"/>
            <w:tcBorders>
              <w:bottom w:val="single" w:sz="4" w:space="0" w:color="auto"/>
            </w:tcBorders>
            <w:shd w:val="clear" w:color="auto" w:fill="FFFFFF"/>
            <w:vAlign w:val="center"/>
          </w:tcPr>
          <w:p w:rsidR="00915600" w:rsidRDefault="00915600" w:rsidP="0024428F">
            <w:pPr>
              <w:pStyle w:val="Header"/>
              <w:jc w:val="center"/>
            </w:pPr>
            <w:r>
              <w:br w:type="page"/>
              <w:t>Quantitative Impacts and Benefits</w:t>
            </w:r>
          </w:p>
        </w:tc>
      </w:tr>
      <w:tr w:rsidR="00915600" w:rsidRPr="00AC6C37" w:rsidTr="0024428F">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915600" w:rsidRDefault="00915600" w:rsidP="0024428F">
            <w:pPr>
              <w:pStyle w:val="Header"/>
            </w:pPr>
          </w:p>
          <w:p w:rsidR="00915600" w:rsidRPr="00E41BCF" w:rsidRDefault="00915600" w:rsidP="0024428F">
            <w:pPr>
              <w:pStyle w:val="Header"/>
            </w:pPr>
            <w:r w:rsidRPr="00E41BCF">
              <w:t>Assumptions</w:t>
            </w:r>
          </w:p>
        </w:tc>
        <w:tc>
          <w:tcPr>
            <w:tcW w:w="360" w:type="dxa"/>
            <w:tcBorders>
              <w:top w:val="single" w:sz="12" w:space="0" w:color="auto"/>
              <w:bottom w:val="single" w:sz="8" w:space="0" w:color="auto"/>
            </w:tcBorders>
            <w:vAlign w:val="center"/>
          </w:tcPr>
          <w:p w:rsidR="00915600" w:rsidRPr="00BD6AA7" w:rsidRDefault="00915600" w:rsidP="0024428F">
            <w:pPr>
              <w:pStyle w:val="Header"/>
              <w:jc w:val="center"/>
              <w:rPr>
                <w:b w:val="0"/>
                <w:sz w:val="20"/>
                <w:szCs w:val="20"/>
              </w:rPr>
            </w:pPr>
            <w:r w:rsidRPr="00BD6AA7">
              <w:rPr>
                <w:b w:val="0"/>
                <w:sz w:val="20"/>
                <w:szCs w:val="20"/>
              </w:rPr>
              <w:t>1</w:t>
            </w:r>
          </w:p>
        </w:tc>
        <w:tc>
          <w:tcPr>
            <w:tcW w:w="8273" w:type="dxa"/>
            <w:gridSpan w:val="2"/>
            <w:tcBorders>
              <w:top w:val="single" w:sz="12" w:space="0" w:color="auto"/>
              <w:bottom w:val="single" w:sz="8" w:space="0" w:color="auto"/>
            </w:tcBorders>
            <w:vAlign w:val="center"/>
          </w:tcPr>
          <w:p w:rsidR="00915600" w:rsidRPr="00AC6C37" w:rsidRDefault="00915600" w:rsidP="0024428F">
            <w:pPr>
              <w:pStyle w:val="Header"/>
              <w:rPr>
                <w:b w:val="0"/>
                <w:i/>
                <w:sz w:val="20"/>
                <w:szCs w:val="20"/>
              </w:rPr>
            </w:pPr>
          </w:p>
        </w:tc>
      </w:tr>
      <w:tr w:rsidR="00915600" w:rsidRPr="00AC6C37" w:rsidTr="0024428F">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915600" w:rsidRPr="00E41BCF" w:rsidRDefault="00915600" w:rsidP="0024428F">
            <w:pPr>
              <w:pStyle w:val="Header"/>
            </w:pPr>
          </w:p>
        </w:tc>
        <w:tc>
          <w:tcPr>
            <w:tcW w:w="360" w:type="dxa"/>
            <w:tcBorders>
              <w:top w:val="single" w:sz="8" w:space="0" w:color="auto"/>
            </w:tcBorders>
            <w:vAlign w:val="center"/>
          </w:tcPr>
          <w:p w:rsidR="00915600" w:rsidRPr="00864358" w:rsidRDefault="00915600" w:rsidP="0024428F">
            <w:pPr>
              <w:pStyle w:val="Header"/>
              <w:jc w:val="center"/>
              <w:rPr>
                <w:b w:val="0"/>
                <w:sz w:val="20"/>
                <w:szCs w:val="20"/>
              </w:rPr>
            </w:pPr>
            <w:r w:rsidRPr="00864358">
              <w:rPr>
                <w:b w:val="0"/>
                <w:sz w:val="20"/>
                <w:szCs w:val="20"/>
              </w:rPr>
              <w:t>2</w:t>
            </w:r>
          </w:p>
        </w:tc>
        <w:tc>
          <w:tcPr>
            <w:tcW w:w="8273" w:type="dxa"/>
            <w:gridSpan w:val="2"/>
            <w:tcBorders>
              <w:top w:val="single" w:sz="8" w:space="0" w:color="auto"/>
            </w:tcBorders>
            <w:vAlign w:val="center"/>
          </w:tcPr>
          <w:p w:rsidR="00915600" w:rsidRPr="00AC6C37" w:rsidRDefault="00915600" w:rsidP="0024428F">
            <w:pPr>
              <w:pStyle w:val="Header"/>
              <w:rPr>
                <w:b w:val="0"/>
                <w:i/>
                <w:sz w:val="20"/>
                <w:szCs w:val="20"/>
              </w:rPr>
            </w:pPr>
          </w:p>
        </w:tc>
      </w:tr>
      <w:tr w:rsidR="00915600" w:rsidRPr="00AC6C37" w:rsidTr="0024428F">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915600" w:rsidRPr="00E41BCF" w:rsidRDefault="00915600" w:rsidP="0024428F">
            <w:pPr>
              <w:pStyle w:val="Header"/>
            </w:pPr>
          </w:p>
        </w:tc>
        <w:tc>
          <w:tcPr>
            <w:tcW w:w="360" w:type="dxa"/>
            <w:vAlign w:val="center"/>
          </w:tcPr>
          <w:p w:rsidR="00915600" w:rsidRPr="00864358" w:rsidRDefault="00915600" w:rsidP="0024428F">
            <w:pPr>
              <w:pStyle w:val="Header"/>
              <w:jc w:val="center"/>
              <w:rPr>
                <w:b w:val="0"/>
                <w:sz w:val="20"/>
                <w:szCs w:val="20"/>
              </w:rPr>
            </w:pPr>
            <w:r w:rsidRPr="00864358">
              <w:rPr>
                <w:b w:val="0"/>
                <w:sz w:val="20"/>
                <w:szCs w:val="20"/>
              </w:rPr>
              <w:t>3</w:t>
            </w:r>
          </w:p>
        </w:tc>
        <w:tc>
          <w:tcPr>
            <w:tcW w:w="8273" w:type="dxa"/>
            <w:gridSpan w:val="2"/>
            <w:vAlign w:val="center"/>
          </w:tcPr>
          <w:p w:rsidR="00915600" w:rsidRPr="00AC6C37" w:rsidRDefault="00915600" w:rsidP="0024428F">
            <w:pPr>
              <w:pStyle w:val="Header"/>
              <w:rPr>
                <w:b w:val="0"/>
                <w:i/>
                <w:sz w:val="20"/>
                <w:szCs w:val="20"/>
              </w:rPr>
            </w:pPr>
          </w:p>
        </w:tc>
      </w:tr>
      <w:tr w:rsidR="00915600" w:rsidRPr="00AC6C37" w:rsidTr="0024428F">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915600" w:rsidRPr="00E41BCF" w:rsidRDefault="00915600" w:rsidP="0024428F">
            <w:pPr>
              <w:pStyle w:val="Header"/>
            </w:pPr>
          </w:p>
        </w:tc>
        <w:tc>
          <w:tcPr>
            <w:tcW w:w="360" w:type="dxa"/>
            <w:tcBorders>
              <w:bottom w:val="single" w:sz="12" w:space="0" w:color="auto"/>
            </w:tcBorders>
            <w:vAlign w:val="center"/>
          </w:tcPr>
          <w:p w:rsidR="00915600" w:rsidRPr="00864358" w:rsidRDefault="00915600" w:rsidP="0024428F">
            <w:pPr>
              <w:pStyle w:val="Header"/>
              <w:jc w:val="center"/>
              <w:rPr>
                <w:b w:val="0"/>
                <w:sz w:val="20"/>
                <w:szCs w:val="20"/>
              </w:rPr>
            </w:pPr>
            <w:r w:rsidRPr="00864358">
              <w:rPr>
                <w:b w:val="0"/>
                <w:sz w:val="20"/>
                <w:szCs w:val="20"/>
              </w:rPr>
              <w:t>4</w:t>
            </w:r>
          </w:p>
        </w:tc>
        <w:tc>
          <w:tcPr>
            <w:tcW w:w="8273" w:type="dxa"/>
            <w:gridSpan w:val="2"/>
            <w:tcBorders>
              <w:bottom w:val="single" w:sz="12" w:space="0" w:color="auto"/>
            </w:tcBorders>
            <w:vAlign w:val="center"/>
          </w:tcPr>
          <w:p w:rsidR="00915600" w:rsidRPr="00AC6C37" w:rsidRDefault="00915600" w:rsidP="0024428F">
            <w:pPr>
              <w:pStyle w:val="Header"/>
              <w:rPr>
                <w:b w:val="0"/>
                <w:i/>
                <w:sz w:val="20"/>
                <w:szCs w:val="20"/>
              </w:rPr>
            </w:pPr>
          </w:p>
        </w:tc>
      </w:tr>
      <w:tr w:rsidR="00915600" w:rsidRPr="000C3592" w:rsidTr="0024428F">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right w:val="single" w:sz="4" w:space="0" w:color="auto"/>
            </w:tcBorders>
            <w:shd w:val="clear" w:color="auto" w:fill="auto"/>
            <w:vAlign w:val="center"/>
          </w:tcPr>
          <w:p w:rsidR="00915600" w:rsidRPr="00E41BCF" w:rsidRDefault="00915600" w:rsidP="0024428F">
            <w:pPr>
              <w:pStyle w:val="Header"/>
              <w:jc w:val="center"/>
            </w:pPr>
            <w:r w:rsidRPr="00E41BCF">
              <w:t>Market Cost</w:t>
            </w:r>
          </w:p>
        </w:tc>
        <w:tc>
          <w:tcPr>
            <w:tcW w:w="360" w:type="dxa"/>
            <w:tcBorders>
              <w:top w:val="single" w:sz="12" w:space="0" w:color="auto"/>
              <w:left w:val="single" w:sz="4" w:space="0" w:color="auto"/>
              <w:bottom w:val="single" w:sz="8" w:space="0" w:color="auto"/>
            </w:tcBorders>
            <w:shd w:val="clear" w:color="auto" w:fill="auto"/>
            <w:vAlign w:val="center"/>
          </w:tcPr>
          <w:p w:rsidR="00915600" w:rsidRDefault="00915600" w:rsidP="0024428F">
            <w:pPr>
              <w:pStyle w:val="NormalArial"/>
              <w:jc w:val="center"/>
              <w:rPr>
                <w:sz w:val="20"/>
              </w:rPr>
            </w:pPr>
          </w:p>
        </w:tc>
        <w:tc>
          <w:tcPr>
            <w:tcW w:w="3600" w:type="dxa"/>
            <w:tcBorders>
              <w:top w:val="single" w:sz="12" w:space="0" w:color="auto"/>
              <w:bottom w:val="single" w:sz="8" w:space="0" w:color="auto"/>
            </w:tcBorders>
            <w:shd w:val="clear" w:color="auto" w:fill="auto"/>
            <w:vAlign w:val="center"/>
          </w:tcPr>
          <w:p w:rsidR="00915600" w:rsidRPr="000C3592" w:rsidRDefault="00915600" w:rsidP="0024428F">
            <w:pPr>
              <w:pStyle w:val="NormalArial"/>
              <w:jc w:val="center"/>
              <w:rPr>
                <w:b/>
                <w:sz w:val="20"/>
              </w:rPr>
            </w:pPr>
            <w:r>
              <w:rPr>
                <w:b/>
                <w:sz w:val="20"/>
              </w:rPr>
              <w:t>Impact Area</w:t>
            </w:r>
          </w:p>
        </w:tc>
        <w:tc>
          <w:tcPr>
            <w:tcW w:w="4673" w:type="dxa"/>
            <w:tcBorders>
              <w:top w:val="single" w:sz="12" w:space="0" w:color="auto"/>
              <w:bottom w:val="single" w:sz="8" w:space="0" w:color="auto"/>
            </w:tcBorders>
            <w:shd w:val="clear" w:color="auto" w:fill="auto"/>
            <w:vAlign w:val="center"/>
          </w:tcPr>
          <w:p w:rsidR="00915600" w:rsidRPr="000C3592" w:rsidRDefault="00915600" w:rsidP="0024428F">
            <w:pPr>
              <w:pStyle w:val="NormalArial"/>
              <w:jc w:val="center"/>
              <w:rPr>
                <w:b/>
                <w:sz w:val="20"/>
              </w:rPr>
            </w:pPr>
            <w:r>
              <w:rPr>
                <w:b/>
                <w:sz w:val="20"/>
              </w:rPr>
              <w:t>Monetary Impact</w:t>
            </w:r>
          </w:p>
        </w:tc>
      </w:tr>
      <w:tr w:rsidR="00915600" w:rsidRPr="00C90F7E" w:rsidTr="0024428F">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915600" w:rsidRPr="00E41BCF" w:rsidRDefault="00915600" w:rsidP="0024428F">
            <w:pPr>
              <w:pStyle w:val="Header"/>
              <w:jc w:val="center"/>
            </w:pPr>
          </w:p>
        </w:tc>
        <w:tc>
          <w:tcPr>
            <w:tcW w:w="360" w:type="dxa"/>
            <w:tcBorders>
              <w:top w:val="single" w:sz="8" w:space="0" w:color="auto"/>
              <w:bottom w:val="single" w:sz="8" w:space="0" w:color="auto"/>
            </w:tcBorders>
            <w:vAlign w:val="center"/>
          </w:tcPr>
          <w:p w:rsidR="00915600" w:rsidRDefault="00915600" w:rsidP="0024428F">
            <w:pPr>
              <w:pStyle w:val="NormalArial"/>
              <w:jc w:val="center"/>
              <w:rPr>
                <w:sz w:val="20"/>
              </w:rPr>
            </w:pPr>
            <w:r>
              <w:rPr>
                <w:sz w:val="20"/>
              </w:rPr>
              <w:t>1</w:t>
            </w:r>
          </w:p>
        </w:tc>
        <w:tc>
          <w:tcPr>
            <w:tcW w:w="3600" w:type="dxa"/>
            <w:tcBorders>
              <w:top w:val="single" w:sz="8" w:space="0" w:color="auto"/>
              <w:bottom w:val="single" w:sz="8" w:space="0" w:color="auto"/>
            </w:tcBorders>
            <w:vAlign w:val="center"/>
          </w:tcPr>
          <w:p w:rsidR="00915600" w:rsidRPr="00C90F7E" w:rsidRDefault="00915600" w:rsidP="0024428F">
            <w:pPr>
              <w:pStyle w:val="NormalArial"/>
              <w:rPr>
                <w:i/>
                <w:sz w:val="20"/>
              </w:rPr>
            </w:pPr>
            <w:r>
              <w:rPr>
                <w:i/>
                <w:sz w:val="20"/>
              </w:rPr>
              <w:t>None.</w:t>
            </w:r>
          </w:p>
        </w:tc>
        <w:tc>
          <w:tcPr>
            <w:tcW w:w="4673" w:type="dxa"/>
            <w:tcBorders>
              <w:top w:val="single" w:sz="8" w:space="0" w:color="auto"/>
              <w:bottom w:val="single" w:sz="8" w:space="0" w:color="auto"/>
            </w:tcBorders>
            <w:vAlign w:val="center"/>
          </w:tcPr>
          <w:p w:rsidR="00915600" w:rsidRPr="00C90F7E" w:rsidRDefault="00915600" w:rsidP="0024428F">
            <w:pPr>
              <w:pStyle w:val="NormalArial"/>
              <w:rPr>
                <w:i/>
                <w:sz w:val="20"/>
              </w:rPr>
            </w:pPr>
            <w:r>
              <w:rPr>
                <w:i/>
                <w:sz w:val="20"/>
              </w:rPr>
              <w:t>None.</w:t>
            </w:r>
          </w:p>
        </w:tc>
      </w:tr>
      <w:tr w:rsidR="00915600" w:rsidRPr="00C90F7E" w:rsidTr="0024428F">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915600" w:rsidRPr="00E41BCF" w:rsidRDefault="00915600" w:rsidP="0024428F">
            <w:pPr>
              <w:pStyle w:val="Header"/>
              <w:jc w:val="center"/>
            </w:pPr>
          </w:p>
        </w:tc>
        <w:tc>
          <w:tcPr>
            <w:tcW w:w="360" w:type="dxa"/>
            <w:tcBorders>
              <w:top w:val="single" w:sz="8" w:space="0" w:color="auto"/>
              <w:bottom w:val="single" w:sz="8" w:space="0" w:color="auto"/>
            </w:tcBorders>
            <w:shd w:val="clear" w:color="auto" w:fill="auto"/>
            <w:vAlign w:val="center"/>
          </w:tcPr>
          <w:p w:rsidR="00915600" w:rsidRDefault="00915600" w:rsidP="0024428F">
            <w:pPr>
              <w:pStyle w:val="NormalArial"/>
              <w:jc w:val="center"/>
              <w:rPr>
                <w:sz w:val="20"/>
              </w:rPr>
            </w:pPr>
            <w:r>
              <w:rPr>
                <w:sz w:val="20"/>
              </w:rPr>
              <w:t>2</w:t>
            </w:r>
          </w:p>
        </w:tc>
        <w:tc>
          <w:tcPr>
            <w:tcW w:w="3600" w:type="dxa"/>
            <w:tcBorders>
              <w:top w:val="single" w:sz="8" w:space="0" w:color="auto"/>
              <w:bottom w:val="single" w:sz="8" w:space="0" w:color="auto"/>
            </w:tcBorders>
            <w:shd w:val="clear" w:color="auto" w:fill="auto"/>
            <w:vAlign w:val="center"/>
          </w:tcPr>
          <w:p w:rsidR="00915600" w:rsidRPr="00C90F7E" w:rsidRDefault="00915600" w:rsidP="0024428F">
            <w:pPr>
              <w:pStyle w:val="NormalArial"/>
              <w:rPr>
                <w:i/>
                <w:sz w:val="20"/>
              </w:rPr>
            </w:pPr>
          </w:p>
        </w:tc>
        <w:tc>
          <w:tcPr>
            <w:tcW w:w="4673" w:type="dxa"/>
            <w:tcBorders>
              <w:top w:val="single" w:sz="8" w:space="0" w:color="auto"/>
              <w:bottom w:val="single" w:sz="8" w:space="0" w:color="auto"/>
            </w:tcBorders>
            <w:shd w:val="clear" w:color="auto" w:fill="auto"/>
            <w:vAlign w:val="center"/>
          </w:tcPr>
          <w:p w:rsidR="00915600" w:rsidRPr="00C90F7E" w:rsidRDefault="00915600" w:rsidP="0024428F">
            <w:pPr>
              <w:pStyle w:val="NormalArial"/>
              <w:rPr>
                <w:i/>
                <w:sz w:val="20"/>
              </w:rPr>
            </w:pPr>
          </w:p>
        </w:tc>
      </w:tr>
      <w:tr w:rsidR="00915600" w:rsidRPr="00C90F7E" w:rsidTr="0024428F">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915600" w:rsidRPr="00E41BCF" w:rsidRDefault="00915600" w:rsidP="0024428F">
            <w:pPr>
              <w:pStyle w:val="Header"/>
              <w:jc w:val="center"/>
            </w:pPr>
          </w:p>
        </w:tc>
        <w:tc>
          <w:tcPr>
            <w:tcW w:w="360" w:type="dxa"/>
            <w:tcBorders>
              <w:top w:val="single" w:sz="8" w:space="0" w:color="auto"/>
              <w:bottom w:val="single" w:sz="8" w:space="0" w:color="auto"/>
            </w:tcBorders>
            <w:vAlign w:val="center"/>
          </w:tcPr>
          <w:p w:rsidR="00915600" w:rsidRDefault="00915600" w:rsidP="0024428F">
            <w:pPr>
              <w:pStyle w:val="NormalArial"/>
              <w:jc w:val="center"/>
              <w:rPr>
                <w:sz w:val="20"/>
              </w:rPr>
            </w:pPr>
            <w:r>
              <w:rPr>
                <w:sz w:val="20"/>
              </w:rPr>
              <w:t>3</w:t>
            </w:r>
          </w:p>
        </w:tc>
        <w:tc>
          <w:tcPr>
            <w:tcW w:w="3600" w:type="dxa"/>
            <w:tcBorders>
              <w:top w:val="single" w:sz="8" w:space="0" w:color="auto"/>
              <w:bottom w:val="single" w:sz="8" w:space="0" w:color="auto"/>
            </w:tcBorders>
            <w:vAlign w:val="center"/>
          </w:tcPr>
          <w:p w:rsidR="00915600" w:rsidRPr="00C90F7E" w:rsidRDefault="00915600" w:rsidP="0024428F">
            <w:pPr>
              <w:pStyle w:val="NormalArial"/>
              <w:rPr>
                <w:i/>
                <w:sz w:val="20"/>
              </w:rPr>
            </w:pPr>
          </w:p>
        </w:tc>
        <w:tc>
          <w:tcPr>
            <w:tcW w:w="4673" w:type="dxa"/>
            <w:tcBorders>
              <w:top w:val="single" w:sz="8" w:space="0" w:color="auto"/>
              <w:bottom w:val="single" w:sz="8" w:space="0" w:color="auto"/>
            </w:tcBorders>
            <w:vAlign w:val="center"/>
          </w:tcPr>
          <w:p w:rsidR="00915600" w:rsidRPr="00C90F7E" w:rsidRDefault="00915600" w:rsidP="0024428F">
            <w:pPr>
              <w:pStyle w:val="NormalArial"/>
              <w:rPr>
                <w:i/>
                <w:sz w:val="20"/>
              </w:rPr>
            </w:pPr>
          </w:p>
        </w:tc>
      </w:tr>
      <w:tr w:rsidR="00915600" w:rsidRPr="00C90F7E" w:rsidTr="0024428F">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915600" w:rsidRPr="00E41BCF" w:rsidRDefault="00915600" w:rsidP="0024428F">
            <w:pPr>
              <w:pStyle w:val="Header"/>
              <w:jc w:val="center"/>
            </w:pPr>
          </w:p>
        </w:tc>
        <w:tc>
          <w:tcPr>
            <w:tcW w:w="360" w:type="dxa"/>
            <w:tcBorders>
              <w:top w:val="single" w:sz="8" w:space="0" w:color="auto"/>
              <w:bottom w:val="single" w:sz="12" w:space="0" w:color="auto"/>
            </w:tcBorders>
            <w:vAlign w:val="center"/>
          </w:tcPr>
          <w:p w:rsidR="00915600" w:rsidRDefault="00915600" w:rsidP="0024428F">
            <w:pPr>
              <w:pStyle w:val="NormalArial"/>
              <w:jc w:val="center"/>
              <w:rPr>
                <w:sz w:val="20"/>
              </w:rPr>
            </w:pPr>
            <w:r>
              <w:rPr>
                <w:sz w:val="20"/>
              </w:rPr>
              <w:t>4</w:t>
            </w:r>
          </w:p>
        </w:tc>
        <w:tc>
          <w:tcPr>
            <w:tcW w:w="3600" w:type="dxa"/>
            <w:tcBorders>
              <w:top w:val="single" w:sz="8" w:space="0" w:color="auto"/>
              <w:bottom w:val="single" w:sz="12" w:space="0" w:color="auto"/>
            </w:tcBorders>
            <w:vAlign w:val="center"/>
          </w:tcPr>
          <w:p w:rsidR="00915600" w:rsidRPr="00C90F7E" w:rsidRDefault="00915600" w:rsidP="0024428F">
            <w:pPr>
              <w:pStyle w:val="NormalArial"/>
              <w:rPr>
                <w:i/>
                <w:sz w:val="20"/>
              </w:rPr>
            </w:pPr>
          </w:p>
        </w:tc>
        <w:tc>
          <w:tcPr>
            <w:tcW w:w="4673" w:type="dxa"/>
            <w:tcBorders>
              <w:top w:val="single" w:sz="8" w:space="0" w:color="auto"/>
              <w:bottom w:val="single" w:sz="12" w:space="0" w:color="auto"/>
            </w:tcBorders>
            <w:vAlign w:val="center"/>
          </w:tcPr>
          <w:p w:rsidR="00915600" w:rsidRPr="00C90F7E" w:rsidRDefault="00915600" w:rsidP="0024428F">
            <w:pPr>
              <w:pStyle w:val="NormalArial"/>
              <w:rPr>
                <w:i/>
                <w:sz w:val="20"/>
              </w:rPr>
            </w:pPr>
          </w:p>
        </w:tc>
      </w:tr>
      <w:tr w:rsidR="00915600" w:rsidRPr="000C3592" w:rsidTr="0024428F">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right w:val="single" w:sz="4" w:space="0" w:color="auto"/>
            </w:tcBorders>
            <w:shd w:val="clear" w:color="auto" w:fill="auto"/>
            <w:vAlign w:val="center"/>
          </w:tcPr>
          <w:p w:rsidR="00915600" w:rsidRPr="00E41BCF" w:rsidRDefault="00915600" w:rsidP="0024428F">
            <w:pPr>
              <w:pStyle w:val="Header"/>
              <w:jc w:val="center"/>
            </w:pPr>
            <w:r w:rsidRPr="00E41BCF">
              <w:t>Market Benefit</w:t>
            </w:r>
          </w:p>
        </w:tc>
        <w:tc>
          <w:tcPr>
            <w:tcW w:w="360" w:type="dxa"/>
            <w:tcBorders>
              <w:top w:val="single" w:sz="12" w:space="0" w:color="auto"/>
              <w:left w:val="single" w:sz="4" w:space="0" w:color="auto"/>
              <w:bottom w:val="single" w:sz="8" w:space="0" w:color="auto"/>
            </w:tcBorders>
            <w:shd w:val="clear" w:color="auto" w:fill="auto"/>
            <w:vAlign w:val="center"/>
          </w:tcPr>
          <w:p w:rsidR="00915600" w:rsidRDefault="00915600" w:rsidP="0024428F">
            <w:pPr>
              <w:pStyle w:val="NormalArial"/>
              <w:jc w:val="center"/>
              <w:rPr>
                <w:sz w:val="20"/>
              </w:rPr>
            </w:pPr>
          </w:p>
        </w:tc>
        <w:tc>
          <w:tcPr>
            <w:tcW w:w="3600" w:type="dxa"/>
            <w:tcBorders>
              <w:top w:val="single" w:sz="12" w:space="0" w:color="auto"/>
              <w:bottom w:val="single" w:sz="8" w:space="0" w:color="auto"/>
            </w:tcBorders>
            <w:shd w:val="clear" w:color="auto" w:fill="auto"/>
            <w:vAlign w:val="center"/>
          </w:tcPr>
          <w:p w:rsidR="00915600" w:rsidRPr="000C3592" w:rsidRDefault="00915600" w:rsidP="0024428F">
            <w:pPr>
              <w:pStyle w:val="NormalArial"/>
              <w:jc w:val="center"/>
              <w:rPr>
                <w:b/>
                <w:sz w:val="20"/>
              </w:rPr>
            </w:pPr>
            <w:r>
              <w:rPr>
                <w:b/>
                <w:sz w:val="20"/>
              </w:rPr>
              <w:t>Impact Area</w:t>
            </w:r>
          </w:p>
        </w:tc>
        <w:tc>
          <w:tcPr>
            <w:tcW w:w="4673" w:type="dxa"/>
            <w:tcBorders>
              <w:top w:val="single" w:sz="12" w:space="0" w:color="auto"/>
              <w:bottom w:val="single" w:sz="8" w:space="0" w:color="auto"/>
            </w:tcBorders>
            <w:shd w:val="clear" w:color="auto" w:fill="auto"/>
            <w:vAlign w:val="center"/>
          </w:tcPr>
          <w:p w:rsidR="00915600" w:rsidRPr="000C3592" w:rsidRDefault="00915600" w:rsidP="0024428F">
            <w:pPr>
              <w:pStyle w:val="NormalArial"/>
              <w:jc w:val="center"/>
              <w:rPr>
                <w:b/>
                <w:sz w:val="20"/>
              </w:rPr>
            </w:pPr>
            <w:r>
              <w:rPr>
                <w:b/>
                <w:sz w:val="20"/>
              </w:rPr>
              <w:t>Monetary Impact</w:t>
            </w:r>
          </w:p>
        </w:tc>
      </w:tr>
      <w:tr w:rsidR="00915600" w:rsidRPr="00C90F7E" w:rsidTr="0024428F">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915600" w:rsidRPr="00E41BCF" w:rsidRDefault="00915600" w:rsidP="0024428F">
            <w:pPr>
              <w:pStyle w:val="Header"/>
              <w:jc w:val="center"/>
            </w:pPr>
          </w:p>
        </w:tc>
        <w:tc>
          <w:tcPr>
            <w:tcW w:w="360" w:type="dxa"/>
            <w:tcBorders>
              <w:top w:val="single" w:sz="8" w:space="0" w:color="auto"/>
              <w:bottom w:val="single" w:sz="8" w:space="0" w:color="auto"/>
            </w:tcBorders>
            <w:vAlign w:val="center"/>
          </w:tcPr>
          <w:p w:rsidR="00915600" w:rsidRDefault="00915600" w:rsidP="0024428F">
            <w:pPr>
              <w:pStyle w:val="NormalArial"/>
              <w:jc w:val="center"/>
              <w:rPr>
                <w:sz w:val="20"/>
              </w:rPr>
            </w:pPr>
            <w:r>
              <w:rPr>
                <w:sz w:val="20"/>
              </w:rPr>
              <w:t>1</w:t>
            </w:r>
          </w:p>
        </w:tc>
        <w:tc>
          <w:tcPr>
            <w:tcW w:w="3600" w:type="dxa"/>
            <w:tcBorders>
              <w:top w:val="single" w:sz="8" w:space="0" w:color="auto"/>
              <w:bottom w:val="single" w:sz="8" w:space="0" w:color="auto"/>
            </w:tcBorders>
            <w:vAlign w:val="center"/>
          </w:tcPr>
          <w:p w:rsidR="00915600" w:rsidRPr="00C90F7E" w:rsidRDefault="00915600" w:rsidP="0024428F">
            <w:pPr>
              <w:pStyle w:val="NormalArial"/>
              <w:rPr>
                <w:i/>
                <w:sz w:val="20"/>
              </w:rPr>
            </w:pPr>
            <w:r w:rsidRPr="00156E9F">
              <w:rPr>
                <w:i/>
                <w:sz w:val="20"/>
              </w:rPr>
              <w:t>More accurate representation of actual costs in the DAM.</w:t>
            </w:r>
          </w:p>
        </w:tc>
        <w:tc>
          <w:tcPr>
            <w:tcW w:w="4673" w:type="dxa"/>
            <w:tcBorders>
              <w:top w:val="single" w:sz="8" w:space="0" w:color="auto"/>
              <w:bottom w:val="single" w:sz="8" w:space="0" w:color="auto"/>
            </w:tcBorders>
            <w:vAlign w:val="center"/>
          </w:tcPr>
          <w:p w:rsidR="00915600" w:rsidRPr="00C90F7E" w:rsidRDefault="00915600" w:rsidP="0024428F">
            <w:pPr>
              <w:pStyle w:val="NormalArial"/>
              <w:rPr>
                <w:i/>
                <w:sz w:val="20"/>
              </w:rPr>
            </w:pPr>
            <w:r>
              <w:rPr>
                <w:i/>
                <w:sz w:val="20"/>
              </w:rPr>
              <w:t>Unknown.</w:t>
            </w:r>
          </w:p>
        </w:tc>
      </w:tr>
      <w:tr w:rsidR="00915600" w:rsidRPr="00C90F7E" w:rsidTr="0024428F">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915600" w:rsidRPr="00E41BCF" w:rsidRDefault="00915600" w:rsidP="0024428F">
            <w:pPr>
              <w:pStyle w:val="Header"/>
              <w:jc w:val="center"/>
            </w:pPr>
          </w:p>
        </w:tc>
        <w:tc>
          <w:tcPr>
            <w:tcW w:w="360" w:type="dxa"/>
            <w:tcBorders>
              <w:top w:val="single" w:sz="8" w:space="0" w:color="auto"/>
              <w:bottom w:val="single" w:sz="8" w:space="0" w:color="auto"/>
            </w:tcBorders>
            <w:vAlign w:val="center"/>
          </w:tcPr>
          <w:p w:rsidR="00915600" w:rsidRDefault="00915600" w:rsidP="0024428F">
            <w:pPr>
              <w:pStyle w:val="NormalArial"/>
              <w:jc w:val="center"/>
              <w:rPr>
                <w:sz w:val="20"/>
              </w:rPr>
            </w:pPr>
            <w:r>
              <w:rPr>
                <w:sz w:val="20"/>
              </w:rPr>
              <w:t>2</w:t>
            </w:r>
          </w:p>
        </w:tc>
        <w:tc>
          <w:tcPr>
            <w:tcW w:w="3600" w:type="dxa"/>
            <w:tcBorders>
              <w:top w:val="single" w:sz="8" w:space="0" w:color="auto"/>
              <w:bottom w:val="single" w:sz="8" w:space="0" w:color="auto"/>
            </w:tcBorders>
            <w:vAlign w:val="center"/>
          </w:tcPr>
          <w:p w:rsidR="00915600" w:rsidRPr="00C90F7E" w:rsidRDefault="00915600" w:rsidP="0024428F">
            <w:pPr>
              <w:pStyle w:val="NormalArial"/>
              <w:rPr>
                <w:i/>
                <w:sz w:val="20"/>
              </w:rPr>
            </w:pPr>
          </w:p>
        </w:tc>
        <w:tc>
          <w:tcPr>
            <w:tcW w:w="4673" w:type="dxa"/>
            <w:tcBorders>
              <w:top w:val="single" w:sz="8" w:space="0" w:color="auto"/>
              <w:bottom w:val="single" w:sz="8" w:space="0" w:color="auto"/>
            </w:tcBorders>
            <w:vAlign w:val="center"/>
          </w:tcPr>
          <w:p w:rsidR="00915600" w:rsidRPr="00C90F7E" w:rsidRDefault="00915600" w:rsidP="0024428F">
            <w:pPr>
              <w:pStyle w:val="NormalArial"/>
              <w:rPr>
                <w:i/>
                <w:sz w:val="20"/>
              </w:rPr>
            </w:pPr>
          </w:p>
        </w:tc>
      </w:tr>
      <w:tr w:rsidR="00915600" w:rsidRPr="00C90F7E" w:rsidTr="0024428F">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915600" w:rsidRPr="00E41BCF" w:rsidRDefault="00915600" w:rsidP="0024428F">
            <w:pPr>
              <w:pStyle w:val="Header"/>
              <w:jc w:val="center"/>
            </w:pPr>
          </w:p>
        </w:tc>
        <w:tc>
          <w:tcPr>
            <w:tcW w:w="360" w:type="dxa"/>
            <w:tcBorders>
              <w:top w:val="single" w:sz="8" w:space="0" w:color="auto"/>
              <w:bottom w:val="single" w:sz="8" w:space="0" w:color="auto"/>
            </w:tcBorders>
            <w:vAlign w:val="center"/>
          </w:tcPr>
          <w:p w:rsidR="00915600" w:rsidRDefault="00915600" w:rsidP="0024428F">
            <w:pPr>
              <w:pStyle w:val="NormalArial"/>
              <w:jc w:val="center"/>
              <w:rPr>
                <w:sz w:val="20"/>
              </w:rPr>
            </w:pPr>
            <w:r>
              <w:rPr>
                <w:sz w:val="20"/>
              </w:rPr>
              <w:t>3</w:t>
            </w:r>
          </w:p>
        </w:tc>
        <w:tc>
          <w:tcPr>
            <w:tcW w:w="3600" w:type="dxa"/>
            <w:tcBorders>
              <w:top w:val="single" w:sz="8" w:space="0" w:color="auto"/>
              <w:bottom w:val="single" w:sz="8" w:space="0" w:color="auto"/>
            </w:tcBorders>
            <w:vAlign w:val="center"/>
          </w:tcPr>
          <w:p w:rsidR="00915600" w:rsidRPr="00C90F7E" w:rsidRDefault="00915600" w:rsidP="0024428F">
            <w:pPr>
              <w:pStyle w:val="NormalArial"/>
              <w:rPr>
                <w:i/>
                <w:sz w:val="20"/>
              </w:rPr>
            </w:pPr>
          </w:p>
        </w:tc>
        <w:tc>
          <w:tcPr>
            <w:tcW w:w="4673" w:type="dxa"/>
            <w:tcBorders>
              <w:top w:val="single" w:sz="8" w:space="0" w:color="auto"/>
              <w:bottom w:val="single" w:sz="8" w:space="0" w:color="auto"/>
            </w:tcBorders>
            <w:vAlign w:val="center"/>
          </w:tcPr>
          <w:p w:rsidR="00915600" w:rsidRPr="00C90F7E" w:rsidRDefault="00915600" w:rsidP="0024428F">
            <w:pPr>
              <w:pStyle w:val="NormalArial"/>
              <w:rPr>
                <w:i/>
                <w:sz w:val="20"/>
              </w:rPr>
            </w:pPr>
          </w:p>
        </w:tc>
      </w:tr>
      <w:tr w:rsidR="00915600" w:rsidRPr="00C90F7E" w:rsidTr="0024428F">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915600" w:rsidRPr="00E41BCF" w:rsidRDefault="00915600" w:rsidP="0024428F">
            <w:pPr>
              <w:pStyle w:val="Header"/>
              <w:jc w:val="center"/>
            </w:pPr>
          </w:p>
        </w:tc>
        <w:tc>
          <w:tcPr>
            <w:tcW w:w="360" w:type="dxa"/>
            <w:tcBorders>
              <w:top w:val="single" w:sz="8" w:space="0" w:color="auto"/>
              <w:bottom w:val="single" w:sz="12" w:space="0" w:color="auto"/>
            </w:tcBorders>
            <w:vAlign w:val="center"/>
          </w:tcPr>
          <w:p w:rsidR="00915600" w:rsidRDefault="00915600" w:rsidP="0024428F">
            <w:pPr>
              <w:pStyle w:val="NormalArial"/>
              <w:jc w:val="center"/>
              <w:rPr>
                <w:sz w:val="20"/>
              </w:rPr>
            </w:pPr>
            <w:r>
              <w:rPr>
                <w:sz w:val="20"/>
              </w:rPr>
              <w:t>4</w:t>
            </w:r>
          </w:p>
        </w:tc>
        <w:tc>
          <w:tcPr>
            <w:tcW w:w="3600" w:type="dxa"/>
            <w:tcBorders>
              <w:top w:val="single" w:sz="8" w:space="0" w:color="auto"/>
              <w:bottom w:val="single" w:sz="12" w:space="0" w:color="auto"/>
            </w:tcBorders>
            <w:vAlign w:val="center"/>
          </w:tcPr>
          <w:p w:rsidR="00915600" w:rsidRPr="00C90F7E" w:rsidRDefault="00915600" w:rsidP="0024428F">
            <w:pPr>
              <w:pStyle w:val="NormalArial"/>
              <w:rPr>
                <w:i/>
                <w:sz w:val="20"/>
              </w:rPr>
            </w:pPr>
          </w:p>
        </w:tc>
        <w:tc>
          <w:tcPr>
            <w:tcW w:w="4673" w:type="dxa"/>
            <w:tcBorders>
              <w:top w:val="single" w:sz="8" w:space="0" w:color="auto"/>
              <w:bottom w:val="single" w:sz="12" w:space="0" w:color="auto"/>
            </w:tcBorders>
            <w:vAlign w:val="center"/>
          </w:tcPr>
          <w:p w:rsidR="00915600" w:rsidRPr="00C90F7E" w:rsidRDefault="00915600" w:rsidP="0024428F">
            <w:pPr>
              <w:pStyle w:val="NormalArial"/>
              <w:rPr>
                <w:i/>
                <w:sz w:val="20"/>
              </w:rPr>
            </w:pPr>
          </w:p>
        </w:tc>
      </w:tr>
      <w:tr w:rsidR="00915600" w:rsidRPr="00B40AA6" w:rsidTr="0024428F">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915600" w:rsidRPr="00E41BCF" w:rsidRDefault="00915600" w:rsidP="0024428F">
            <w:pPr>
              <w:pStyle w:val="Header"/>
            </w:pPr>
            <w:r w:rsidRPr="00E41BCF">
              <w:t>Additional Qualitative Information</w:t>
            </w:r>
          </w:p>
        </w:tc>
        <w:tc>
          <w:tcPr>
            <w:tcW w:w="360" w:type="dxa"/>
            <w:tcBorders>
              <w:top w:val="single" w:sz="12" w:space="0" w:color="auto"/>
              <w:bottom w:val="single" w:sz="8" w:space="0" w:color="auto"/>
            </w:tcBorders>
            <w:vAlign w:val="center"/>
          </w:tcPr>
          <w:p w:rsidR="00915600" w:rsidRDefault="00915600" w:rsidP="0024428F">
            <w:pPr>
              <w:pStyle w:val="NormalArial"/>
              <w:jc w:val="center"/>
              <w:rPr>
                <w:sz w:val="20"/>
              </w:rPr>
            </w:pPr>
            <w:r>
              <w:rPr>
                <w:sz w:val="20"/>
              </w:rPr>
              <w:t>1</w:t>
            </w:r>
          </w:p>
        </w:tc>
        <w:tc>
          <w:tcPr>
            <w:tcW w:w="8273" w:type="dxa"/>
            <w:gridSpan w:val="2"/>
            <w:tcBorders>
              <w:top w:val="single" w:sz="12" w:space="0" w:color="auto"/>
              <w:bottom w:val="single" w:sz="8" w:space="0" w:color="auto"/>
            </w:tcBorders>
            <w:vAlign w:val="center"/>
          </w:tcPr>
          <w:p w:rsidR="00915600" w:rsidRPr="00B40AA6" w:rsidRDefault="00915600" w:rsidP="0024428F">
            <w:pPr>
              <w:pStyle w:val="NormalArial"/>
              <w:rPr>
                <w:i/>
                <w:sz w:val="20"/>
              </w:rPr>
            </w:pPr>
          </w:p>
        </w:tc>
      </w:tr>
      <w:tr w:rsidR="00915600" w:rsidRPr="00B40AA6" w:rsidTr="0024428F">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915600" w:rsidRPr="00E41BCF" w:rsidRDefault="00915600" w:rsidP="0024428F">
            <w:pPr>
              <w:pStyle w:val="Header"/>
              <w:jc w:val="center"/>
            </w:pPr>
          </w:p>
        </w:tc>
        <w:tc>
          <w:tcPr>
            <w:tcW w:w="360" w:type="dxa"/>
            <w:tcBorders>
              <w:top w:val="single" w:sz="8" w:space="0" w:color="auto"/>
              <w:bottom w:val="single" w:sz="8" w:space="0" w:color="auto"/>
            </w:tcBorders>
            <w:vAlign w:val="center"/>
          </w:tcPr>
          <w:p w:rsidR="00915600" w:rsidRDefault="00915600" w:rsidP="0024428F">
            <w:pPr>
              <w:pStyle w:val="NormalArial"/>
              <w:jc w:val="center"/>
              <w:rPr>
                <w:sz w:val="20"/>
              </w:rPr>
            </w:pPr>
            <w:r>
              <w:rPr>
                <w:sz w:val="20"/>
              </w:rPr>
              <w:t>2</w:t>
            </w:r>
          </w:p>
        </w:tc>
        <w:tc>
          <w:tcPr>
            <w:tcW w:w="8273" w:type="dxa"/>
            <w:gridSpan w:val="2"/>
            <w:tcBorders>
              <w:top w:val="single" w:sz="8" w:space="0" w:color="auto"/>
              <w:bottom w:val="single" w:sz="8" w:space="0" w:color="auto"/>
            </w:tcBorders>
            <w:vAlign w:val="center"/>
          </w:tcPr>
          <w:p w:rsidR="00915600" w:rsidRPr="00B40AA6" w:rsidRDefault="00915600" w:rsidP="0024428F">
            <w:pPr>
              <w:pStyle w:val="NormalArial"/>
              <w:rPr>
                <w:i/>
                <w:sz w:val="20"/>
              </w:rPr>
            </w:pPr>
          </w:p>
        </w:tc>
      </w:tr>
      <w:tr w:rsidR="00915600" w:rsidRPr="00B40AA6" w:rsidTr="0024428F">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915600" w:rsidRPr="00E41BCF" w:rsidRDefault="00915600" w:rsidP="0024428F">
            <w:pPr>
              <w:pStyle w:val="Header"/>
            </w:pPr>
          </w:p>
        </w:tc>
        <w:tc>
          <w:tcPr>
            <w:tcW w:w="360" w:type="dxa"/>
            <w:tcBorders>
              <w:top w:val="single" w:sz="8" w:space="0" w:color="auto"/>
              <w:bottom w:val="single" w:sz="8" w:space="0" w:color="auto"/>
            </w:tcBorders>
            <w:vAlign w:val="center"/>
          </w:tcPr>
          <w:p w:rsidR="00915600" w:rsidRDefault="00915600" w:rsidP="0024428F">
            <w:pPr>
              <w:pStyle w:val="NormalArial"/>
              <w:jc w:val="center"/>
              <w:rPr>
                <w:sz w:val="20"/>
              </w:rPr>
            </w:pPr>
            <w:r>
              <w:rPr>
                <w:sz w:val="20"/>
              </w:rPr>
              <w:t>3</w:t>
            </w:r>
          </w:p>
        </w:tc>
        <w:tc>
          <w:tcPr>
            <w:tcW w:w="8273" w:type="dxa"/>
            <w:gridSpan w:val="2"/>
            <w:tcBorders>
              <w:top w:val="single" w:sz="8" w:space="0" w:color="auto"/>
              <w:bottom w:val="single" w:sz="8" w:space="0" w:color="auto"/>
            </w:tcBorders>
            <w:vAlign w:val="center"/>
          </w:tcPr>
          <w:p w:rsidR="00915600" w:rsidRPr="00B40AA6" w:rsidRDefault="00915600" w:rsidP="0024428F">
            <w:pPr>
              <w:pStyle w:val="NormalArial"/>
              <w:rPr>
                <w:i/>
                <w:sz w:val="20"/>
              </w:rPr>
            </w:pPr>
          </w:p>
        </w:tc>
      </w:tr>
      <w:tr w:rsidR="00915600" w:rsidRPr="00B40AA6" w:rsidTr="0024428F">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915600" w:rsidRPr="00E41BCF" w:rsidRDefault="00915600" w:rsidP="0024428F">
            <w:pPr>
              <w:pStyle w:val="Header"/>
            </w:pPr>
          </w:p>
        </w:tc>
        <w:tc>
          <w:tcPr>
            <w:tcW w:w="360" w:type="dxa"/>
            <w:tcBorders>
              <w:top w:val="single" w:sz="8" w:space="0" w:color="auto"/>
              <w:bottom w:val="single" w:sz="12" w:space="0" w:color="auto"/>
            </w:tcBorders>
            <w:vAlign w:val="center"/>
          </w:tcPr>
          <w:p w:rsidR="00915600" w:rsidRDefault="00915600" w:rsidP="0024428F">
            <w:pPr>
              <w:pStyle w:val="NormalArial"/>
              <w:jc w:val="center"/>
              <w:rPr>
                <w:sz w:val="20"/>
              </w:rPr>
            </w:pPr>
            <w:r>
              <w:rPr>
                <w:sz w:val="20"/>
              </w:rPr>
              <w:t>4</w:t>
            </w:r>
          </w:p>
        </w:tc>
        <w:tc>
          <w:tcPr>
            <w:tcW w:w="8273" w:type="dxa"/>
            <w:gridSpan w:val="2"/>
            <w:tcBorders>
              <w:top w:val="single" w:sz="8" w:space="0" w:color="auto"/>
              <w:bottom w:val="single" w:sz="12" w:space="0" w:color="auto"/>
            </w:tcBorders>
            <w:vAlign w:val="center"/>
          </w:tcPr>
          <w:p w:rsidR="00915600" w:rsidRPr="00B40AA6" w:rsidRDefault="00915600" w:rsidP="0024428F">
            <w:pPr>
              <w:pStyle w:val="NormalArial"/>
              <w:rPr>
                <w:i/>
                <w:sz w:val="20"/>
              </w:rPr>
            </w:pPr>
          </w:p>
        </w:tc>
      </w:tr>
      <w:tr w:rsidR="00915600" w:rsidRPr="00E966F7" w:rsidTr="0024428F">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915600" w:rsidRPr="00E41BCF" w:rsidRDefault="00915600" w:rsidP="0024428F">
            <w:pPr>
              <w:pStyle w:val="Header"/>
              <w:jc w:val="center"/>
            </w:pPr>
            <w:r w:rsidRPr="00E41BCF">
              <w:t>Other Comments</w:t>
            </w:r>
          </w:p>
        </w:tc>
        <w:tc>
          <w:tcPr>
            <w:tcW w:w="360" w:type="dxa"/>
            <w:tcBorders>
              <w:top w:val="single" w:sz="12" w:space="0" w:color="auto"/>
              <w:bottom w:val="single" w:sz="8" w:space="0" w:color="auto"/>
            </w:tcBorders>
            <w:vAlign w:val="center"/>
          </w:tcPr>
          <w:p w:rsidR="00915600" w:rsidRDefault="00915600" w:rsidP="0024428F">
            <w:pPr>
              <w:pStyle w:val="NormalArial"/>
              <w:jc w:val="center"/>
              <w:rPr>
                <w:sz w:val="20"/>
              </w:rPr>
            </w:pPr>
            <w:r>
              <w:rPr>
                <w:sz w:val="20"/>
              </w:rPr>
              <w:t>1</w:t>
            </w:r>
          </w:p>
        </w:tc>
        <w:tc>
          <w:tcPr>
            <w:tcW w:w="8273" w:type="dxa"/>
            <w:gridSpan w:val="2"/>
            <w:tcBorders>
              <w:top w:val="single" w:sz="12" w:space="0" w:color="auto"/>
              <w:bottom w:val="single" w:sz="8" w:space="0" w:color="auto"/>
            </w:tcBorders>
            <w:vAlign w:val="center"/>
          </w:tcPr>
          <w:p w:rsidR="00915600" w:rsidRPr="00E966F7" w:rsidRDefault="00915600" w:rsidP="0024428F">
            <w:pPr>
              <w:pStyle w:val="NormalArial"/>
              <w:rPr>
                <w:i/>
                <w:sz w:val="20"/>
              </w:rPr>
            </w:pPr>
          </w:p>
        </w:tc>
      </w:tr>
      <w:tr w:rsidR="00915600" w:rsidRPr="00E966F7" w:rsidTr="0024428F">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915600" w:rsidRPr="00E966F7" w:rsidRDefault="00915600" w:rsidP="0024428F">
            <w:pPr>
              <w:pStyle w:val="Header"/>
              <w:jc w:val="center"/>
              <w:rPr>
                <w:sz w:val="20"/>
                <w:szCs w:val="20"/>
              </w:rPr>
            </w:pPr>
          </w:p>
        </w:tc>
        <w:tc>
          <w:tcPr>
            <w:tcW w:w="360" w:type="dxa"/>
            <w:tcBorders>
              <w:top w:val="single" w:sz="8" w:space="0" w:color="auto"/>
            </w:tcBorders>
            <w:vAlign w:val="center"/>
          </w:tcPr>
          <w:p w:rsidR="00915600" w:rsidRDefault="00915600" w:rsidP="0024428F">
            <w:pPr>
              <w:pStyle w:val="NormalArial"/>
              <w:jc w:val="center"/>
              <w:rPr>
                <w:sz w:val="20"/>
              </w:rPr>
            </w:pPr>
            <w:r>
              <w:rPr>
                <w:sz w:val="20"/>
              </w:rPr>
              <w:t>2</w:t>
            </w:r>
          </w:p>
        </w:tc>
        <w:tc>
          <w:tcPr>
            <w:tcW w:w="8273" w:type="dxa"/>
            <w:gridSpan w:val="2"/>
            <w:tcBorders>
              <w:top w:val="single" w:sz="8" w:space="0" w:color="auto"/>
            </w:tcBorders>
            <w:vAlign w:val="center"/>
          </w:tcPr>
          <w:p w:rsidR="00915600" w:rsidRPr="00E966F7" w:rsidRDefault="00915600" w:rsidP="0024428F">
            <w:pPr>
              <w:pStyle w:val="NormalArial"/>
              <w:rPr>
                <w:i/>
                <w:sz w:val="20"/>
              </w:rPr>
            </w:pPr>
          </w:p>
        </w:tc>
      </w:tr>
      <w:tr w:rsidR="00915600" w:rsidRPr="00E966F7" w:rsidTr="0024428F">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915600" w:rsidRPr="00E966F7" w:rsidRDefault="00915600" w:rsidP="0024428F">
            <w:pPr>
              <w:pStyle w:val="Header"/>
            </w:pPr>
          </w:p>
        </w:tc>
        <w:tc>
          <w:tcPr>
            <w:tcW w:w="360" w:type="dxa"/>
            <w:tcBorders>
              <w:top w:val="single" w:sz="8" w:space="0" w:color="auto"/>
              <w:bottom w:val="single" w:sz="8" w:space="0" w:color="auto"/>
            </w:tcBorders>
            <w:vAlign w:val="center"/>
          </w:tcPr>
          <w:p w:rsidR="00915600" w:rsidRDefault="00915600" w:rsidP="0024428F">
            <w:pPr>
              <w:pStyle w:val="NormalArial"/>
              <w:jc w:val="center"/>
              <w:rPr>
                <w:sz w:val="20"/>
              </w:rPr>
            </w:pPr>
            <w:r>
              <w:rPr>
                <w:sz w:val="20"/>
              </w:rPr>
              <w:t>3</w:t>
            </w:r>
          </w:p>
        </w:tc>
        <w:tc>
          <w:tcPr>
            <w:tcW w:w="8273" w:type="dxa"/>
            <w:gridSpan w:val="2"/>
            <w:tcBorders>
              <w:top w:val="single" w:sz="8" w:space="0" w:color="auto"/>
              <w:bottom w:val="single" w:sz="8" w:space="0" w:color="auto"/>
            </w:tcBorders>
            <w:vAlign w:val="center"/>
          </w:tcPr>
          <w:p w:rsidR="00915600" w:rsidRPr="00E966F7" w:rsidRDefault="00915600" w:rsidP="0024428F">
            <w:pPr>
              <w:pStyle w:val="NormalArial"/>
              <w:rPr>
                <w:i/>
                <w:sz w:val="20"/>
              </w:rPr>
            </w:pPr>
          </w:p>
        </w:tc>
      </w:tr>
      <w:tr w:rsidR="00915600" w:rsidRPr="00E966F7" w:rsidTr="0024428F">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8" w:space="0" w:color="auto"/>
            </w:tcBorders>
            <w:vAlign w:val="center"/>
          </w:tcPr>
          <w:p w:rsidR="00915600" w:rsidRPr="00E966F7" w:rsidRDefault="00915600" w:rsidP="0024428F">
            <w:pPr>
              <w:pStyle w:val="Header"/>
            </w:pPr>
          </w:p>
        </w:tc>
        <w:tc>
          <w:tcPr>
            <w:tcW w:w="360" w:type="dxa"/>
            <w:tcBorders>
              <w:top w:val="single" w:sz="8" w:space="0" w:color="auto"/>
              <w:bottom w:val="single" w:sz="8" w:space="0" w:color="auto"/>
            </w:tcBorders>
            <w:vAlign w:val="center"/>
          </w:tcPr>
          <w:p w:rsidR="00915600" w:rsidRDefault="00915600" w:rsidP="0024428F">
            <w:pPr>
              <w:pStyle w:val="NormalArial"/>
              <w:jc w:val="center"/>
              <w:rPr>
                <w:sz w:val="20"/>
              </w:rPr>
            </w:pPr>
            <w:r>
              <w:rPr>
                <w:sz w:val="20"/>
              </w:rPr>
              <w:t>4</w:t>
            </w:r>
          </w:p>
        </w:tc>
        <w:tc>
          <w:tcPr>
            <w:tcW w:w="8273" w:type="dxa"/>
            <w:gridSpan w:val="2"/>
            <w:tcBorders>
              <w:top w:val="single" w:sz="8" w:space="0" w:color="auto"/>
              <w:bottom w:val="single" w:sz="8" w:space="0" w:color="auto"/>
            </w:tcBorders>
            <w:vAlign w:val="center"/>
          </w:tcPr>
          <w:p w:rsidR="00915600" w:rsidRPr="00E966F7" w:rsidRDefault="00915600" w:rsidP="0024428F">
            <w:pPr>
              <w:pStyle w:val="NormalArial"/>
              <w:rPr>
                <w:i/>
                <w:sz w:val="20"/>
              </w:rPr>
            </w:pPr>
          </w:p>
        </w:tc>
      </w:tr>
    </w:tbl>
    <w:p w:rsidR="00915600" w:rsidRDefault="00915600" w:rsidP="00915600"/>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915600" w:rsidTr="0024428F">
        <w:tblPrEx>
          <w:tblCellMar>
            <w:top w:w="0" w:type="dxa"/>
            <w:bottom w:w="0" w:type="dxa"/>
          </w:tblCellMar>
        </w:tblPrEx>
        <w:trPr>
          <w:trHeight w:val="432"/>
        </w:trPr>
        <w:tc>
          <w:tcPr>
            <w:tcW w:w="10440" w:type="dxa"/>
            <w:gridSpan w:val="2"/>
            <w:tcBorders>
              <w:top w:val="single" w:sz="4" w:space="0" w:color="auto"/>
            </w:tcBorders>
            <w:shd w:val="clear" w:color="auto" w:fill="FFFFFF"/>
            <w:vAlign w:val="center"/>
          </w:tcPr>
          <w:p w:rsidR="00915600" w:rsidRDefault="00915600" w:rsidP="0024428F">
            <w:pPr>
              <w:pStyle w:val="Header"/>
              <w:jc w:val="center"/>
            </w:pPr>
            <w:r>
              <w:t>Sponsor</w:t>
            </w:r>
          </w:p>
        </w:tc>
      </w:tr>
      <w:tr w:rsidR="00915600" w:rsidTr="0024428F">
        <w:tblPrEx>
          <w:tblCellMar>
            <w:top w:w="0" w:type="dxa"/>
            <w:bottom w:w="0" w:type="dxa"/>
          </w:tblCellMar>
        </w:tblPrEx>
        <w:trPr>
          <w:trHeight w:val="432"/>
        </w:trPr>
        <w:tc>
          <w:tcPr>
            <w:tcW w:w="2880" w:type="dxa"/>
            <w:shd w:val="clear" w:color="auto" w:fill="FFFFFF"/>
            <w:vAlign w:val="center"/>
          </w:tcPr>
          <w:p w:rsidR="00915600" w:rsidRPr="00B93CA0" w:rsidRDefault="00915600" w:rsidP="0024428F">
            <w:pPr>
              <w:pStyle w:val="Header"/>
              <w:rPr>
                <w:bCs w:val="0"/>
              </w:rPr>
            </w:pPr>
            <w:r w:rsidRPr="00B93CA0">
              <w:rPr>
                <w:bCs w:val="0"/>
              </w:rPr>
              <w:t>Name</w:t>
            </w:r>
          </w:p>
        </w:tc>
        <w:tc>
          <w:tcPr>
            <w:tcW w:w="7560" w:type="dxa"/>
            <w:vAlign w:val="center"/>
          </w:tcPr>
          <w:p w:rsidR="00915600" w:rsidRDefault="00915600" w:rsidP="0024428F">
            <w:pPr>
              <w:pStyle w:val="NormalArial"/>
            </w:pPr>
            <w:r>
              <w:t>Ino Gonzaléz</w:t>
            </w:r>
          </w:p>
        </w:tc>
      </w:tr>
      <w:tr w:rsidR="00915600" w:rsidTr="0024428F">
        <w:tblPrEx>
          <w:tblCellMar>
            <w:top w:w="0" w:type="dxa"/>
            <w:bottom w:w="0" w:type="dxa"/>
          </w:tblCellMar>
        </w:tblPrEx>
        <w:trPr>
          <w:trHeight w:val="432"/>
        </w:trPr>
        <w:tc>
          <w:tcPr>
            <w:tcW w:w="2880" w:type="dxa"/>
            <w:shd w:val="clear" w:color="auto" w:fill="FFFFFF"/>
            <w:vAlign w:val="center"/>
          </w:tcPr>
          <w:p w:rsidR="00915600" w:rsidRPr="00B93CA0" w:rsidRDefault="00915600" w:rsidP="0024428F">
            <w:pPr>
              <w:pStyle w:val="Header"/>
              <w:rPr>
                <w:bCs w:val="0"/>
              </w:rPr>
            </w:pPr>
            <w:r w:rsidRPr="00B93CA0">
              <w:rPr>
                <w:bCs w:val="0"/>
              </w:rPr>
              <w:t>E-mail Address</w:t>
            </w:r>
          </w:p>
        </w:tc>
        <w:tc>
          <w:tcPr>
            <w:tcW w:w="7560" w:type="dxa"/>
            <w:vAlign w:val="center"/>
          </w:tcPr>
          <w:p w:rsidR="00915600" w:rsidRDefault="00915600" w:rsidP="0024428F">
            <w:pPr>
              <w:pStyle w:val="NormalArial"/>
            </w:pPr>
            <w:hyperlink r:id="rId7" w:history="1">
              <w:r w:rsidRPr="00EE7751">
                <w:rPr>
                  <w:rStyle w:val="Hyperlink"/>
                </w:rPr>
                <w:t>igonzalez@ercot.com</w:t>
              </w:r>
            </w:hyperlink>
          </w:p>
        </w:tc>
      </w:tr>
      <w:tr w:rsidR="00915600" w:rsidTr="0024428F">
        <w:tblPrEx>
          <w:tblCellMar>
            <w:top w:w="0" w:type="dxa"/>
            <w:bottom w:w="0" w:type="dxa"/>
          </w:tblCellMar>
        </w:tblPrEx>
        <w:trPr>
          <w:trHeight w:val="432"/>
        </w:trPr>
        <w:tc>
          <w:tcPr>
            <w:tcW w:w="2880" w:type="dxa"/>
            <w:shd w:val="clear" w:color="auto" w:fill="FFFFFF"/>
            <w:vAlign w:val="center"/>
          </w:tcPr>
          <w:p w:rsidR="00915600" w:rsidRPr="00B93CA0" w:rsidRDefault="00915600" w:rsidP="0024428F">
            <w:pPr>
              <w:pStyle w:val="Header"/>
              <w:rPr>
                <w:bCs w:val="0"/>
              </w:rPr>
            </w:pPr>
            <w:r w:rsidRPr="00B93CA0">
              <w:rPr>
                <w:bCs w:val="0"/>
              </w:rPr>
              <w:t>Company</w:t>
            </w:r>
          </w:p>
        </w:tc>
        <w:tc>
          <w:tcPr>
            <w:tcW w:w="7560" w:type="dxa"/>
            <w:vAlign w:val="center"/>
          </w:tcPr>
          <w:p w:rsidR="00915600" w:rsidRDefault="00915600" w:rsidP="0024428F">
            <w:pPr>
              <w:pStyle w:val="NormalArial"/>
            </w:pPr>
            <w:r>
              <w:t>ERCOT</w:t>
            </w:r>
          </w:p>
        </w:tc>
      </w:tr>
      <w:tr w:rsidR="00915600" w:rsidTr="0024428F">
        <w:tblPrEx>
          <w:tblCellMar>
            <w:top w:w="0" w:type="dxa"/>
            <w:bottom w:w="0" w:type="dxa"/>
          </w:tblCellMar>
        </w:tblPrEx>
        <w:trPr>
          <w:trHeight w:val="432"/>
        </w:trPr>
        <w:tc>
          <w:tcPr>
            <w:tcW w:w="2880" w:type="dxa"/>
            <w:tcBorders>
              <w:bottom w:val="single" w:sz="4" w:space="0" w:color="auto"/>
            </w:tcBorders>
            <w:shd w:val="clear" w:color="auto" w:fill="FFFFFF"/>
            <w:vAlign w:val="center"/>
          </w:tcPr>
          <w:p w:rsidR="00915600" w:rsidRPr="00B93CA0" w:rsidRDefault="00915600" w:rsidP="0024428F">
            <w:pPr>
              <w:pStyle w:val="Header"/>
              <w:rPr>
                <w:bCs w:val="0"/>
              </w:rPr>
            </w:pPr>
            <w:r w:rsidRPr="00B93CA0">
              <w:rPr>
                <w:bCs w:val="0"/>
              </w:rPr>
              <w:t>Phone Number</w:t>
            </w:r>
          </w:p>
        </w:tc>
        <w:tc>
          <w:tcPr>
            <w:tcW w:w="7560" w:type="dxa"/>
            <w:tcBorders>
              <w:bottom w:val="single" w:sz="4" w:space="0" w:color="auto"/>
            </w:tcBorders>
            <w:vAlign w:val="center"/>
          </w:tcPr>
          <w:p w:rsidR="00915600" w:rsidRDefault="00915600" w:rsidP="0024428F">
            <w:pPr>
              <w:pStyle w:val="NormalArial"/>
            </w:pPr>
            <w:r>
              <w:t>512-248-3954</w:t>
            </w:r>
          </w:p>
        </w:tc>
      </w:tr>
      <w:tr w:rsidR="00915600" w:rsidTr="0024428F">
        <w:tblPrEx>
          <w:tblCellMar>
            <w:top w:w="0" w:type="dxa"/>
            <w:bottom w:w="0" w:type="dxa"/>
          </w:tblCellMar>
        </w:tblPrEx>
        <w:trPr>
          <w:trHeight w:val="432"/>
        </w:trPr>
        <w:tc>
          <w:tcPr>
            <w:tcW w:w="2880" w:type="dxa"/>
            <w:shd w:val="clear" w:color="auto" w:fill="FFFFFF"/>
            <w:vAlign w:val="center"/>
          </w:tcPr>
          <w:p w:rsidR="00915600" w:rsidRPr="00B93CA0" w:rsidRDefault="00915600" w:rsidP="0024428F">
            <w:pPr>
              <w:pStyle w:val="Header"/>
              <w:rPr>
                <w:bCs w:val="0"/>
              </w:rPr>
            </w:pPr>
            <w:r>
              <w:rPr>
                <w:bCs w:val="0"/>
              </w:rPr>
              <w:t>Cell</w:t>
            </w:r>
            <w:r w:rsidRPr="00B93CA0">
              <w:rPr>
                <w:bCs w:val="0"/>
              </w:rPr>
              <w:t xml:space="preserve"> Number</w:t>
            </w:r>
          </w:p>
        </w:tc>
        <w:tc>
          <w:tcPr>
            <w:tcW w:w="7560" w:type="dxa"/>
            <w:vAlign w:val="center"/>
          </w:tcPr>
          <w:p w:rsidR="00915600" w:rsidRDefault="00915600" w:rsidP="0024428F">
            <w:pPr>
              <w:pStyle w:val="NormalArial"/>
            </w:pPr>
          </w:p>
        </w:tc>
      </w:tr>
      <w:tr w:rsidR="00915600" w:rsidTr="0024428F">
        <w:tblPrEx>
          <w:tblCellMar>
            <w:top w:w="0" w:type="dxa"/>
            <w:bottom w:w="0" w:type="dxa"/>
          </w:tblCellMar>
        </w:tblPrEx>
        <w:trPr>
          <w:trHeight w:val="432"/>
        </w:trPr>
        <w:tc>
          <w:tcPr>
            <w:tcW w:w="2880" w:type="dxa"/>
            <w:tcBorders>
              <w:bottom w:val="single" w:sz="4" w:space="0" w:color="auto"/>
            </w:tcBorders>
            <w:shd w:val="clear" w:color="auto" w:fill="FFFFFF"/>
            <w:vAlign w:val="center"/>
          </w:tcPr>
          <w:p w:rsidR="00915600" w:rsidRPr="00B93CA0" w:rsidRDefault="00915600" w:rsidP="0024428F">
            <w:pPr>
              <w:pStyle w:val="Header"/>
              <w:rPr>
                <w:bCs w:val="0"/>
              </w:rPr>
            </w:pPr>
            <w:r>
              <w:rPr>
                <w:bCs w:val="0"/>
              </w:rPr>
              <w:t>Market Segment</w:t>
            </w:r>
          </w:p>
        </w:tc>
        <w:tc>
          <w:tcPr>
            <w:tcW w:w="7560" w:type="dxa"/>
            <w:tcBorders>
              <w:bottom w:val="single" w:sz="4" w:space="0" w:color="auto"/>
            </w:tcBorders>
            <w:vAlign w:val="center"/>
          </w:tcPr>
          <w:p w:rsidR="00915600" w:rsidRDefault="00915600" w:rsidP="0024428F">
            <w:pPr>
              <w:pStyle w:val="NormalArial"/>
            </w:pPr>
            <w:r>
              <w:t>Not applicable</w:t>
            </w:r>
          </w:p>
        </w:tc>
      </w:tr>
    </w:tbl>
    <w:p w:rsidR="00915600" w:rsidRPr="00D56D61" w:rsidRDefault="00915600" w:rsidP="0091560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7560"/>
      </w:tblGrid>
      <w:tr w:rsidR="00915600" w:rsidRPr="00D56D61" w:rsidTr="0024428F">
        <w:trPr>
          <w:trHeight w:val="432"/>
        </w:trPr>
        <w:tc>
          <w:tcPr>
            <w:tcW w:w="10440" w:type="dxa"/>
            <w:gridSpan w:val="2"/>
            <w:vAlign w:val="center"/>
          </w:tcPr>
          <w:p w:rsidR="00915600" w:rsidRPr="007C199B" w:rsidRDefault="00915600" w:rsidP="0024428F">
            <w:pPr>
              <w:pStyle w:val="NormalArial"/>
              <w:jc w:val="center"/>
              <w:rPr>
                <w:b/>
              </w:rPr>
            </w:pPr>
            <w:r w:rsidRPr="007C199B">
              <w:rPr>
                <w:b/>
              </w:rPr>
              <w:t>Market Rules Staff Contact</w:t>
            </w:r>
          </w:p>
        </w:tc>
      </w:tr>
      <w:tr w:rsidR="00915600" w:rsidRPr="00D56D61" w:rsidTr="0024428F">
        <w:trPr>
          <w:trHeight w:val="432"/>
        </w:trPr>
        <w:tc>
          <w:tcPr>
            <w:tcW w:w="2880" w:type="dxa"/>
            <w:vAlign w:val="center"/>
          </w:tcPr>
          <w:p w:rsidR="00915600" w:rsidRPr="007C199B" w:rsidRDefault="00915600" w:rsidP="0024428F">
            <w:pPr>
              <w:pStyle w:val="NormalArial"/>
              <w:rPr>
                <w:b/>
              </w:rPr>
            </w:pPr>
            <w:r w:rsidRPr="007C199B">
              <w:rPr>
                <w:b/>
              </w:rPr>
              <w:t>Name</w:t>
            </w:r>
          </w:p>
        </w:tc>
        <w:tc>
          <w:tcPr>
            <w:tcW w:w="7560" w:type="dxa"/>
            <w:vAlign w:val="center"/>
          </w:tcPr>
          <w:p w:rsidR="00915600" w:rsidRPr="00D56D61" w:rsidRDefault="00915600" w:rsidP="0024428F">
            <w:pPr>
              <w:pStyle w:val="NormalArial"/>
            </w:pPr>
            <w:r>
              <w:t>Jonathan Levine</w:t>
            </w:r>
          </w:p>
        </w:tc>
      </w:tr>
      <w:tr w:rsidR="00915600" w:rsidRPr="00D56D61" w:rsidTr="0024428F">
        <w:trPr>
          <w:trHeight w:val="432"/>
        </w:trPr>
        <w:tc>
          <w:tcPr>
            <w:tcW w:w="2880" w:type="dxa"/>
            <w:vAlign w:val="center"/>
          </w:tcPr>
          <w:p w:rsidR="00915600" w:rsidRPr="007C199B" w:rsidRDefault="00915600" w:rsidP="0024428F">
            <w:pPr>
              <w:pStyle w:val="NormalArial"/>
              <w:rPr>
                <w:b/>
              </w:rPr>
            </w:pPr>
            <w:r w:rsidRPr="007C199B">
              <w:rPr>
                <w:b/>
              </w:rPr>
              <w:t>E-Mail Address</w:t>
            </w:r>
          </w:p>
        </w:tc>
        <w:tc>
          <w:tcPr>
            <w:tcW w:w="7560" w:type="dxa"/>
            <w:vAlign w:val="center"/>
          </w:tcPr>
          <w:p w:rsidR="00915600" w:rsidRPr="00D56D61" w:rsidRDefault="00915600" w:rsidP="0024428F">
            <w:pPr>
              <w:pStyle w:val="NormalArial"/>
            </w:pPr>
            <w:hyperlink r:id="rId8" w:history="1">
              <w:r w:rsidRPr="00EE7751">
                <w:rPr>
                  <w:rStyle w:val="Hyperlink"/>
                </w:rPr>
                <w:t>jlevine@ercot.com</w:t>
              </w:r>
            </w:hyperlink>
          </w:p>
        </w:tc>
      </w:tr>
      <w:tr w:rsidR="00915600" w:rsidRPr="005370B5" w:rsidTr="0024428F">
        <w:trPr>
          <w:trHeight w:val="432"/>
        </w:trPr>
        <w:tc>
          <w:tcPr>
            <w:tcW w:w="2880" w:type="dxa"/>
            <w:vAlign w:val="center"/>
          </w:tcPr>
          <w:p w:rsidR="00915600" w:rsidRPr="007C199B" w:rsidRDefault="00915600" w:rsidP="0024428F">
            <w:pPr>
              <w:pStyle w:val="NormalArial"/>
              <w:rPr>
                <w:b/>
              </w:rPr>
            </w:pPr>
            <w:r w:rsidRPr="007C199B">
              <w:rPr>
                <w:b/>
              </w:rPr>
              <w:t>Phone Number</w:t>
            </w:r>
          </w:p>
        </w:tc>
        <w:tc>
          <w:tcPr>
            <w:tcW w:w="7560" w:type="dxa"/>
            <w:vAlign w:val="center"/>
          </w:tcPr>
          <w:p w:rsidR="00915600" w:rsidRDefault="00915600" w:rsidP="0024428F">
            <w:pPr>
              <w:pStyle w:val="NormalArial"/>
            </w:pPr>
            <w:r>
              <w:t>512-248-6464</w:t>
            </w:r>
          </w:p>
        </w:tc>
      </w:tr>
    </w:tbl>
    <w:p w:rsidR="00915600" w:rsidRDefault="00915600" w:rsidP="00B85BD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B85BD1" w:rsidTr="00D051D0">
        <w:tblPrEx>
          <w:tblCellMar>
            <w:top w:w="0" w:type="dxa"/>
            <w:bottom w:w="0" w:type="dxa"/>
          </w:tblCellMar>
        </w:tblPrEx>
        <w:tc>
          <w:tcPr>
            <w:tcW w:w="10440" w:type="dxa"/>
            <w:gridSpan w:val="2"/>
            <w:shd w:val="clear" w:color="auto" w:fill="FFFFFF"/>
            <w:vAlign w:val="center"/>
          </w:tcPr>
          <w:p w:rsidR="00B85BD1" w:rsidRPr="00895AB9" w:rsidRDefault="00B85BD1" w:rsidP="00D051D0">
            <w:pPr>
              <w:pStyle w:val="NormalArial"/>
              <w:jc w:val="center"/>
              <w:rPr>
                <w:b/>
              </w:rPr>
            </w:pPr>
            <w:r w:rsidRPr="00895AB9">
              <w:rPr>
                <w:b/>
              </w:rPr>
              <w:t xml:space="preserve">Comments </w:t>
            </w:r>
            <w:r>
              <w:rPr>
                <w:b/>
              </w:rPr>
              <w:t>Received</w:t>
            </w:r>
          </w:p>
        </w:tc>
      </w:tr>
      <w:tr w:rsidR="00B85BD1" w:rsidTr="00D051D0">
        <w:tblPrEx>
          <w:tblCellMar>
            <w:top w:w="0" w:type="dxa"/>
            <w:bottom w:w="0" w:type="dxa"/>
          </w:tblCellMar>
        </w:tblPrEx>
        <w:tc>
          <w:tcPr>
            <w:tcW w:w="2880" w:type="dxa"/>
            <w:shd w:val="clear" w:color="auto" w:fill="FFFFFF"/>
            <w:vAlign w:val="center"/>
          </w:tcPr>
          <w:p w:rsidR="00B85BD1" w:rsidRPr="00895AB9" w:rsidRDefault="00B85BD1" w:rsidP="00D051D0">
            <w:pPr>
              <w:pStyle w:val="Header"/>
              <w:rPr>
                <w:bCs w:val="0"/>
              </w:rPr>
            </w:pPr>
            <w:r w:rsidRPr="00895AB9">
              <w:rPr>
                <w:bCs w:val="0"/>
              </w:rPr>
              <w:t>Comment Author</w:t>
            </w:r>
          </w:p>
        </w:tc>
        <w:tc>
          <w:tcPr>
            <w:tcW w:w="7560" w:type="dxa"/>
            <w:vAlign w:val="center"/>
          </w:tcPr>
          <w:p w:rsidR="00B85BD1" w:rsidRPr="00895AB9" w:rsidRDefault="00B85BD1" w:rsidP="00D051D0">
            <w:pPr>
              <w:pStyle w:val="NormalArial"/>
              <w:rPr>
                <w:b/>
              </w:rPr>
            </w:pPr>
            <w:r w:rsidRPr="00895AB9">
              <w:rPr>
                <w:b/>
              </w:rPr>
              <w:t xml:space="preserve">Comment </w:t>
            </w:r>
            <w:r>
              <w:rPr>
                <w:b/>
              </w:rPr>
              <w:t>Summary</w:t>
            </w:r>
          </w:p>
        </w:tc>
      </w:tr>
      <w:tr w:rsidR="00B85BD1" w:rsidTr="00D051D0">
        <w:tblPrEx>
          <w:tblCellMar>
            <w:top w:w="0" w:type="dxa"/>
            <w:bottom w:w="0" w:type="dxa"/>
          </w:tblCellMar>
        </w:tblPrEx>
        <w:tc>
          <w:tcPr>
            <w:tcW w:w="2880" w:type="dxa"/>
            <w:shd w:val="clear" w:color="auto" w:fill="FFFFFF"/>
            <w:vAlign w:val="center"/>
          </w:tcPr>
          <w:p w:rsidR="00B85BD1" w:rsidRPr="00502A1F" w:rsidRDefault="00915600" w:rsidP="00D051D0">
            <w:pPr>
              <w:pStyle w:val="Header"/>
              <w:rPr>
                <w:b w:val="0"/>
                <w:bCs w:val="0"/>
              </w:rPr>
            </w:pPr>
            <w:r>
              <w:rPr>
                <w:b w:val="0"/>
                <w:bCs w:val="0"/>
              </w:rPr>
              <w:t>WMS 041111</w:t>
            </w:r>
          </w:p>
        </w:tc>
        <w:tc>
          <w:tcPr>
            <w:tcW w:w="7560" w:type="dxa"/>
            <w:vAlign w:val="center"/>
          </w:tcPr>
          <w:p w:rsidR="00B85BD1" w:rsidRDefault="00D53BFE" w:rsidP="00D051D0">
            <w:pPr>
              <w:pStyle w:val="NormalArial"/>
            </w:pPr>
            <w:r>
              <w:rPr>
                <w:rFonts w:cs="Arial"/>
              </w:rPr>
              <w:t>Endorsed NPRR344 as submitted.</w:t>
            </w:r>
          </w:p>
        </w:tc>
      </w:tr>
    </w:tbl>
    <w:p w:rsidR="00895AB9" w:rsidRPr="00F573FE" w:rsidRDefault="00895AB9">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630FB4">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630FB4" w:rsidRDefault="00630FB4">
            <w:pPr>
              <w:pStyle w:val="Header"/>
              <w:jc w:val="center"/>
            </w:pPr>
            <w:r>
              <w:lastRenderedPageBreak/>
              <w:t>Proposed Protocol Language Revision</w:t>
            </w:r>
          </w:p>
        </w:tc>
      </w:tr>
    </w:tbl>
    <w:p w:rsidR="00915600" w:rsidRDefault="00915600" w:rsidP="00915600"/>
    <w:p w:rsidR="00915600" w:rsidRDefault="00915600" w:rsidP="00915600">
      <w:pPr>
        <w:pStyle w:val="H4"/>
        <w:tabs>
          <w:tab w:val="clear" w:pos="1260"/>
        </w:tabs>
      </w:pPr>
      <w:bookmarkStart w:id="0" w:name="_Toc144691989"/>
      <w:bookmarkStart w:id="1" w:name="_Toc204048600"/>
      <w:bookmarkStart w:id="2" w:name="_Toc283791355"/>
      <w:r>
        <w:t>3.14.1.16</w:t>
      </w:r>
      <w:r>
        <w:tab/>
        <w:t>Reporting Actual Eligible Costs</w:t>
      </w:r>
      <w:bookmarkEnd w:id="0"/>
      <w:bookmarkEnd w:id="1"/>
      <w:bookmarkEnd w:id="2"/>
    </w:p>
    <w:p w:rsidR="00915600" w:rsidRPr="000021CE" w:rsidRDefault="00915600" w:rsidP="00915600">
      <w:pPr>
        <w:pStyle w:val="BodyTextNumbered"/>
        <w:rPr>
          <w:rFonts w:eastAsia="Calibri"/>
        </w:rPr>
      </w:pPr>
      <w:r w:rsidRPr="002B0137">
        <w:rPr>
          <w:rFonts w:eastAsia="Calibri"/>
        </w:rPr>
        <w:t>(1)</w:t>
      </w:r>
      <w:r w:rsidRPr="002B0137">
        <w:rPr>
          <w:rFonts w:eastAsia="Calibri"/>
        </w:rPr>
        <w:tab/>
      </w:r>
      <w:r w:rsidRPr="000021CE">
        <w:rPr>
          <w:rFonts w:eastAsia="Calibri"/>
        </w:rPr>
        <w:t xml:space="preserve">The RMR Unit owner shall provide ERCOT with actual fuel costs on a monthly basis for the RMR Unit in a level of detail sufficient for ERCOT to verify that all fuel costs are actual and appropriate.  The estimated fuel payments may include a fuel adder to better approximate expected actual fuel costs.  </w:t>
      </w:r>
      <w:ins w:id="3" w:author="ERCOT" w:date="2011-03-29T11:15:00Z">
        <w:r w:rsidRPr="0007309F">
          <w:rPr>
            <w:rFonts w:eastAsia="Calibri"/>
          </w:rPr>
          <w:t>The fuel adder shall represent the difference between the forecasted average actual future fuel price paid and the forecasted average of the relevant index price (FIP, FOP or solid fuel) over the RMR contract period.  The fuel adder must also include the forecasted cost of transporting, delivering and fuel imbalances to the Resource. QSEs must provide to ERCOT supporting documentation indicating how the fuel adder was determined.</w:t>
        </w:r>
        <w:r>
          <w:rPr>
            <w:rFonts w:eastAsia="Calibri"/>
          </w:rPr>
          <w:t xml:space="preserve">  </w:t>
        </w:r>
      </w:ins>
      <w:r w:rsidRPr="000021CE">
        <w:rPr>
          <w:rFonts w:eastAsia="Calibri"/>
        </w:rPr>
        <w:t xml:space="preserve">ERCOT shall perform a true-up of the estimated fuel costs using the submitted and verified actual fuel costs for the RMR Unit. </w:t>
      </w:r>
      <w:ins w:id="4" w:author="ERCOT Market Rules" w:date="2011-03-29T11:18:00Z">
        <w:r>
          <w:rPr>
            <w:rFonts w:eastAsia="Calibri"/>
          </w:rPr>
          <w:t xml:space="preserve"> </w:t>
        </w:r>
      </w:ins>
      <w:r w:rsidRPr="000021CE">
        <w:rPr>
          <w:rFonts w:eastAsia="Calibri"/>
        </w:rPr>
        <w:t>Actual cost data must be submitted on time by the Generation Entity for the RMR Unit and then verified by ERCOT so the actual cost data can be reflected in the True-Up Settlement Statement.  To be considered timely for the final, actual cost data for month ‘x’ must be submitted by the 20th of the month following month ‘x</w:t>
      </w:r>
      <w:ins w:id="5" w:author="ERCOT Market Rules" w:date="2011-03-29T11:17:00Z">
        <w:r>
          <w:rPr>
            <w:rFonts w:eastAsia="Calibri"/>
          </w:rPr>
          <w:t>.</w:t>
        </w:r>
      </w:ins>
      <w:r w:rsidRPr="000021CE">
        <w:rPr>
          <w:rFonts w:eastAsia="Calibri"/>
        </w:rPr>
        <w:t>’</w:t>
      </w:r>
      <w:del w:id="6" w:author="ERCOT Market Rules" w:date="2011-03-29T11:17:00Z">
        <w:r w:rsidRPr="000021CE" w:rsidDel="005E3FC3">
          <w:rPr>
            <w:rFonts w:eastAsia="Calibri"/>
          </w:rPr>
          <w:delText>.</w:delText>
        </w:r>
      </w:del>
      <w:r w:rsidRPr="000021CE">
        <w:rPr>
          <w:rFonts w:eastAsia="Calibri"/>
        </w:rPr>
        <w:t xml:space="preserve">  To be considered timely for the true-up, actual cost data for month ‘x’ must be submitted 30 days prior to the publishing date of the True-Up Settlement Statement for the first day in month ‘x</w:t>
      </w:r>
      <w:ins w:id="7" w:author="ERCOT Market Rules" w:date="2011-03-29T11:17:00Z">
        <w:r>
          <w:rPr>
            <w:rFonts w:eastAsia="Calibri"/>
          </w:rPr>
          <w:t>.</w:t>
        </w:r>
      </w:ins>
      <w:r w:rsidRPr="000021CE">
        <w:rPr>
          <w:rFonts w:eastAsia="Calibri"/>
        </w:rPr>
        <w:t>’</w:t>
      </w:r>
      <w:del w:id="8" w:author="ERCOT Market Rules" w:date="2011-03-29T11:17:00Z">
        <w:r w:rsidRPr="000021CE" w:rsidDel="005E3FC3">
          <w:rPr>
            <w:rFonts w:eastAsia="Calibri"/>
          </w:rPr>
          <w:delText>.</w:delText>
        </w:r>
      </w:del>
      <w:r w:rsidRPr="000021CE">
        <w:rPr>
          <w:rFonts w:eastAsia="Calibri"/>
        </w:rPr>
        <w:t xml:space="preserve">  Any deviation in filing actual cost data in accordance with this calendar must be requested of ERCOT, by the QSE representing an RMR </w:t>
      </w:r>
      <w:del w:id="9" w:author="ERCOT Market Rules" w:date="2011-03-31T08:28:00Z">
        <w:r w:rsidRPr="000021CE" w:rsidDel="000923A3">
          <w:rPr>
            <w:rFonts w:eastAsia="Calibri"/>
          </w:rPr>
          <w:delText>u</w:delText>
        </w:r>
      </w:del>
      <w:ins w:id="10" w:author="ERCOT Market Rules" w:date="2011-03-31T08:28:00Z">
        <w:r>
          <w:rPr>
            <w:rFonts w:eastAsia="Calibri"/>
          </w:rPr>
          <w:t>U</w:t>
        </w:r>
      </w:ins>
      <w:r w:rsidRPr="000021CE">
        <w:rPr>
          <w:rFonts w:eastAsia="Calibri"/>
        </w:rPr>
        <w:t xml:space="preserve">nit.  Such request for deviation shall contain the reason for the inability to meet the calendar and an expected date that the cost data will be provided to ERCOT.  At its discretion ERCOT may choose to honor such a request. </w:t>
      </w:r>
      <w:ins w:id="11" w:author="ERCOT Market Rules" w:date="2011-03-29T11:17:00Z">
        <w:r>
          <w:rPr>
            <w:rFonts w:eastAsia="Calibri"/>
          </w:rPr>
          <w:t xml:space="preserve"> </w:t>
        </w:r>
      </w:ins>
      <w:r w:rsidRPr="000021CE">
        <w:rPr>
          <w:rFonts w:eastAsia="Calibri"/>
        </w:rPr>
        <w:t xml:space="preserve">ERCOT shall post on the </w:t>
      </w:r>
      <w:del w:id="12" w:author="ERCOT Market Rules" w:date="2011-03-29T11:17:00Z">
        <w:r w:rsidRPr="000021CE" w:rsidDel="005E3FC3">
          <w:rPr>
            <w:rFonts w:eastAsia="Calibri"/>
          </w:rPr>
          <w:delText xml:space="preserve">Public </w:delText>
        </w:r>
      </w:del>
      <w:r w:rsidRPr="000021CE">
        <w:rPr>
          <w:rFonts w:eastAsia="Calibri"/>
        </w:rPr>
        <w:t xml:space="preserve">MIS </w:t>
      </w:r>
      <w:ins w:id="13" w:author="ERCOT Market Rules" w:date="2011-03-29T11:17:00Z">
        <w:r>
          <w:rPr>
            <w:rFonts w:eastAsia="Calibri"/>
          </w:rPr>
          <w:t xml:space="preserve">Public Area </w:t>
        </w:r>
      </w:ins>
      <w:r w:rsidRPr="000021CE">
        <w:rPr>
          <w:rFonts w:eastAsia="Calibri"/>
        </w:rPr>
        <w:t>any such request and response thereto.  In the event</w:t>
      </w:r>
      <w:del w:id="14" w:author="ERCOT Market Rules" w:date="2011-03-31T08:28:00Z">
        <w:r w:rsidRPr="000021CE" w:rsidDel="000923A3">
          <w:rPr>
            <w:rFonts w:eastAsia="Calibri"/>
          </w:rPr>
          <w:delText>,</w:delText>
        </w:r>
      </w:del>
      <w:r w:rsidRPr="000021CE">
        <w:rPr>
          <w:rFonts w:eastAsia="Calibri"/>
        </w:rPr>
        <w:t xml:space="preserve"> that actual cost data is not submitted in accordance with the calendar or approved deviation for the true-up, then the cost for the portion of Eligible Cost that has not been submitted is deemed to be zero.</w:t>
      </w:r>
    </w:p>
    <w:p w:rsidR="00915600" w:rsidRPr="000021CE" w:rsidRDefault="00915600" w:rsidP="00915600">
      <w:pPr>
        <w:pStyle w:val="BodyTextNumbered"/>
        <w:rPr>
          <w:rFonts w:eastAsia="Calibri"/>
        </w:rPr>
      </w:pPr>
      <w:r w:rsidRPr="000021CE">
        <w:rPr>
          <w:rFonts w:eastAsia="Calibri"/>
        </w:rPr>
        <w:t>(2)</w:t>
      </w:r>
      <w:r w:rsidRPr="000021CE">
        <w:rPr>
          <w:rFonts w:eastAsia="Calibri"/>
        </w:rP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p>
    <w:p w:rsidR="00915600" w:rsidRDefault="00915600" w:rsidP="00915600"/>
    <w:p w:rsidR="00915600" w:rsidRDefault="00915600" w:rsidP="00915600">
      <w:pPr>
        <w:pStyle w:val="H4"/>
      </w:pPr>
      <w:bookmarkStart w:id="15" w:name="_Toc283811081"/>
      <w:r>
        <w:t>6.6.6.2</w:t>
      </w:r>
      <w:r>
        <w:tab/>
        <w:t>RMR Payment for Energy</w:t>
      </w:r>
      <w:bookmarkEnd w:id="15"/>
    </w:p>
    <w:p w:rsidR="00915600" w:rsidRDefault="00915600" w:rsidP="00915600">
      <w:pPr>
        <w:pStyle w:val="BodyTextNumbered"/>
      </w:pPr>
      <w:r>
        <w:t>(1)</w:t>
      </w:r>
      <w:r>
        <w:tab/>
        <w:t>Payment for energy on the Initial Settlement and settlements executed before true-up and before actual cost data is submitted must be calculated using the estimated input/output curve and startup fuel as specified in the RMR Agreement, the actual energy produced and the FIP.  The payment for energy for all other settlements must be based on actual fuel costs for the RMR Unit.  The payment for energy for each hour is calculated as follows:</w:t>
      </w:r>
    </w:p>
    <w:p w:rsidR="00915600" w:rsidRDefault="00915600" w:rsidP="00915600">
      <w:pPr>
        <w:pStyle w:val="FormulaBold"/>
        <w:tabs>
          <w:tab w:val="left" w:pos="2700"/>
        </w:tabs>
        <w:ind w:left="3150" w:hanging="2430"/>
        <w:rPr>
          <w:lang w:val="pt-BR"/>
        </w:rPr>
      </w:pPr>
      <w:r>
        <w:rPr>
          <w:lang w:val="pt-BR"/>
        </w:rPr>
        <w:lastRenderedPageBreak/>
        <w:t xml:space="preserve">RMREAMT </w:t>
      </w:r>
      <w:r>
        <w:rPr>
          <w:i/>
          <w:vertAlign w:val="subscript"/>
          <w:lang w:val="pt-BR"/>
        </w:rPr>
        <w:t>q, r</w:t>
      </w:r>
      <w:r>
        <w:rPr>
          <w:vertAlign w:val="subscript"/>
          <w:lang w:val="pt-BR"/>
        </w:rPr>
        <w:tab/>
      </w:r>
      <w:r>
        <w:rPr>
          <w:lang w:val="pt-BR"/>
        </w:rPr>
        <w:t>=</w:t>
      </w:r>
      <w:r>
        <w:rPr>
          <w:lang w:val="pt-BR"/>
        </w:rPr>
        <w:tab/>
        <w:t>(-1) * ((FIP + RMRCEFA</w:t>
      </w:r>
      <w:r>
        <w:rPr>
          <w:i/>
          <w:vertAlign w:val="subscript"/>
          <w:lang w:val="pt-BR"/>
        </w:rPr>
        <w:t xml:space="preserve"> q, r</w:t>
      </w:r>
      <w:r>
        <w:rPr>
          <w:lang w:val="pt-BR"/>
        </w:rPr>
        <w:t xml:space="preserve">) * RMRSUFQ </w:t>
      </w:r>
      <w:r>
        <w:rPr>
          <w:i/>
          <w:vertAlign w:val="subscript"/>
          <w:lang w:val="pt-BR"/>
        </w:rPr>
        <w:t>q, r</w:t>
      </w:r>
      <w:r>
        <w:rPr>
          <w:lang w:val="pt-BR"/>
        </w:rPr>
        <w:t xml:space="preserve"> </w:t>
      </w:r>
      <w:r>
        <w:rPr>
          <w:sz w:val="32"/>
          <w:szCs w:val="32"/>
          <w:lang w:val="pt-BR"/>
        </w:rPr>
        <w:t>/</w:t>
      </w:r>
      <w:r>
        <w:rPr>
          <w:lang w:val="pt-BR"/>
        </w:rPr>
        <w:t xml:space="preserve"> RMRH </w:t>
      </w:r>
      <w:r>
        <w:rPr>
          <w:i/>
          <w:vertAlign w:val="subscript"/>
          <w:lang w:val="pt-BR"/>
        </w:rPr>
        <w:t>q, r</w:t>
      </w:r>
      <w:r>
        <w:rPr>
          <w:lang w:val="pt-BR"/>
        </w:rPr>
        <w:t xml:space="preserve">) * RMRALLOCFLAG </w:t>
      </w:r>
      <w:r>
        <w:rPr>
          <w:i/>
          <w:vertAlign w:val="subscript"/>
          <w:lang w:val="pt-BR"/>
        </w:rPr>
        <w:t>q, r</w:t>
      </w:r>
      <w:r>
        <w:rPr>
          <w:lang w:val="pt-BR"/>
        </w:rPr>
        <w:t xml:space="preserve"> + </w:t>
      </w:r>
      <w:r w:rsidRPr="006F784F">
        <w:rPr>
          <w:position w:val="-20"/>
        </w:rPr>
        <w:object w:dxaOrig="26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29.25pt" o:ole="">
            <v:imagedata r:id="rId9" o:title=""/>
          </v:shape>
          <o:OLEObject Type="Embed" ProgID="Equation.3" ShapeID="_x0000_i1025" DrawAspect="Content" ObjectID="_1365592343" r:id="rId10"/>
        </w:object>
      </w:r>
      <w:r>
        <w:rPr>
          <w:lang w:val="pt-BR"/>
        </w:rPr>
        <w:t>(((FIP + RMRCEFA</w:t>
      </w:r>
      <w:r>
        <w:rPr>
          <w:i/>
          <w:vertAlign w:val="subscript"/>
          <w:lang w:val="pt-BR"/>
        </w:rPr>
        <w:t xml:space="preserve"> q, r</w:t>
      </w:r>
      <w:r>
        <w:rPr>
          <w:lang w:val="pt-BR"/>
        </w:rPr>
        <w:t xml:space="preserve">) * RMRHR </w:t>
      </w:r>
      <w:r>
        <w:rPr>
          <w:i/>
          <w:vertAlign w:val="subscript"/>
          <w:lang w:val="pt-BR"/>
        </w:rPr>
        <w:t>q, r, i</w:t>
      </w:r>
      <w:r>
        <w:rPr>
          <w:lang w:val="pt-BR"/>
        </w:rPr>
        <w:t xml:space="preserve"> + RMRVCC </w:t>
      </w:r>
      <w:r>
        <w:rPr>
          <w:i/>
          <w:vertAlign w:val="subscript"/>
          <w:lang w:val="pt-BR"/>
        </w:rPr>
        <w:t>q, r</w:t>
      </w:r>
      <w:r>
        <w:rPr>
          <w:lang w:val="pt-BR"/>
        </w:rPr>
        <w:t xml:space="preserve">) * RTMG </w:t>
      </w:r>
      <w:r>
        <w:rPr>
          <w:i/>
          <w:vertAlign w:val="subscript"/>
          <w:lang w:val="pt-BR"/>
        </w:rPr>
        <w:t>q, r, i</w:t>
      </w:r>
      <w:r>
        <w:rPr>
          <w:lang w:val="pt-BR"/>
        </w:rPr>
        <w:t>)</w:t>
      </w:r>
    </w:p>
    <w:p w:rsidR="00915600" w:rsidRDefault="00915600" w:rsidP="00915600">
      <w:r>
        <w:t>The above variables are defined as follows:</w:t>
      </w:r>
    </w:p>
    <w:tbl>
      <w:tblPr>
        <w:tblW w:w="9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88"/>
        <w:gridCol w:w="1080"/>
        <w:gridCol w:w="6775"/>
      </w:tblGrid>
      <w:tr w:rsidR="00915600" w:rsidTr="0024428F">
        <w:trPr>
          <w:cantSplit/>
          <w:tblHeader/>
        </w:trPr>
        <w:tc>
          <w:tcPr>
            <w:tcW w:w="2088" w:type="dxa"/>
          </w:tcPr>
          <w:p w:rsidR="00915600" w:rsidRDefault="00915600" w:rsidP="0024428F">
            <w:pPr>
              <w:pStyle w:val="TableHead"/>
            </w:pPr>
            <w:r>
              <w:t>Variable</w:t>
            </w:r>
          </w:p>
        </w:tc>
        <w:tc>
          <w:tcPr>
            <w:tcW w:w="1080" w:type="dxa"/>
          </w:tcPr>
          <w:p w:rsidR="00915600" w:rsidRDefault="00915600" w:rsidP="0024428F">
            <w:pPr>
              <w:pStyle w:val="TableHead"/>
            </w:pPr>
            <w:r>
              <w:t>Unit</w:t>
            </w:r>
          </w:p>
        </w:tc>
        <w:tc>
          <w:tcPr>
            <w:tcW w:w="6775" w:type="dxa"/>
          </w:tcPr>
          <w:p w:rsidR="00915600" w:rsidRDefault="00915600" w:rsidP="0024428F">
            <w:pPr>
              <w:pStyle w:val="TableHead"/>
            </w:pPr>
            <w:r>
              <w:t>Definition</w:t>
            </w:r>
          </w:p>
        </w:tc>
      </w:tr>
      <w:tr w:rsidR="00915600" w:rsidTr="0024428F">
        <w:trPr>
          <w:cantSplit/>
        </w:trPr>
        <w:tc>
          <w:tcPr>
            <w:tcW w:w="2088" w:type="dxa"/>
          </w:tcPr>
          <w:p w:rsidR="00915600" w:rsidRDefault="00915600" w:rsidP="0024428F">
            <w:pPr>
              <w:pStyle w:val="TableBody"/>
            </w:pPr>
            <w:r>
              <w:t xml:space="preserve">RMREAMT </w:t>
            </w:r>
            <w:r>
              <w:rPr>
                <w:vertAlign w:val="subscript"/>
              </w:rPr>
              <w:t>q, r</w:t>
            </w:r>
          </w:p>
        </w:tc>
        <w:tc>
          <w:tcPr>
            <w:tcW w:w="1080" w:type="dxa"/>
          </w:tcPr>
          <w:p w:rsidR="00915600" w:rsidRDefault="00915600" w:rsidP="0024428F">
            <w:pPr>
              <w:pStyle w:val="TableBody"/>
            </w:pPr>
            <w:r>
              <w:t>$</w:t>
            </w:r>
          </w:p>
        </w:tc>
        <w:tc>
          <w:tcPr>
            <w:tcW w:w="6775" w:type="dxa"/>
          </w:tcPr>
          <w:p w:rsidR="00915600" w:rsidRDefault="00915600" w:rsidP="0024428F">
            <w:pPr>
              <w:pStyle w:val="TableBody"/>
            </w:pPr>
            <w:r>
              <w:rPr>
                <w:i/>
              </w:rPr>
              <w:t>Reliability Must-Run Energy Amount per QSE per Resource by hour</w:t>
            </w:r>
            <w:r>
              <w:t xml:space="preserve">—The energy payment to QSE </w:t>
            </w:r>
            <w:r>
              <w:rPr>
                <w:i/>
              </w:rPr>
              <w:t>q</w:t>
            </w:r>
            <w:r>
              <w:t xml:space="preserve"> for RMR Unit </w:t>
            </w:r>
            <w:r>
              <w:rPr>
                <w:i/>
              </w:rPr>
              <w:t>r</w:t>
            </w:r>
            <w:r>
              <w:t xml:space="preserve">, for the hour.  Where for a Combined Cycle Train, the Resource </w:t>
            </w:r>
            <w:r w:rsidRPr="00B34C5D">
              <w:rPr>
                <w:i/>
              </w:rPr>
              <w:t>r</w:t>
            </w:r>
            <w:r>
              <w:rPr>
                <w:i/>
              </w:rPr>
              <w:t xml:space="preserve"> </w:t>
            </w:r>
            <w:r>
              <w:t>is the Combined Cycle Train.</w:t>
            </w:r>
          </w:p>
        </w:tc>
      </w:tr>
      <w:tr w:rsidR="00915600" w:rsidTr="0024428F">
        <w:trPr>
          <w:cantSplit/>
        </w:trPr>
        <w:tc>
          <w:tcPr>
            <w:tcW w:w="2088" w:type="dxa"/>
          </w:tcPr>
          <w:p w:rsidR="00915600" w:rsidRDefault="00915600" w:rsidP="0024428F">
            <w:pPr>
              <w:pStyle w:val="TableBody"/>
            </w:pPr>
            <w:r>
              <w:t>FIP</w:t>
            </w:r>
          </w:p>
        </w:tc>
        <w:tc>
          <w:tcPr>
            <w:tcW w:w="1080" w:type="dxa"/>
          </w:tcPr>
          <w:p w:rsidR="00915600" w:rsidRDefault="00915600" w:rsidP="0024428F">
            <w:pPr>
              <w:pStyle w:val="TableBody"/>
            </w:pPr>
            <w:r>
              <w:t>$/MMBtu</w:t>
            </w:r>
          </w:p>
        </w:tc>
        <w:tc>
          <w:tcPr>
            <w:tcW w:w="6775" w:type="dxa"/>
          </w:tcPr>
          <w:p w:rsidR="00915600" w:rsidRDefault="00915600" w:rsidP="0024428F">
            <w:pPr>
              <w:pStyle w:val="TableBody"/>
            </w:pPr>
            <w:r>
              <w:rPr>
                <w:i/>
              </w:rPr>
              <w:t>Fuel Index Price</w:t>
            </w:r>
            <w:r>
              <w:t>—The FIP for the Operating Day.</w:t>
            </w:r>
          </w:p>
        </w:tc>
      </w:tr>
      <w:tr w:rsidR="00915600" w:rsidTr="0024428F">
        <w:trPr>
          <w:cantSplit/>
        </w:trPr>
        <w:tc>
          <w:tcPr>
            <w:tcW w:w="2088" w:type="dxa"/>
          </w:tcPr>
          <w:p w:rsidR="00915600" w:rsidRDefault="00915600" w:rsidP="0024428F">
            <w:pPr>
              <w:pStyle w:val="TableBody"/>
            </w:pPr>
            <w:r>
              <w:t xml:space="preserve">RMRSUFQ </w:t>
            </w:r>
            <w:r>
              <w:rPr>
                <w:vertAlign w:val="subscript"/>
              </w:rPr>
              <w:t>q, r</w:t>
            </w:r>
          </w:p>
        </w:tc>
        <w:tc>
          <w:tcPr>
            <w:tcW w:w="1080" w:type="dxa"/>
          </w:tcPr>
          <w:p w:rsidR="00915600" w:rsidRDefault="00915600" w:rsidP="0024428F">
            <w:pPr>
              <w:pStyle w:val="TableBody"/>
            </w:pPr>
            <w:r>
              <w:t>MMBtu</w:t>
            </w:r>
          </w:p>
        </w:tc>
        <w:tc>
          <w:tcPr>
            <w:tcW w:w="6775" w:type="dxa"/>
          </w:tcPr>
          <w:p w:rsidR="00915600" w:rsidRDefault="00915600" w:rsidP="0024428F">
            <w:pPr>
              <w:pStyle w:val="TableBody"/>
            </w:pPr>
            <w:r>
              <w:rPr>
                <w:i/>
              </w:rPr>
              <w:t>Reliability Must-Run Startup Fuel Quantity per QSE per Resource</w:t>
            </w:r>
            <w:r>
              <w:sym w:font="Symbol" w:char="F0BE"/>
            </w:r>
            <w:r>
              <w:t xml:space="preserve">The Estimated Start Up Fuel specified in the RMR Agreement for RMR Unit </w:t>
            </w:r>
            <w:r>
              <w:rPr>
                <w:i/>
              </w:rPr>
              <w:t>r</w:t>
            </w:r>
            <w:r>
              <w:t xml:space="preserve"> represented by QSE </w:t>
            </w:r>
            <w:r>
              <w:rPr>
                <w:i/>
              </w:rPr>
              <w:t>q</w:t>
            </w:r>
            <w:r>
              <w:t xml:space="preserve">.  Where for a Combined Cycle Train, the Resource </w:t>
            </w:r>
            <w:r w:rsidRPr="00B34C5D">
              <w:rPr>
                <w:i/>
              </w:rPr>
              <w:t>r</w:t>
            </w:r>
            <w:r>
              <w:rPr>
                <w:i/>
              </w:rPr>
              <w:t xml:space="preserve"> </w:t>
            </w:r>
            <w:r>
              <w:t>is the Combined Cycle Train.</w:t>
            </w:r>
          </w:p>
        </w:tc>
      </w:tr>
      <w:tr w:rsidR="00915600" w:rsidTr="0024428F">
        <w:trPr>
          <w:cantSplit/>
        </w:trPr>
        <w:tc>
          <w:tcPr>
            <w:tcW w:w="2088" w:type="dxa"/>
          </w:tcPr>
          <w:p w:rsidR="00915600" w:rsidRDefault="00915600" w:rsidP="0024428F">
            <w:pPr>
              <w:pStyle w:val="TableBody"/>
            </w:pPr>
            <w:r>
              <w:t xml:space="preserve">RMRH </w:t>
            </w:r>
            <w:r>
              <w:rPr>
                <w:vertAlign w:val="subscript"/>
              </w:rPr>
              <w:t>q, r,h</w:t>
            </w:r>
          </w:p>
        </w:tc>
        <w:tc>
          <w:tcPr>
            <w:tcW w:w="1080" w:type="dxa"/>
          </w:tcPr>
          <w:p w:rsidR="00915600" w:rsidRDefault="00915600" w:rsidP="0024428F">
            <w:pPr>
              <w:pStyle w:val="TableBody"/>
            </w:pPr>
            <w:r>
              <w:t>hour</w:t>
            </w:r>
          </w:p>
        </w:tc>
        <w:tc>
          <w:tcPr>
            <w:tcW w:w="6775" w:type="dxa"/>
          </w:tcPr>
          <w:p w:rsidR="00915600" w:rsidRDefault="00915600" w:rsidP="0024428F">
            <w:pPr>
              <w:pStyle w:val="TableBody"/>
            </w:pPr>
            <w:r>
              <w:rPr>
                <w:i/>
              </w:rPr>
              <w:t>Reliability Must-Run Hours</w:t>
            </w:r>
            <w:r>
              <w:t xml:space="preserve">—The number of hours during which RMR Unit </w:t>
            </w:r>
            <w:r>
              <w:rPr>
                <w:i/>
              </w:rPr>
              <w:t>r</w:t>
            </w:r>
            <w:r>
              <w:t xml:space="preserve"> represented by QSE </w:t>
            </w:r>
            <w:r>
              <w:rPr>
                <w:i/>
              </w:rPr>
              <w:t>q</w:t>
            </w:r>
            <w:r>
              <w:t xml:space="preserve"> is instructed On-Line for the Operating Day.  Where for a Combined Cycle Train, the Resource </w:t>
            </w:r>
            <w:r w:rsidRPr="00B34C5D">
              <w:rPr>
                <w:i/>
              </w:rPr>
              <w:t>r</w:t>
            </w:r>
            <w:r>
              <w:rPr>
                <w:i/>
              </w:rPr>
              <w:t xml:space="preserve"> </w:t>
            </w:r>
            <w:r>
              <w:t>is the Combined Cycle Train.</w:t>
            </w:r>
          </w:p>
        </w:tc>
      </w:tr>
      <w:tr w:rsidR="00915600" w:rsidTr="0024428F">
        <w:trPr>
          <w:cantSplit/>
        </w:trPr>
        <w:tc>
          <w:tcPr>
            <w:tcW w:w="2088" w:type="dxa"/>
          </w:tcPr>
          <w:p w:rsidR="00915600" w:rsidRDefault="00915600" w:rsidP="0024428F">
            <w:pPr>
              <w:pStyle w:val="TableBody"/>
            </w:pPr>
            <w:r>
              <w:t xml:space="preserve">RMRALLOCFLAG </w:t>
            </w:r>
            <w:r>
              <w:rPr>
                <w:vertAlign w:val="subscript"/>
              </w:rPr>
              <w:t>q, r</w:t>
            </w:r>
          </w:p>
        </w:tc>
        <w:tc>
          <w:tcPr>
            <w:tcW w:w="1080" w:type="dxa"/>
          </w:tcPr>
          <w:p w:rsidR="00915600" w:rsidRDefault="00915600" w:rsidP="0024428F">
            <w:pPr>
              <w:pStyle w:val="TableBody"/>
            </w:pPr>
            <w:r>
              <w:t>none</w:t>
            </w:r>
          </w:p>
        </w:tc>
        <w:tc>
          <w:tcPr>
            <w:tcW w:w="6775" w:type="dxa"/>
          </w:tcPr>
          <w:p w:rsidR="00915600" w:rsidRDefault="00915600" w:rsidP="0024428F">
            <w:pPr>
              <w:pStyle w:val="TableBody"/>
            </w:pPr>
            <w:r>
              <w:rPr>
                <w:i/>
              </w:rPr>
              <w:t>Reliability Must-Run Startup Flag per QSE per Resource by hour</w:t>
            </w:r>
            <w:r>
              <w:t xml:space="preserve">—The number that indicates whether or not the startup fuel cost of RMR Unit </w:t>
            </w:r>
            <w:r>
              <w:rPr>
                <w:i/>
              </w:rPr>
              <w:t>r</w:t>
            </w:r>
            <w:r>
              <w:t xml:space="preserve"> represented by QSE </w:t>
            </w:r>
            <w:r>
              <w:rPr>
                <w:i/>
              </w:rPr>
              <w:t>q</w:t>
            </w:r>
            <w:r>
              <w:t xml:space="preserve"> is allocated to the hour.  Where for a Combined Cycle Train, the Resource </w:t>
            </w:r>
            <w:r w:rsidRPr="00B34C5D">
              <w:rPr>
                <w:i/>
              </w:rPr>
              <w:t>r</w:t>
            </w:r>
            <w:r>
              <w:rPr>
                <w:i/>
              </w:rPr>
              <w:t xml:space="preserve"> </w:t>
            </w:r>
            <w:r>
              <w:t xml:space="preserve">is the Combined Cycle Train.  The startup fuel cost will be allocated equally to all contiguous intervals for which there is an eligible start.  The RMRALLOCFLAG </w:t>
            </w:r>
            <w:r>
              <w:rPr>
                <w:vertAlign w:val="subscript"/>
              </w:rPr>
              <w:t xml:space="preserve">q, r </w:t>
            </w:r>
            <w:r>
              <w:t>value is 1 if the startup fuel cost is allocated; otherwise, its value is 0.</w:t>
            </w:r>
          </w:p>
          <w:p w:rsidR="00915600" w:rsidRDefault="00915600" w:rsidP="0024428F">
            <w:pPr>
              <w:pStyle w:val="TableBody"/>
              <w:rPr>
                <w:i/>
              </w:rPr>
            </w:pPr>
            <w:r>
              <w:t>The RMRALLOCFLAG</w:t>
            </w:r>
            <w:r>
              <w:rPr>
                <w:vertAlign w:val="subscript"/>
              </w:rPr>
              <w:t xml:space="preserve"> q, r</w:t>
            </w:r>
            <w:r>
              <w:t xml:space="preserve"> for eligibility is determined in Sections 5.6.2</w:t>
            </w:r>
            <w:r>
              <w:rPr>
                <w:iCs w:val="0"/>
              </w:rPr>
              <w:t>, RUC Startup Cost Eligibility,</w:t>
            </w:r>
            <w:r>
              <w:t xml:space="preserve"> and 5.6.3</w:t>
            </w:r>
            <w:r>
              <w:rPr>
                <w:iCs w:val="0"/>
              </w:rPr>
              <w:t>, Forced Outage of a RUC-Committed Resource,</w:t>
            </w:r>
            <w:r>
              <w:t xml:space="preserve"> for start-up payments and commitments in either the Reliability Unit Commitment (RUC) or DAM.</w:t>
            </w:r>
          </w:p>
        </w:tc>
      </w:tr>
      <w:tr w:rsidR="00915600" w:rsidTr="0024428F">
        <w:trPr>
          <w:cantSplit/>
        </w:trPr>
        <w:tc>
          <w:tcPr>
            <w:tcW w:w="2088" w:type="dxa"/>
          </w:tcPr>
          <w:p w:rsidR="00915600" w:rsidRDefault="00915600" w:rsidP="0024428F">
            <w:pPr>
              <w:pStyle w:val="TableBody"/>
            </w:pPr>
            <w:r>
              <w:t xml:space="preserve">RMRHR </w:t>
            </w:r>
            <w:r>
              <w:rPr>
                <w:vertAlign w:val="subscript"/>
              </w:rPr>
              <w:t>q, r, i</w:t>
            </w:r>
          </w:p>
        </w:tc>
        <w:tc>
          <w:tcPr>
            <w:tcW w:w="1080" w:type="dxa"/>
          </w:tcPr>
          <w:p w:rsidR="00915600" w:rsidRDefault="00915600" w:rsidP="0024428F">
            <w:pPr>
              <w:pStyle w:val="TableBody"/>
            </w:pPr>
            <w:r>
              <w:t>MMBtu /MWh</w:t>
            </w:r>
          </w:p>
        </w:tc>
        <w:tc>
          <w:tcPr>
            <w:tcW w:w="6775" w:type="dxa"/>
          </w:tcPr>
          <w:p w:rsidR="00915600" w:rsidRDefault="00915600" w:rsidP="0024428F">
            <w:pPr>
              <w:pStyle w:val="TableBody"/>
              <w:rPr>
                <w:i/>
              </w:rPr>
            </w:pPr>
            <w:r>
              <w:rPr>
                <w:i/>
              </w:rPr>
              <w:t>Reliability Must-Run Heat Rate per QSE per Resource by Settlement Interval by hour</w:t>
            </w:r>
            <w:r>
              <w:t>—The multiplier determined based on the input/output curve and the Real-Time generation of RMR Unit</w:t>
            </w:r>
            <w:r>
              <w:rPr>
                <w:i/>
              </w:rPr>
              <w:t xml:space="preserve"> r</w:t>
            </w:r>
            <w:r>
              <w:t xml:space="preserve"> represented by QSE </w:t>
            </w:r>
            <w:r>
              <w:rPr>
                <w:i/>
              </w:rPr>
              <w:t>q</w:t>
            </w:r>
            <w:r>
              <w:t xml:space="preserve">, for the 15-minute Settlement Interval </w:t>
            </w:r>
            <w:r>
              <w:rPr>
                <w:i/>
              </w:rPr>
              <w:t>i</w:t>
            </w:r>
            <w:r>
              <w:t xml:space="preserve"> in the hour.  Where for a Combined Cycle Train, the Resource </w:t>
            </w:r>
            <w:r w:rsidRPr="00B34C5D">
              <w:rPr>
                <w:i/>
              </w:rPr>
              <w:t>r</w:t>
            </w:r>
            <w:r>
              <w:rPr>
                <w:i/>
              </w:rPr>
              <w:t xml:space="preserve"> </w:t>
            </w:r>
            <w:r>
              <w:t>is the Combined Cycle Train.</w:t>
            </w:r>
          </w:p>
        </w:tc>
      </w:tr>
      <w:tr w:rsidR="00915600" w:rsidTr="0024428F">
        <w:trPr>
          <w:cantSplit/>
        </w:trPr>
        <w:tc>
          <w:tcPr>
            <w:tcW w:w="2088" w:type="dxa"/>
          </w:tcPr>
          <w:p w:rsidR="00915600" w:rsidRDefault="00915600" w:rsidP="0024428F">
            <w:pPr>
              <w:pStyle w:val="TableBody"/>
            </w:pPr>
            <w:r>
              <w:t xml:space="preserve">RMRVCC </w:t>
            </w:r>
            <w:r>
              <w:rPr>
                <w:vertAlign w:val="subscript"/>
              </w:rPr>
              <w:t>q, r</w:t>
            </w:r>
          </w:p>
        </w:tc>
        <w:tc>
          <w:tcPr>
            <w:tcW w:w="1080" w:type="dxa"/>
          </w:tcPr>
          <w:p w:rsidR="00915600" w:rsidRDefault="00915600" w:rsidP="0024428F">
            <w:pPr>
              <w:pStyle w:val="TableBody"/>
            </w:pPr>
            <w:r>
              <w:t>$/MWh</w:t>
            </w:r>
          </w:p>
        </w:tc>
        <w:tc>
          <w:tcPr>
            <w:tcW w:w="6775" w:type="dxa"/>
          </w:tcPr>
          <w:p w:rsidR="00915600" w:rsidRDefault="00915600" w:rsidP="0024428F">
            <w:pPr>
              <w:pStyle w:val="TableBody"/>
              <w:rPr>
                <w:i/>
              </w:rPr>
            </w:pPr>
            <w:r>
              <w:rPr>
                <w:i/>
              </w:rPr>
              <w:t>Reliability Must-Run Variable Cost Component per QSE per Resource</w:t>
            </w:r>
            <w:r>
              <w:t xml:space="preserve">—The monthly cost component that is used to adjust the energy cost calculation to reflect the actual fuel costs of RMR Unit </w:t>
            </w:r>
            <w:r>
              <w:rPr>
                <w:i/>
              </w:rPr>
              <w:t>r</w:t>
            </w:r>
            <w:r>
              <w:t xml:space="preserve"> represented by QSE </w:t>
            </w:r>
            <w:r>
              <w:rPr>
                <w:i/>
              </w:rPr>
              <w:t>q</w:t>
            </w:r>
            <w:r>
              <w:t xml:space="preserve">.  The value is initially set to zero.  For resettlements, see item (2) below.  Where for a Combined Cycle Train, the Resource </w:t>
            </w:r>
            <w:r w:rsidRPr="00B34C5D">
              <w:rPr>
                <w:i/>
              </w:rPr>
              <w:t>r</w:t>
            </w:r>
            <w:r>
              <w:rPr>
                <w:i/>
              </w:rPr>
              <w:t xml:space="preserve"> </w:t>
            </w:r>
            <w:r>
              <w:t>is the Combined Cycle Train.</w:t>
            </w:r>
          </w:p>
        </w:tc>
      </w:tr>
      <w:tr w:rsidR="00915600" w:rsidTr="0024428F">
        <w:trPr>
          <w:cantSplit/>
        </w:trPr>
        <w:tc>
          <w:tcPr>
            <w:tcW w:w="2088" w:type="dxa"/>
          </w:tcPr>
          <w:p w:rsidR="00915600" w:rsidRDefault="00915600" w:rsidP="0024428F">
            <w:pPr>
              <w:pStyle w:val="TableBody"/>
            </w:pPr>
            <w:r>
              <w:t xml:space="preserve">RTMG </w:t>
            </w:r>
            <w:r>
              <w:rPr>
                <w:vertAlign w:val="subscript"/>
              </w:rPr>
              <w:t>q, r, i,</w:t>
            </w:r>
          </w:p>
        </w:tc>
        <w:tc>
          <w:tcPr>
            <w:tcW w:w="1080" w:type="dxa"/>
          </w:tcPr>
          <w:p w:rsidR="00915600" w:rsidRDefault="00915600" w:rsidP="0024428F">
            <w:pPr>
              <w:pStyle w:val="TableBody"/>
            </w:pPr>
            <w:r>
              <w:t>MWh</w:t>
            </w:r>
          </w:p>
        </w:tc>
        <w:tc>
          <w:tcPr>
            <w:tcW w:w="6775" w:type="dxa"/>
          </w:tcPr>
          <w:p w:rsidR="00915600" w:rsidRDefault="00915600" w:rsidP="0024428F">
            <w:pPr>
              <w:pStyle w:val="TableBody"/>
              <w:rPr>
                <w:i/>
              </w:rPr>
            </w:pPr>
            <w:r>
              <w:rPr>
                <w:i/>
              </w:rPr>
              <w:t>Real-Time Metered Generation per QSE per Resource by Settlement Interval by hour</w:t>
            </w:r>
            <w:r>
              <w:t>—The Real-Time energy from RMR Unit</w:t>
            </w:r>
            <w:r>
              <w:rPr>
                <w:i/>
              </w:rPr>
              <w:t xml:space="preserve"> r</w:t>
            </w:r>
            <w:r>
              <w:t xml:space="preserve"> represented by QSE </w:t>
            </w:r>
            <w:r>
              <w:rPr>
                <w:i/>
              </w:rPr>
              <w:t>q</w:t>
            </w:r>
            <w:r>
              <w:t xml:space="preserve">, for the 15-minute Settlement Interval </w:t>
            </w:r>
            <w:r>
              <w:rPr>
                <w:i/>
              </w:rPr>
              <w:t xml:space="preserve">i </w:t>
            </w:r>
            <w:r w:rsidRPr="00D661BC">
              <w:t>in the hour</w:t>
            </w:r>
            <w:r>
              <w:rPr>
                <w:i/>
              </w:rPr>
              <w:t xml:space="preserve"> h</w:t>
            </w:r>
            <w:r>
              <w:t xml:space="preserve">.  Where for a Combined Cycle Train, the Resource </w:t>
            </w:r>
            <w:r w:rsidRPr="00B34C5D">
              <w:rPr>
                <w:i/>
              </w:rPr>
              <w:t>r</w:t>
            </w:r>
            <w:r>
              <w:rPr>
                <w:i/>
              </w:rPr>
              <w:t xml:space="preserve"> </w:t>
            </w:r>
            <w:r>
              <w:t>is the Combined Cycle Train.</w:t>
            </w:r>
          </w:p>
        </w:tc>
      </w:tr>
      <w:tr w:rsidR="00915600" w:rsidTr="0024428F">
        <w:trPr>
          <w:cantSplit/>
        </w:trPr>
        <w:tc>
          <w:tcPr>
            <w:tcW w:w="2088" w:type="dxa"/>
          </w:tcPr>
          <w:p w:rsidR="00915600" w:rsidRDefault="00915600" w:rsidP="0024428F">
            <w:pPr>
              <w:pStyle w:val="TableBody"/>
            </w:pPr>
            <w:r>
              <w:t>RMRCEFA</w:t>
            </w:r>
            <w:r>
              <w:rPr>
                <w:vertAlign w:val="subscript"/>
              </w:rPr>
              <w:t xml:space="preserve"> q, r</w:t>
            </w:r>
          </w:p>
        </w:tc>
        <w:tc>
          <w:tcPr>
            <w:tcW w:w="1080" w:type="dxa"/>
          </w:tcPr>
          <w:p w:rsidR="00915600" w:rsidRDefault="00915600" w:rsidP="0024428F">
            <w:pPr>
              <w:pStyle w:val="TableBody"/>
            </w:pPr>
            <w:r>
              <w:t>$/MMBtu</w:t>
            </w:r>
          </w:p>
        </w:tc>
        <w:tc>
          <w:tcPr>
            <w:tcW w:w="6775" w:type="dxa"/>
          </w:tcPr>
          <w:p w:rsidR="00915600" w:rsidRDefault="00915600" w:rsidP="0024428F">
            <w:pPr>
              <w:pStyle w:val="TableBody"/>
            </w:pPr>
            <w:r>
              <w:rPr>
                <w:i/>
              </w:rPr>
              <w:t>Reliability Must-Run Contractual Estimated Fuel Adder</w:t>
            </w:r>
            <w:r>
              <w:t xml:space="preserve">—The Estimated Fuel Adder that is contractually agreed upon in Section 22, Attachment B, Standard Form Reliability Must-Run Agreement.  Where for a Combined Cycle Train, the Resource </w:t>
            </w:r>
            <w:r w:rsidRPr="00B34C5D">
              <w:rPr>
                <w:i/>
              </w:rPr>
              <w:t>r</w:t>
            </w:r>
            <w:r>
              <w:rPr>
                <w:i/>
              </w:rPr>
              <w:t xml:space="preserve"> </w:t>
            </w:r>
            <w:r>
              <w:t xml:space="preserve">is the Combined Cycle Train.  </w:t>
            </w:r>
            <w:ins w:id="16" w:author="ERCOT" w:date="2011-03-29T11:16:00Z">
              <w:r>
                <w:t>The fuel adder will be subsequently trued up to reflect actual fuel costs as set forth in item (1) above.</w:t>
              </w:r>
            </w:ins>
          </w:p>
        </w:tc>
      </w:tr>
      <w:tr w:rsidR="00915600" w:rsidTr="0024428F">
        <w:trPr>
          <w:cantSplit/>
        </w:trPr>
        <w:tc>
          <w:tcPr>
            <w:tcW w:w="2088" w:type="dxa"/>
          </w:tcPr>
          <w:p w:rsidR="00915600" w:rsidRPr="00EF4122" w:rsidRDefault="00915600" w:rsidP="0024428F">
            <w:pPr>
              <w:pStyle w:val="TableBody"/>
              <w:rPr>
                <w:i/>
              </w:rPr>
            </w:pPr>
            <w:r w:rsidRPr="00D661BC">
              <w:rPr>
                <w:i/>
              </w:rPr>
              <w:t>q</w:t>
            </w:r>
          </w:p>
        </w:tc>
        <w:tc>
          <w:tcPr>
            <w:tcW w:w="1080" w:type="dxa"/>
          </w:tcPr>
          <w:p w:rsidR="00915600" w:rsidRDefault="00915600" w:rsidP="0024428F">
            <w:pPr>
              <w:pStyle w:val="TableBody"/>
            </w:pPr>
            <w:r>
              <w:t>none</w:t>
            </w:r>
          </w:p>
        </w:tc>
        <w:tc>
          <w:tcPr>
            <w:tcW w:w="6775" w:type="dxa"/>
          </w:tcPr>
          <w:p w:rsidR="00915600" w:rsidRDefault="00915600" w:rsidP="0024428F">
            <w:pPr>
              <w:pStyle w:val="TableBody"/>
            </w:pPr>
            <w:r>
              <w:t>A QSE.</w:t>
            </w:r>
          </w:p>
        </w:tc>
      </w:tr>
      <w:tr w:rsidR="00915600" w:rsidTr="0024428F">
        <w:trPr>
          <w:cantSplit/>
        </w:trPr>
        <w:tc>
          <w:tcPr>
            <w:tcW w:w="2088" w:type="dxa"/>
          </w:tcPr>
          <w:p w:rsidR="00915600" w:rsidRPr="00EF4122" w:rsidRDefault="00915600" w:rsidP="0024428F">
            <w:pPr>
              <w:pStyle w:val="TableBody"/>
              <w:rPr>
                <w:i/>
              </w:rPr>
            </w:pPr>
            <w:r w:rsidRPr="00D661BC">
              <w:rPr>
                <w:i/>
              </w:rPr>
              <w:lastRenderedPageBreak/>
              <w:t>r</w:t>
            </w:r>
          </w:p>
        </w:tc>
        <w:tc>
          <w:tcPr>
            <w:tcW w:w="1080" w:type="dxa"/>
          </w:tcPr>
          <w:p w:rsidR="00915600" w:rsidRDefault="00915600" w:rsidP="0024428F">
            <w:pPr>
              <w:pStyle w:val="TableBody"/>
            </w:pPr>
            <w:r>
              <w:t>none</w:t>
            </w:r>
          </w:p>
        </w:tc>
        <w:tc>
          <w:tcPr>
            <w:tcW w:w="6775" w:type="dxa"/>
          </w:tcPr>
          <w:p w:rsidR="00915600" w:rsidRDefault="00915600" w:rsidP="0024428F">
            <w:pPr>
              <w:pStyle w:val="TableBody"/>
            </w:pPr>
            <w:r>
              <w:t>An RMR Unit.</w:t>
            </w:r>
          </w:p>
        </w:tc>
      </w:tr>
      <w:tr w:rsidR="00915600" w:rsidTr="0024428F">
        <w:trPr>
          <w:cantSplit/>
        </w:trPr>
        <w:tc>
          <w:tcPr>
            <w:tcW w:w="2088" w:type="dxa"/>
          </w:tcPr>
          <w:p w:rsidR="00915600" w:rsidRPr="00EF4122" w:rsidRDefault="00915600" w:rsidP="0024428F">
            <w:pPr>
              <w:pStyle w:val="TableBody"/>
              <w:rPr>
                <w:i/>
              </w:rPr>
            </w:pPr>
            <w:r w:rsidRPr="00D661BC">
              <w:rPr>
                <w:i/>
              </w:rPr>
              <w:t>i</w:t>
            </w:r>
          </w:p>
        </w:tc>
        <w:tc>
          <w:tcPr>
            <w:tcW w:w="1080" w:type="dxa"/>
          </w:tcPr>
          <w:p w:rsidR="00915600" w:rsidRDefault="00915600" w:rsidP="0024428F">
            <w:pPr>
              <w:pStyle w:val="TableBody"/>
            </w:pPr>
            <w:r>
              <w:t>none</w:t>
            </w:r>
          </w:p>
        </w:tc>
        <w:tc>
          <w:tcPr>
            <w:tcW w:w="6775" w:type="dxa"/>
          </w:tcPr>
          <w:p w:rsidR="00915600" w:rsidRDefault="00915600" w:rsidP="0024428F">
            <w:pPr>
              <w:pStyle w:val="TableBody"/>
            </w:pPr>
            <w:r>
              <w:t>A 15-minute Settlement Interval.</w:t>
            </w:r>
          </w:p>
        </w:tc>
      </w:tr>
    </w:tbl>
    <w:p w:rsidR="00915600" w:rsidRDefault="00915600" w:rsidP="00915600">
      <w:pPr>
        <w:pStyle w:val="BodyTextNumbered"/>
        <w:spacing w:after="0"/>
      </w:pPr>
      <w:bookmarkStart w:id="17" w:name="_Toc103653363"/>
    </w:p>
    <w:bookmarkEnd w:id="17"/>
    <w:p w:rsidR="00915600" w:rsidRDefault="00915600" w:rsidP="00915600">
      <w:pPr>
        <w:pStyle w:val="BodyTextNumbered"/>
      </w:pPr>
      <w:r>
        <w:t>(2)</w:t>
      </w:r>
      <w:r>
        <w:tab/>
        <w:t>If the RMR actual fuel cost is filed in accordance with the timeline in these Protocols, the monthly RMR variable cost component is calculated for the subsequent resettlements as follows:</w:t>
      </w:r>
    </w:p>
    <w:p w:rsidR="00915600" w:rsidRDefault="00915600" w:rsidP="00915600">
      <w:pPr>
        <w:pStyle w:val="FormulaBold"/>
        <w:tabs>
          <w:tab w:val="left" w:pos="2610"/>
        </w:tabs>
        <w:spacing w:after="0"/>
        <w:rPr>
          <w:lang w:val="pt-BR"/>
        </w:rPr>
      </w:pPr>
      <w:r>
        <w:rPr>
          <w:lang w:val="pt-BR"/>
        </w:rPr>
        <w:t xml:space="preserve">RMRVCC </w:t>
      </w:r>
      <w:r>
        <w:rPr>
          <w:i/>
          <w:vertAlign w:val="subscript"/>
          <w:lang w:val="pt-BR"/>
        </w:rPr>
        <w:t>q, r</w:t>
      </w:r>
      <w:r>
        <w:rPr>
          <w:vertAlign w:val="subscript"/>
          <w:lang w:val="pt-BR"/>
        </w:rPr>
        <w:tab/>
      </w:r>
      <w:r>
        <w:rPr>
          <w:lang w:val="pt-BR"/>
        </w:rPr>
        <w:t>=</w:t>
      </w:r>
      <w:r>
        <w:rPr>
          <w:lang w:val="pt-BR"/>
        </w:rPr>
        <w:tab/>
        <w:t xml:space="preserve">(RMRMFCOST </w:t>
      </w:r>
      <w:r>
        <w:rPr>
          <w:i/>
          <w:vertAlign w:val="subscript"/>
          <w:lang w:val="pt-BR"/>
        </w:rPr>
        <w:t>q, r</w:t>
      </w:r>
      <w:r>
        <w:rPr>
          <w:lang w:val="pt-BR"/>
        </w:rPr>
        <w:t xml:space="preserve"> + </w:t>
      </w:r>
      <w:r w:rsidRPr="006F784F">
        <w:rPr>
          <w:position w:val="-20"/>
        </w:rPr>
        <w:object w:dxaOrig="220" w:dyaOrig="440">
          <v:shape id="_x0000_i1026" type="#_x0000_t75" style="width:11.25pt;height:21.75pt" o:ole="">
            <v:imagedata r:id="rId11" o:title=""/>
          </v:shape>
          <o:OLEObject Type="Embed" ProgID="Equation.3" ShapeID="_x0000_i1026" DrawAspect="Content" ObjectID="_1365592344" r:id="rId12"/>
        </w:object>
      </w:r>
      <w:r>
        <w:rPr>
          <w:lang w:val="pt-BR"/>
        </w:rPr>
        <w:t xml:space="preserve">RMREAMT </w:t>
      </w:r>
      <w:r>
        <w:rPr>
          <w:i/>
          <w:vertAlign w:val="subscript"/>
          <w:lang w:val="pt-BR"/>
        </w:rPr>
        <w:t>q, r, f, h</w:t>
      </w:r>
      <w:r>
        <w:rPr>
          <w:lang w:val="pt-BR"/>
        </w:rPr>
        <w:t xml:space="preserve">) / </w:t>
      </w:r>
    </w:p>
    <w:p w:rsidR="00915600" w:rsidRDefault="00915600" w:rsidP="00915600">
      <w:pPr>
        <w:pStyle w:val="FormulaBold"/>
        <w:tabs>
          <w:tab w:val="left" w:pos="2610"/>
        </w:tabs>
        <w:ind w:hanging="1350"/>
        <w:rPr>
          <w:lang w:val="pt-BR"/>
        </w:rPr>
      </w:pPr>
      <w:r>
        <w:rPr>
          <w:lang w:val="pt-BR"/>
        </w:rPr>
        <w:t>(</w:t>
      </w:r>
      <w:r w:rsidRPr="006F784F">
        <w:rPr>
          <w:position w:val="-20"/>
        </w:rPr>
        <w:object w:dxaOrig="220" w:dyaOrig="440">
          <v:shape id="_x0000_i1027" type="#_x0000_t75" style="width:11.25pt;height:21.75pt" o:ole="">
            <v:imagedata r:id="rId13" o:title=""/>
          </v:shape>
          <o:OLEObject Type="Embed" ProgID="Equation.3" ShapeID="_x0000_i1027" DrawAspect="Content" ObjectID="_1365592345" r:id="rId14"/>
        </w:object>
      </w:r>
      <w:r>
        <w:rPr>
          <w:lang w:val="pt-BR"/>
        </w:rPr>
        <w:t xml:space="preserve">RTMG </w:t>
      </w:r>
      <w:r>
        <w:rPr>
          <w:i/>
          <w:vertAlign w:val="subscript"/>
          <w:lang w:val="pt-BR"/>
        </w:rPr>
        <w:t>q, r, i</w:t>
      </w:r>
      <w:r>
        <w:rPr>
          <w:lang w:val="pt-BR"/>
        </w:rPr>
        <w:t>)</w:t>
      </w:r>
    </w:p>
    <w:p w:rsidR="00915600" w:rsidRDefault="00915600" w:rsidP="00915600">
      <w:r>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98"/>
        <w:gridCol w:w="776"/>
        <w:gridCol w:w="7038"/>
      </w:tblGrid>
      <w:tr w:rsidR="00915600" w:rsidTr="0024428F">
        <w:trPr>
          <w:cantSplit/>
          <w:tblHeader/>
        </w:trPr>
        <w:tc>
          <w:tcPr>
            <w:tcW w:w="1998" w:type="dxa"/>
          </w:tcPr>
          <w:p w:rsidR="00915600" w:rsidRDefault="00915600" w:rsidP="0024428F">
            <w:pPr>
              <w:pStyle w:val="TableHead"/>
            </w:pPr>
            <w:r>
              <w:t>Variable</w:t>
            </w:r>
          </w:p>
        </w:tc>
        <w:tc>
          <w:tcPr>
            <w:tcW w:w="776" w:type="dxa"/>
          </w:tcPr>
          <w:p w:rsidR="00915600" w:rsidRDefault="00915600" w:rsidP="0024428F">
            <w:pPr>
              <w:pStyle w:val="TableHead"/>
            </w:pPr>
            <w:r>
              <w:t>Unit</w:t>
            </w:r>
          </w:p>
        </w:tc>
        <w:tc>
          <w:tcPr>
            <w:tcW w:w="7038" w:type="dxa"/>
          </w:tcPr>
          <w:p w:rsidR="00915600" w:rsidRDefault="00915600" w:rsidP="0024428F">
            <w:pPr>
              <w:pStyle w:val="TableHead"/>
            </w:pPr>
            <w:r>
              <w:t>Definition</w:t>
            </w:r>
          </w:p>
        </w:tc>
      </w:tr>
      <w:tr w:rsidR="00915600" w:rsidTr="0024428F">
        <w:trPr>
          <w:cantSplit/>
        </w:trPr>
        <w:tc>
          <w:tcPr>
            <w:tcW w:w="1998" w:type="dxa"/>
          </w:tcPr>
          <w:p w:rsidR="00915600" w:rsidRDefault="00915600" w:rsidP="0024428F">
            <w:pPr>
              <w:pStyle w:val="TableBody"/>
            </w:pPr>
            <w:r>
              <w:t xml:space="preserve">RMRVCC </w:t>
            </w:r>
            <w:r>
              <w:rPr>
                <w:vertAlign w:val="subscript"/>
              </w:rPr>
              <w:t>q, r</w:t>
            </w:r>
          </w:p>
        </w:tc>
        <w:tc>
          <w:tcPr>
            <w:tcW w:w="776" w:type="dxa"/>
          </w:tcPr>
          <w:p w:rsidR="00915600" w:rsidRDefault="00915600" w:rsidP="0024428F">
            <w:pPr>
              <w:pStyle w:val="TableBody"/>
            </w:pPr>
            <w:r>
              <w:t>$/MWh</w:t>
            </w:r>
          </w:p>
        </w:tc>
        <w:tc>
          <w:tcPr>
            <w:tcW w:w="7038" w:type="dxa"/>
          </w:tcPr>
          <w:p w:rsidR="00915600" w:rsidRDefault="00915600" w:rsidP="0024428F">
            <w:pPr>
              <w:pStyle w:val="TableBody"/>
            </w:pPr>
            <w:r>
              <w:rPr>
                <w:i/>
              </w:rPr>
              <w:t>Reliability Must-Run Variable Cost Component per QSE per Resource</w:t>
            </w:r>
            <w:r>
              <w:t xml:space="preserve">—The monthly cost component that is used to adjust the energy cost calculation to reflect the actual fuel costs of RMR Unit </w:t>
            </w:r>
            <w:r>
              <w:rPr>
                <w:i/>
              </w:rPr>
              <w:t>r</w:t>
            </w:r>
            <w:r>
              <w:t xml:space="preserve"> represented by QSE </w:t>
            </w:r>
            <w:r>
              <w:rPr>
                <w:i/>
              </w:rPr>
              <w:t>q</w:t>
            </w:r>
            <w:r>
              <w:t xml:space="preserve">.  Where for a Combined Cycle Train, the Resource </w:t>
            </w:r>
            <w:r w:rsidRPr="00B34C5D">
              <w:rPr>
                <w:i/>
              </w:rPr>
              <w:t>r</w:t>
            </w:r>
            <w:r>
              <w:rPr>
                <w:i/>
              </w:rPr>
              <w:t xml:space="preserve"> </w:t>
            </w:r>
            <w:r>
              <w:t>is the Combined Cycle Train.</w:t>
            </w:r>
          </w:p>
        </w:tc>
      </w:tr>
      <w:tr w:rsidR="00915600" w:rsidTr="0024428F">
        <w:trPr>
          <w:cantSplit/>
        </w:trPr>
        <w:tc>
          <w:tcPr>
            <w:tcW w:w="1998" w:type="dxa"/>
          </w:tcPr>
          <w:p w:rsidR="00915600" w:rsidRDefault="00915600" w:rsidP="0024428F">
            <w:pPr>
              <w:pStyle w:val="TableBody"/>
            </w:pPr>
            <w:r>
              <w:t xml:space="preserve">RMRMFCOST </w:t>
            </w:r>
            <w:r>
              <w:rPr>
                <w:vertAlign w:val="subscript"/>
              </w:rPr>
              <w:t>q, r</w:t>
            </w:r>
          </w:p>
        </w:tc>
        <w:tc>
          <w:tcPr>
            <w:tcW w:w="776" w:type="dxa"/>
          </w:tcPr>
          <w:p w:rsidR="00915600" w:rsidRDefault="00915600" w:rsidP="0024428F">
            <w:pPr>
              <w:pStyle w:val="TableBody"/>
            </w:pPr>
            <w:r>
              <w:t>$</w:t>
            </w:r>
          </w:p>
        </w:tc>
        <w:tc>
          <w:tcPr>
            <w:tcW w:w="7038" w:type="dxa"/>
          </w:tcPr>
          <w:p w:rsidR="00915600" w:rsidRDefault="00915600" w:rsidP="0024428F">
            <w:pPr>
              <w:pStyle w:val="TableBody"/>
            </w:pPr>
            <w:r>
              <w:rPr>
                <w:i/>
              </w:rPr>
              <w:t>Reliability Must-Run Monthly actual Fuel Cost per QSE per Resource</w:t>
            </w:r>
            <w:r>
              <w:t xml:space="preserve">—The monthly actual fuel cost of RMR Unit </w:t>
            </w:r>
            <w:r>
              <w:rPr>
                <w:i/>
              </w:rPr>
              <w:t>r</w:t>
            </w:r>
            <w:r>
              <w:t xml:space="preserve"> represented by QSE </w:t>
            </w:r>
            <w:r>
              <w:rPr>
                <w:i/>
              </w:rPr>
              <w:t>q</w:t>
            </w:r>
            <w:r>
              <w:t xml:space="preserve">, for the month.  Where for a Combined Cycle Train, the Resource </w:t>
            </w:r>
            <w:r w:rsidRPr="00B34C5D">
              <w:rPr>
                <w:i/>
              </w:rPr>
              <w:t>r</w:t>
            </w:r>
            <w:r>
              <w:rPr>
                <w:i/>
              </w:rPr>
              <w:t xml:space="preserve"> </w:t>
            </w:r>
            <w:r>
              <w:t>is the Combined Cycle Train.</w:t>
            </w:r>
          </w:p>
        </w:tc>
      </w:tr>
      <w:tr w:rsidR="00915600" w:rsidTr="0024428F">
        <w:trPr>
          <w:cantSplit/>
        </w:trPr>
        <w:tc>
          <w:tcPr>
            <w:tcW w:w="1998" w:type="dxa"/>
          </w:tcPr>
          <w:p w:rsidR="00915600" w:rsidRDefault="00915600" w:rsidP="0024428F">
            <w:pPr>
              <w:pStyle w:val="TableBody"/>
            </w:pPr>
            <w:r>
              <w:t xml:space="preserve">RTMG </w:t>
            </w:r>
            <w:r>
              <w:rPr>
                <w:vertAlign w:val="subscript"/>
                <w:lang w:val="pt-BR"/>
              </w:rPr>
              <w:t xml:space="preserve">q, r, </w:t>
            </w:r>
            <w:r>
              <w:rPr>
                <w:vertAlign w:val="subscript"/>
              </w:rPr>
              <w:t>i</w:t>
            </w:r>
          </w:p>
        </w:tc>
        <w:tc>
          <w:tcPr>
            <w:tcW w:w="776" w:type="dxa"/>
          </w:tcPr>
          <w:p w:rsidR="00915600" w:rsidRDefault="00915600" w:rsidP="0024428F">
            <w:pPr>
              <w:pStyle w:val="TableBody"/>
            </w:pPr>
            <w:r>
              <w:t>MWh</w:t>
            </w:r>
          </w:p>
        </w:tc>
        <w:tc>
          <w:tcPr>
            <w:tcW w:w="7038" w:type="dxa"/>
          </w:tcPr>
          <w:p w:rsidR="00915600" w:rsidRDefault="00915600" w:rsidP="0024428F">
            <w:pPr>
              <w:pStyle w:val="TableBody"/>
            </w:pPr>
            <w:r>
              <w:rPr>
                <w:i/>
              </w:rPr>
              <w:t>Real-Time Metered Generation per QSE per Resource by Settlement Interval</w:t>
            </w:r>
            <w:r>
              <w:t xml:space="preserve">—The Real-Time energy from RMR Unit </w:t>
            </w:r>
            <w:r>
              <w:rPr>
                <w:i/>
              </w:rPr>
              <w:t>r</w:t>
            </w:r>
            <w:r>
              <w:t xml:space="preserve"> represented by QSE </w:t>
            </w:r>
            <w:r>
              <w:rPr>
                <w:i/>
              </w:rPr>
              <w:t>q</w:t>
            </w:r>
            <w:r>
              <w:t xml:space="preserve"> for the 15-minute Settlement Interval </w:t>
            </w:r>
            <w:r>
              <w:rPr>
                <w:i/>
              </w:rPr>
              <w:t>i</w:t>
            </w:r>
            <w:r>
              <w:t xml:space="preserve">.  Where for a Combined Cycle Train, the Resource </w:t>
            </w:r>
            <w:r w:rsidRPr="00B34C5D">
              <w:rPr>
                <w:i/>
              </w:rPr>
              <w:t>r</w:t>
            </w:r>
            <w:r>
              <w:rPr>
                <w:i/>
              </w:rPr>
              <w:t xml:space="preserve"> </w:t>
            </w:r>
            <w:r>
              <w:t>is the Combined Cycle Train.</w:t>
            </w:r>
          </w:p>
        </w:tc>
      </w:tr>
      <w:tr w:rsidR="00915600" w:rsidTr="0024428F">
        <w:trPr>
          <w:cantSplit/>
        </w:trPr>
        <w:tc>
          <w:tcPr>
            <w:tcW w:w="1998" w:type="dxa"/>
            <w:tcBorders>
              <w:top w:val="single" w:sz="4" w:space="0" w:color="auto"/>
              <w:left w:val="single" w:sz="4" w:space="0" w:color="auto"/>
              <w:bottom w:val="single" w:sz="4" w:space="0" w:color="auto"/>
              <w:right w:val="single" w:sz="4" w:space="0" w:color="auto"/>
            </w:tcBorders>
          </w:tcPr>
          <w:p w:rsidR="00915600" w:rsidRDefault="00915600" w:rsidP="0024428F">
            <w:pPr>
              <w:pStyle w:val="TableBody"/>
              <w:rPr>
                <w:lang w:val="de-DE"/>
              </w:rPr>
            </w:pPr>
            <w:r>
              <w:rPr>
                <w:lang w:val="de-DE"/>
              </w:rPr>
              <w:t xml:space="preserve">RMREAMT </w:t>
            </w:r>
            <w:r>
              <w:rPr>
                <w:vertAlign w:val="subscript"/>
                <w:lang w:val="de-DE"/>
              </w:rPr>
              <w:t>q, r, f, h</w:t>
            </w:r>
          </w:p>
        </w:tc>
        <w:tc>
          <w:tcPr>
            <w:tcW w:w="776" w:type="dxa"/>
            <w:tcBorders>
              <w:top w:val="single" w:sz="4" w:space="0" w:color="auto"/>
              <w:left w:val="single" w:sz="4" w:space="0" w:color="auto"/>
              <w:bottom w:val="single" w:sz="4" w:space="0" w:color="auto"/>
              <w:right w:val="single" w:sz="4" w:space="0" w:color="auto"/>
            </w:tcBorders>
          </w:tcPr>
          <w:p w:rsidR="00915600" w:rsidRDefault="00915600" w:rsidP="0024428F">
            <w:pPr>
              <w:pStyle w:val="TableBody"/>
            </w:pPr>
            <w:r>
              <w:t>$</w:t>
            </w:r>
          </w:p>
        </w:tc>
        <w:tc>
          <w:tcPr>
            <w:tcW w:w="7038" w:type="dxa"/>
            <w:tcBorders>
              <w:top w:val="single" w:sz="4" w:space="0" w:color="auto"/>
              <w:left w:val="single" w:sz="4" w:space="0" w:color="auto"/>
              <w:bottom w:val="single" w:sz="4" w:space="0" w:color="auto"/>
              <w:right w:val="single" w:sz="4" w:space="0" w:color="auto"/>
            </w:tcBorders>
          </w:tcPr>
          <w:p w:rsidR="00915600" w:rsidRDefault="00915600" w:rsidP="0024428F">
            <w:pPr>
              <w:pStyle w:val="TableBody"/>
            </w:pPr>
            <w:r>
              <w:rPr>
                <w:i/>
              </w:rPr>
              <w:t>Reliability Must-Run Energy Amount per QSE per Resource by hour</w:t>
            </w:r>
            <w:r>
              <w:t xml:space="preserve">—The energy payment to QSE </w:t>
            </w:r>
            <w:r w:rsidRPr="009115FC">
              <w:rPr>
                <w:i/>
              </w:rPr>
              <w:t>q</w:t>
            </w:r>
            <w:r>
              <w:t xml:space="preserve"> for RMR Unit </w:t>
            </w:r>
            <w:r w:rsidRPr="009115FC">
              <w:rPr>
                <w:i/>
              </w:rPr>
              <w:t>r</w:t>
            </w:r>
            <w:r>
              <w:t xml:space="preserve">, for the hour </w:t>
            </w:r>
            <w:r w:rsidRPr="009115FC">
              <w:rPr>
                <w:i/>
              </w:rPr>
              <w:t>h</w:t>
            </w:r>
            <w:r>
              <w:rPr>
                <w:i/>
              </w:rPr>
              <w:t>,</w:t>
            </w:r>
            <w:r>
              <w:t xml:space="preserve"> from the former Settlement Statement </w:t>
            </w:r>
            <w:r w:rsidRPr="009115FC">
              <w:rPr>
                <w:i/>
              </w:rPr>
              <w:t>f</w:t>
            </w:r>
            <w:r>
              <w:t xml:space="preserve">.  Where for a Combined Cycle Train, the Resource </w:t>
            </w:r>
            <w:r w:rsidRPr="00B34C5D">
              <w:rPr>
                <w:i/>
              </w:rPr>
              <w:t>r</w:t>
            </w:r>
            <w:r>
              <w:rPr>
                <w:i/>
              </w:rPr>
              <w:t xml:space="preserve"> </w:t>
            </w:r>
            <w:r>
              <w:t>is the Combined Cycle Train.</w:t>
            </w:r>
          </w:p>
        </w:tc>
      </w:tr>
      <w:tr w:rsidR="00915600" w:rsidTr="0024428F">
        <w:trPr>
          <w:cantSplit/>
        </w:trPr>
        <w:tc>
          <w:tcPr>
            <w:tcW w:w="1998" w:type="dxa"/>
          </w:tcPr>
          <w:p w:rsidR="00915600" w:rsidRPr="00696B95" w:rsidRDefault="00915600" w:rsidP="0024428F">
            <w:pPr>
              <w:pStyle w:val="TableBody"/>
              <w:rPr>
                <w:i/>
              </w:rPr>
            </w:pPr>
            <w:r w:rsidRPr="00D661BC">
              <w:rPr>
                <w:i/>
              </w:rPr>
              <w:t>q</w:t>
            </w:r>
          </w:p>
        </w:tc>
        <w:tc>
          <w:tcPr>
            <w:tcW w:w="776" w:type="dxa"/>
          </w:tcPr>
          <w:p w:rsidR="00915600" w:rsidRDefault="00915600" w:rsidP="0024428F">
            <w:pPr>
              <w:pStyle w:val="TableBody"/>
            </w:pPr>
            <w:r>
              <w:t>none</w:t>
            </w:r>
          </w:p>
        </w:tc>
        <w:tc>
          <w:tcPr>
            <w:tcW w:w="7038" w:type="dxa"/>
          </w:tcPr>
          <w:p w:rsidR="00915600" w:rsidRDefault="00915600" w:rsidP="0024428F">
            <w:pPr>
              <w:pStyle w:val="TableBody"/>
            </w:pPr>
            <w:r>
              <w:t>A QSE.</w:t>
            </w:r>
          </w:p>
        </w:tc>
      </w:tr>
      <w:tr w:rsidR="00915600" w:rsidTr="0024428F">
        <w:trPr>
          <w:cantSplit/>
        </w:trPr>
        <w:tc>
          <w:tcPr>
            <w:tcW w:w="1998" w:type="dxa"/>
          </w:tcPr>
          <w:p w:rsidR="00915600" w:rsidRPr="00696B95" w:rsidRDefault="00915600" w:rsidP="0024428F">
            <w:pPr>
              <w:pStyle w:val="TableBody"/>
              <w:rPr>
                <w:i/>
              </w:rPr>
            </w:pPr>
            <w:r w:rsidRPr="00D661BC">
              <w:rPr>
                <w:i/>
              </w:rPr>
              <w:t>r</w:t>
            </w:r>
          </w:p>
        </w:tc>
        <w:tc>
          <w:tcPr>
            <w:tcW w:w="776" w:type="dxa"/>
          </w:tcPr>
          <w:p w:rsidR="00915600" w:rsidRDefault="00915600" w:rsidP="0024428F">
            <w:pPr>
              <w:pStyle w:val="TableBody"/>
            </w:pPr>
            <w:r>
              <w:t>none</w:t>
            </w:r>
          </w:p>
        </w:tc>
        <w:tc>
          <w:tcPr>
            <w:tcW w:w="7038" w:type="dxa"/>
          </w:tcPr>
          <w:p w:rsidR="00915600" w:rsidRDefault="00915600" w:rsidP="0024428F">
            <w:pPr>
              <w:pStyle w:val="TableBody"/>
            </w:pPr>
            <w:r>
              <w:t>An RMR Unit.</w:t>
            </w:r>
          </w:p>
        </w:tc>
      </w:tr>
      <w:tr w:rsidR="00915600" w:rsidTr="0024428F">
        <w:trPr>
          <w:cantSplit/>
        </w:trPr>
        <w:tc>
          <w:tcPr>
            <w:tcW w:w="1998" w:type="dxa"/>
          </w:tcPr>
          <w:p w:rsidR="00915600" w:rsidRPr="00696B95" w:rsidRDefault="00915600" w:rsidP="0024428F">
            <w:pPr>
              <w:pStyle w:val="TableBody"/>
              <w:rPr>
                <w:i/>
              </w:rPr>
            </w:pPr>
            <w:r w:rsidRPr="00D661BC">
              <w:rPr>
                <w:i/>
              </w:rPr>
              <w:t>h</w:t>
            </w:r>
          </w:p>
        </w:tc>
        <w:tc>
          <w:tcPr>
            <w:tcW w:w="776" w:type="dxa"/>
          </w:tcPr>
          <w:p w:rsidR="00915600" w:rsidRDefault="00915600" w:rsidP="0024428F">
            <w:pPr>
              <w:pStyle w:val="TableBody"/>
            </w:pPr>
            <w:r>
              <w:t>none</w:t>
            </w:r>
          </w:p>
        </w:tc>
        <w:tc>
          <w:tcPr>
            <w:tcW w:w="7038" w:type="dxa"/>
          </w:tcPr>
          <w:p w:rsidR="00915600" w:rsidRDefault="00915600" w:rsidP="0024428F">
            <w:pPr>
              <w:pStyle w:val="TableBody"/>
              <w:rPr>
                <w:i/>
              </w:rPr>
            </w:pPr>
            <w:r>
              <w:t>An hour in the month.</w:t>
            </w:r>
          </w:p>
        </w:tc>
      </w:tr>
      <w:tr w:rsidR="00915600" w:rsidTr="0024428F">
        <w:trPr>
          <w:cantSplit/>
        </w:trPr>
        <w:tc>
          <w:tcPr>
            <w:tcW w:w="1998" w:type="dxa"/>
          </w:tcPr>
          <w:p w:rsidR="00915600" w:rsidRPr="00696B95" w:rsidRDefault="00915600" w:rsidP="0024428F">
            <w:pPr>
              <w:pStyle w:val="TableBody"/>
              <w:rPr>
                <w:i/>
              </w:rPr>
            </w:pPr>
            <w:r w:rsidRPr="00D661BC">
              <w:rPr>
                <w:i/>
              </w:rPr>
              <w:t>i</w:t>
            </w:r>
          </w:p>
        </w:tc>
        <w:tc>
          <w:tcPr>
            <w:tcW w:w="776" w:type="dxa"/>
          </w:tcPr>
          <w:p w:rsidR="00915600" w:rsidRDefault="00915600" w:rsidP="0024428F">
            <w:pPr>
              <w:pStyle w:val="TableBody"/>
            </w:pPr>
            <w:r>
              <w:t>none</w:t>
            </w:r>
          </w:p>
        </w:tc>
        <w:tc>
          <w:tcPr>
            <w:tcW w:w="7038" w:type="dxa"/>
          </w:tcPr>
          <w:p w:rsidR="00915600" w:rsidRDefault="00915600" w:rsidP="0024428F">
            <w:pPr>
              <w:pStyle w:val="TableBody"/>
              <w:rPr>
                <w:i/>
              </w:rPr>
            </w:pPr>
            <w:r>
              <w:t>A 15-minute Settlement Interval in the month.</w:t>
            </w:r>
          </w:p>
        </w:tc>
      </w:tr>
      <w:tr w:rsidR="00915600" w:rsidTr="0024428F">
        <w:trPr>
          <w:cantSplit/>
        </w:trPr>
        <w:tc>
          <w:tcPr>
            <w:tcW w:w="1998" w:type="dxa"/>
            <w:tcBorders>
              <w:top w:val="single" w:sz="4" w:space="0" w:color="auto"/>
              <w:left w:val="single" w:sz="4" w:space="0" w:color="auto"/>
              <w:bottom w:val="single" w:sz="4" w:space="0" w:color="auto"/>
              <w:right w:val="single" w:sz="4" w:space="0" w:color="auto"/>
            </w:tcBorders>
          </w:tcPr>
          <w:p w:rsidR="00915600" w:rsidRPr="00696B95" w:rsidRDefault="00915600" w:rsidP="0024428F">
            <w:pPr>
              <w:pStyle w:val="TableBody"/>
              <w:rPr>
                <w:i/>
              </w:rPr>
            </w:pPr>
            <w:r w:rsidRPr="00D661BC">
              <w:rPr>
                <w:i/>
              </w:rPr>
              <w:t>f</w:t>
            </w:r>
          </w:p>
        </w:tc>
        <w:tc>
          <w:tcPr>
            <w:tcW w:w="776" w:type="dxa"/>
            <w:tcBorders>
              <w:top w:val="single" w:sz="4" w:space="0" w:color="auto"/>
              <w:left w:val="single" w:sz="4" w:space="0" w:color="auto"/>
              <w:bottom w:val="single" w:sz="4" w:space="0" w:color="auto"/>
              <w:right w:val="single" w:sz="4" w:space="0" w:color="auto"/>
            </w:tcBorders>
          </w:tcPr>
          <w:p w:rsidR="00915600" w:rsidRDefault="00915600" w:rsidP="0024428F">
            <w:pPr>
              <w:pStyle w:val="TableBody"/>
            </w:pPr>
            <w:r>
              <w:t>none</w:t>
            </w:r>
          </w:p>
        </w:tc>
        <w:tc>
          <w:tcPr>
            <w:tcW w:w="7038" w:type="dxa"/>
            <w:tcBorders>
              <w:top w:val="single" w:sz="4" w:space="0" w:color="auto"/>
              <w:left w:val="single" w:sz="4" w:space="0" w:color="auto"/>
              <w:bottom w:val="single" w:sz="4" w:space="0" w:color="auto"/>
              <w:right w:val="single" w:sz="4" w:space="0" w:color="auto"/>
            </w:tcBorders>
          </w:tcPr>
          <w:p w:rsidR="00915600" w:rsidRDefault="00915600" w:rsidP="0024428F">
            <w:pPr>
              <w:pStyle w:val="TableBody"/>
            </w:pPr>
            <w:r>
              <w:t>Amount from former settlement run.</w:t>
            </w:r>
          </w:p>
        </w:tc>
      </w:tr>
    </w:tbl>
    <w:p w:rsidR="00915600" w:rsidRDefault="00915600" w:rsidP="00915600"/>
    <w:p w:rsidR="00915600" w:rsidRDefault="00915600" w:rsidP="00915600">
      <w:pPr>
        <w:pStyle w:val="BodyTextNumbered"/>
      </w:pPr>
      <w:r>
        <w:t>(3)</w:t>
      </w:r>
      <w:r>
        <w:tab/>
        <w:t>The total of the payments for energy to each QSE for all RMR Units represented by this QSE for a given hour is calculated as follows:</w:t>
      </w:r>
    </w:p>
    <w:p w:rsidR="00915600" w:rsidRDefault="00915600" w:rsidP="00915600">
      <w:pPr>
        <w:pStyle w:val="FormulaBold"/>
      </w:pPr>
      <w:r>
        <w:t xml:space="preserve">RMREAMTQSETOT </w:t>
      </w:r>
      <w:r>
        <w:rPr>
          <w:i/>
          <w:vertAlign w:val="subscript"/>
        </w:rPr>
        <w:t>q</w:t>
      </w:r>
      <w:r>
        <w:tab/>
        <w:t>=</w:t>
      </w:r>
      <w:r>
        <w:tab/>
      </w:r>
      <w:r w:rsidRPr="006F784F">
        <w:rPr>
          <w:position w:val="-18"/>
        </w:rPr>
        <w:object w:dxaOrig="220" w:dyaOrig="420">
          <v:shape id="_x0000_i1028" type="#_x0000_t75" style="width:11.25pt;height:21pt" o:ole="">
            <v:imagedata r:id="rId15" o:title=""/>
          </v:shape>
          <o:OLEObject Type="Embed" ProgID="Equation.3" ShapeID="_x0000_i1028" DrawAspect="Content" ObjectID="_1365592346" r:id="rId16"/>
        </w:object>
      </w:r>
      <w:r>
        <w:t xml:space="preserve">RMREAMT </w:t>
      </w:r>
      <w:r>
        <w:rPr>
          <w:i/>
          <w:vertAlign w:val="subscript"/>
        </w:rPr>
        <w:t>q, r</w:t>
      </w:r>
    </w:p>
    <w:p w:rsidR="00915600" w:rsidRDefault="00915600" w:rsidP="00915600">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5"/>
        <w:gridCol w:w="832"/>
        <w:gridCol w:w="6074"/>
      </w:tblGrid>
      <w:tr w:rsidR="00915600" w:rsidTr="0024428F">
        <w:tc>
          <w:tcPr>
            <w:tcW w:w="2165" w:type="dxa"/>
          </w:tcPr>
          <w:p w:rsidR="00915600" w:rsidRDefault="00915600" w:rsidP="0024428F">
            <w:pPr>
              <w:pStyle w:val="TableHead"/>
            </w:pPr>
            <w:r>
              <w:t>Variable</w:t>
            </w:r>
          </w:p>
        </w:tc>
        <w:tc>
          <w:tcPr>
            <w:tcW w:w="832" w:type="dxa"/>
          </w:tcPr>
          <w:p w:rsidR="00915600" w:rsidRDefault="00915600" w:rsidP="0024428F">
            <w:pPr>
              <w:pStyle w:val="TableHead"/>
            </w:pPr>
            <w:r>
              <w:t>Unit</w:t>
            </w:r>
          </w:p>
        </w:tc>
        <w:tc>
          <w:tcPr>
            <w:tcW w:w="6074" w:type="dxa"/>
          </w:tcPr>
          <w:p w:rsidR="00915600" w:rsidRDefault="00915600" w:rsidP="0024428F">
            <w:pPr>
              <w:pStyle w:val="TableHead"/>
            </w:pPr>
            <w:r>
              <w:t>Definition</w:t>
            </w:r>
          </w:p>
        </w:tc>
      </w:tr>
      <w:tr w:rsidR="00915600" w:rsidTr="0024428F">
        <w:tc>
          <w:tcPr>
            <w:tcW w:w="2165" w:type="dxa"/>
          </w:tcPr>
          <w:p w:rsidR="00915600" w:rsidRDefault="00915600" w:rsidP="0024428F">
            <w:pPr>
              <w:pStyle w:val="TableBody"/>
            </w:pPr>
            <w:r>
              <w:t xml:space="preserve">RMREAMTQSETOT </w:t>
            </w:r>
            <w:r>
              <w:rPr>
                <w:vertAlign w:val="subscript"/>
              </w:rPr>
              <w:t>q</w:t>
            </w:r>
          </w:p>
        </w:tc>
        <w:tc>
          <w:tcPr>
            <w:tcW w:w="832" w:type="dxa"/>
          </w:tcPr>
          <w:p w:rsidR="00915600" w:rsidRDefault="00915600" w:rsidP="0024428F">
            <w:pPr>
              <w:pStyle w:val="TableBody"/>
            </w:pPr>
            <w:r>
              <w:t>$</w:t>
            </w:r>
          </w:p>
        </w:tc>
        <w:tc>
          <w:tcPr>
            <w:tcW w:w="6074" w:type="dxa"/>
          </w:tcPr>
          <w:p w:rsidR="00915600" w:rsidRDefault="00915600" w:rsidP="0024428F">
            <w:pPr>
              <w:pStyle w:val="TableBody"/>
            </w:pPr>
            <w:r>
              <w:rPr>
                <w:i/>
              </w:rPr>
              <w:t>Reliability Must-Run Energy Amount QSE Total per QSE</w:t>
            </w:r>
            <w:r>
              <w:sym w:font="Symbol" w:char="F0BE"/>
            </w:r>
            <w:r>
              <w:t xml:space="preserve">The total of the energy payments to QSE </w:t>
            </w:r>
            <w:r>
              <w:rPr>
                <w:i/>
              </w:rPr>
              <w:t>q</w:t>
            </w:r>
            <w:r>
              <w:t xml:space="preserve"> for all RMR Units represented by this QSE for the hour.</w:t>
            </w:r>
          </w:p>
        </w:tc>
      </w:tr>
      <w:tr w:rsidR="00915600" w:rsidTr="0024428F">
        <w:tc>
          <w:tcPr>
            <w:tcW w:w="2165" w:type="dxa"/>
          </w:tcPr>
          <w:p w:rsidR="00915600" w:rsidRDefault="00915600" w:rsidP="0024428F">
            <w:pPr>
              <w:pStyle w:val="TableBody"/>
            </w:pPr>
            <w:r>
              <w:lastRenderedPageBreak/>
              <w:t xml:space="preserve">RMREAMT </w:t>
            </w:r>
            <w:r>
              <w:rPr>
                <w:vertAlign w:val="subscript"/>
              </w:rPr>
              <w:t>q, r</w:t>
            </w:r>
          </w:p>
        </w:tc>
        <w:tc>
          <w:tcPr>
            <w:tcW w:w="832" w:type="dxa"/>
          </w:tcPr>
          <w:p w:rsidR="00915600" w:rsidRDefault="00915600" w:rsidP="0024428F">
            <w:pPr>
              <w:pStyle w:val="TableBody"/>
            </w:pPr>
            <w:r>
              <w:t>$</w:t>
            </w:r>
          </w:p>
        </w:tc>
        <w:tc>
          <w:tcPr>
            <w:tcW w:w="6074" w:type="dxa"/>
          </w:tcPr>
          <w:p w:rsidR="00915600" w:rsidRDefault="00915600" w:rsidP="0024428F">
            <w:pPr>
              <w:pStyle w:val="TableBody"/>
            </w:pPr>
            <w:r>
              <w:rPr>
                <w:i/>
              </w:rPr>
              <w:t>Reliability Must-Run Energy Amount per QSE per Resource by hour</w:t>
            </w:r>
            <w:r>
              <w:t xml:space="preserve">—The energy payment to QSE </w:t>
            </w:r>
            <w:r>
              <w:rPr>
                <w:i/>
              </w:rPr>
              <w:t>q</w:t>
            </w:r>
            <w:r>
              <w:t xml:space="preserve"> for RMR Unit </w:t>
            </w:r>
            <w:r>
              <w:rPr>
                <w:i/>
              </w:rPr>
              <w:t>r</w:t>
            </w:r>
            <w:r>
              <w:t xml:space="preserve">, for the hour.  Where for a Combined Cycle Train, the Resource </w:t>
            </w:r>
            <w:r w:rsidRPr="00B34C5D">
              <w:rPr>
                <w:i/>
              </w:rPr>
              <w:t>r</w:t>
            </w:r>
            <w:r>
              <w:rPr>
                <w:i/>
              </w:rPr>
              <w:t xml:space="preserve"> </w:t>
            </w:r>
            <w:r>
              <w:t>is the Combined Cycle Train.</w:t>
            </w:r>
          </w:p>
        </w:tc>
      </w:tr>
      <w:tr w:rsidR="00915600" w:rsidTr="0024428F">
        <w:tc>
          <w:tcPr>
            <w:tcW w:w="2165" w:type="dxa"/>
            <w:tcBorders>
              <w:top w:val="single" w:sz="4" w:space="0" w:color="auto"/>
              <w:left w:val="single" w:sz="4" w:space="0" w:color="auto"/>
              <w:bottom w:val="single" w:sz="4" w:space="0" w:color="auto"/>
              <w:right w:val="single" w:sz="4" w:space="0" w:color="auto"/>
            </w:tcBorders>
          </w:tcPr>
          <w:p w:rsidR="00915600" w:rsidRPr="00EF4122" w:rsidRDefault="00915600" w:rsidP="0024428F">
            <w:pPr>
              <w:pStyle w:val="TableBody"/>
              <w:rPr>
                <w:i/>
              </w:rPr>
            </w:pPr>
            <w:r w:rsidRPr="00D661BC">
              <w:rPr>
                <w:i/>
              </w:rPr>
              <w:t>q</w:t>
            </w:r>
          </w:p>
        </w:tc>
        <w:tc>
          <w:tcPr>
            <w:tcW w:w="832" w:type="dxa"/>
            <w:tcBorders>
              <w:top w:val="single" w:sz="4" w:space="0" w:color="auto"/>
              <w:left w:val="single" w:sz="4" w:space="0" w:color="auto"/>
              <w:bottom w:val="single" w:sz="4" w:space="0" w:color="auto"/>
              <w:right w:val="single" w:sz="4" w:space="0" w:color="auto"/>
            </w:tcBorders>
          </w:tcPr>
          <w:p w:rsidR="00915600" w:rsidRDefault="00915600" w:rsidP="0024428F">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rsidR="00915600" w:rsidRDefault="00915600" w:rsidP="0024428F">
            <w:pPr>
              <w:pStyle w:val="TableBody"/>
            </w:pPr>
            <w:r>
              <w:t>A QSE.</w:t>
            </w:r>
          </w:p>
        </w:tc>
      </w:tr>
      <w:tr w:rsidR="00915600" w:rsidTr="0024428F">
        <w:tc>
          <w:tcPr>
            <w:tcW w:w="2165" w:type="dxa"/>
            <w:tcBorders>
              <w:top w:val="single" w:sz="4" w:space="0" w:color="auto"/>
              <w:left w:val="single" w:sz="4" w:space="0" w:color="auto"/>
              <w:bottom w:val="single" w:sz="4" w:space="0" w:color="auto"/>
              <w:right w:val="single" w:sz="4" w:space="0" w:color="auto"/>
            </w:tcBorders>
          </w:tcPr>
          <w:p w:rsidR="00915600" w:rsidRPr="00EF4122" w:rsidRDefault="00915600" w:rsidP="0024428F">
            <w:pPr>
              <w:pStyle w:val="TableBody"/>
              <w:rPr>
                <w:i/>
              </w:rPr>
            </w:pPr>
            <w:r w:rsidRPr="00D661BC">
              <w:rPr>
                <w:i/>
              </w:rPr>
              <w:t>r</w:t>
            </w:r>
          </w:p>
        </w:tc>
        <w:tc>
          <w:tcPr>
            <w:tcW w:w="832" w:type="dxa"/>
            <w:tcBorders>
              <w:top w:val="single" w:sz="4" w:space="0" w:color="auto"/>
              <w:left w:val="single" w:sz="4" w:space="0" w:color="auto"/>
              <w:bottom w:val="single" w:sz="4" w:space="0" w:color="auto"/>
              <w:right w:val="single" w:sz="4" w:space="0" w:color="auto"/>
            </w:tcBorders>
          </w:tcPr>
          <w:p w:rsidR="00915600" w:rsidRDefault="00915600" w:rsidP="0024428F">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rsidR="00915600" w:rsidRDefault="00915600" w:rsidP="0024428F">
            <w:pPr>
              <w:pStyle w:val="TableBody"/>
            </w:pPr>
            <w:r>
              <w:t>An RMR Unit.</w:t>
            </w:r>
          </w:p>
        </w:tc>
      </w:tr>
    </w:tbl>
    <w:p w:rsidR="00630FB4" w:rsidRDefault="00630FB4" w:rsidP="00CC13B4">
      <w:pPr>
        <w:pStyle w:val="BodyText"/>
      </w:pPr>
    </w:p>
    <w:sectPr w:rsidR="00630FB4" w:rsidSect="000A1FB0">
      <w:headerReference w:type="default" r:id="rId17"/>
      <w:footerReference w:type="default" r:id="rId18"/>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05FC" w:rsidRDefault="008D05FC">
      <w:r>
        <w:separator/>
      </w:r>
    </w:p>
  </w:endnote>
  <w:endnote w:type="continuationSeparator" w:id="0">
    <w:p w:rsidR="008D05FC" w:rsidRDefault="008D05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FB4" w:rsidRDefault="00915600" w:rsidP="008C6885">
    <w:pPr>
      <w:pStyle w:val="Footer"/>
      <w:tabs>
        <w:tab w:val="clear" w:pos="4320"/>
        <w:tab w:val="clear" w:pos="8640"/>
        <w:tab w:val="right" w:pos="9360"/>
      </w:tabs>
      <w:rPr>
        <w:rFonts w:ascii="Arial" w:hAnsi="Arial"/>
        <w:sz w:val="18"/>
      </w:rPr>
    </w:pPr>
    <w:r>
      <w:rPr>
        <w:rFonts w:ascii="Arial" w:hAnsi="Arial"/>
        <w:sz w:val="18"/>
      </w:rPr>
      <w:t>344</w:t>
    </w:r>
    <w:r w:rsidR="000A163A">
      <w:rPr>
        <w:rFonts w:ascii="Arial" w:hAnsi="Arial"/>
        <w:sz w:val="18"/>
      </w:rPr>
      <w:t>N</w:t>
    </w:r>
    <w:r w:rsidR="008C6885">
      <w:rPr>
        <w:rFonts w:ascii="Arial" w:hAnsi="Arial"/>
        <w:sz w:val="18"/>
      </w:rPr>
      <w:t>PRR-</w:t>
    </w:r>
    <w:r>
      <w:rPr>
        <w:rFonts w:ascii="Arial" w:hAnsi="Arial"/>
        <w:sz w:val="18"/>
      </w:rPr>
      <w:t>04</w:t>
    </w:r>
    <w:r w:rsidR="008C6885">
      <w:rPr>
        <w:rFonts w:ascii="Arial" w:hAnsi="Arial"/>
        <w:sz w:val="18"/>
      </w:rPr>
      <w:t xml:space="preserve"> </w:t>
    </w:r>
    <w:r w:rsidR="00B40895">
      <w:rPr>
        <w:rFonts w:ascii="Arial" w:hAnsi="Arial"/>
        <w:sz w:val="18"/>
      </w:rPr>
      <w:t xml:space="preserve">PRS </w:t>
    </w:r>
    <w:r w:rsidR="0072080C">
      <w:rPr>
        <w:rFonts w:ascii="Arial" w:hAnsi="Arial"/>
        <w:sz w:val="18"/>
      </w:rPr>
      <w:t xml:space="preserve">Report </w:t>
    </w:r>
    <w:r>
      <w:rPr>
        <w:rFonts w:ascii="Arial" w:hAnsi="Arial"/>
        <w:sz w:val="18"/>
      </w:rPr>
      <w:t>042111</w:t>
    </w:r>
    <w:r w:rsidR="00630FB4">
      <w:rPr>
        <w:rFonts w:ascii="Arial" w:hAnsi="Arial"/>
        <w:sz w:val="18"/>
      </w:rPr>
      <w:tab/>
      <w:t xml:space="preserve">Page </w:t>
    </w:r>
    <w:r w:rsidR="00630FB4">
      <w:rPr>
        <w:rFonts w:ascii="Arial" w:hAnsi="Arial"/>
        <w:sz w:val="18"/>
      </w:rPr>
      <w:fldChar w:fldCharType="begin"/>
    </w:r>
    <w:r w:rsidR="00630FB4">
      <w:rPr>
        <w:rFonts w:ascii="Arial" w:hAnsi="Arial"/>
        <w:sz w:val="18"/>
      </w:rPr>
      <w:instrText xml:space="preserve"> PAGE </w:instrText>
    </w:r>
    <w:r w:rsidR="00630FB4">
      <w:rPr>
        <w:rFonts w:ascii="Arial" w:hAnsi="Arial"/>
        <w:sz w:val="18"/>
      </w:rPr>
      <w:fldChar w:fldCharType="separate"/>
    </w:r>
    <w:r w:rsidR="009126B0">
      <w:rPr>
        <w:rFonts w:ascii="Arial" w:hAnsi="Arial"/>
        <w:noProof/>
        <w:sz w:val="18"/>
      </w:rPr>
      <w:t>1</w:t>
    </w:r>
    <w:r w:rsidR="00630FB4">
      <w:rPr>
        <w:rFonts w:ascii="Arial" w:hAnsi="Arial"/>
        <w:sz w:val="18"/>
      </w:rPr>
      <w:fldChar w:fldCharType="end"/>
    </w:r>
    <w:r w:rsidR="00630FB4">
      <w:rPr>
        <w:rFonts w:ascii="Arial" w:hAnsi="Arial"/>
        <w:sz w:val="18"/>
      </w:rPr>
      <w:t xml:space="preserve"> of </w:t>
    </w:r>
    <w:r w:rsidR="00630FB4">
      <w:rPr>
        <w:rFonts w:ascii="Arial" w:hAnsi="Arial"/>
        <w:sz w:val="18"/>
      </w:rPr>
      <w:fldChar w:fldCharType="begin"/>
    </w:r>
    <w:r w:rsidR="00630FB4">
      <w:rPr>
        <w:rFonts w:ascii="Arial" w:hAnsi="Arial"/>
        <w:sz w:val="18"/>
      </w:rPr>
      <w:instrText xml:space="preserve"> NUMPAGES </w:instrText>
    </w:r>
    <w:r w:rsidR="00630FB4">
      <w:rPr>
        <w:rFonts w:ascii="Arial" w:hAnsi="Arial"/>
        <w:sz w:val="18"/>
      </w:rPr>
      <w:fldChar w:fldCharType="separate"/>
    </w:r>
    <w:r w:rsidR="009126B0">
      <w:rPr>
        <w:rFonts w:ascii="Arial" w:hAnsi="Arial"/>
        <w:noProof/>
        <w:sz w:val="18"/>
      </w:rPr>
      <w:t>6</w:t>
    </w:r>
    <w:r w:rsidR="00630FB4">
      <w:rPr>
        <w:rFonts w:ascii="Arial" w:hAnsi="Arial"/>
        <w:sz w:val="18"/>
      </w:rPr>
      <w:fldChar w:fldCharType="end"/>
    </w:r>
  </w:p>
  <w:p w:rsidR="00402DE4" w:rsidRDefault="00402DE4" w:rsidP="00915600">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05FC" w:rsidRDefault="008D05FC">
      <w:r>
        <w:separator/>
      </w:r>
    </w:p>
  </w:footnote>
  <w:footnote w:type="continuationSeparator" w:id="0">
    <w:p w:rsidR="008D05FC" w:rsidRDefault="008D05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FB4" w:rsidRDefault="0072080C">
    <w:pPr>
      <w:pStyle w:val="Header"/>
      <w:jc w:val="center"/>
      <w:rPr>
        <w:sz w:val="32"/>
      </w:rPr>
    </w:pPr>
    <w:r>
      <w:rPr>
        <w:sz w:val="32"/>
      </w:rPr>
      <w:t xml:space="preserve">PRS </w:t>
    </w:r>
    <w:r w:rsidR="0065442E">
      <w:rPr>
        <w:sz w:val="32"/>
      </w:rPr>
      <w:t>Report</w:t>
    </w:r>
  </w:p>
  <w:p w:rsidR="00630FB4" w:rsidRDefault="00630FB4">
    <w:pPr>
      <w:pStyle w:val="Header"/>
      <w:rPr>
        <w:sz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BC5A5418"/>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6D180E87"/>
    <w:multiLevelType w:val="multilevel"/>
    <w:tmpl w:val="52A4B9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7">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E14232A"/>
    <w:multiLevelType w:val="hybridMultilevel"/>
    <w:tmpl w:val="52A4B9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6"/>
  </w:num>
  <w:num w:numId="4">
    <w:abstractNumId w:val="1"/>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2"/>
  </w:num>
  <w:num w:numId="15">
    <w:abstractNumId w:val="8"/>
  </w:num>
  <w:num w:numId="16">
    <w:abstractNumId w:val="4"/>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hdrShapeDefaults>
    <o:shapedefaults v:ext="edit" spidmax="3074"/>
  </w:hdrShapeDefaults>
  <w:footnotePr>
    <w:footnote w:id="-1"/>
    <w:footnote w:id="0"/>
  </w:footnotePr>
  <w:endnotePr>
    <w:endnote w:id="-1"/>
    <w:endnote w:id="0"/>
  </w:endnotePr>
  <w:compat/>
  <w:rsids>
    <w:rsidRoot w:val="00B93CA0"/>
    <w:rsid w:val="00035AE3"/>
    <w:rsid w:val="000611B2"/>
    <w:rsid w:val="00095877"/>
    <w:rsid w:val="000A163A"/>
    <w:rsid w:val="000A1FB0"/>
    <w:rsid w:val="000A42ED"/>
    <w:rsid w:val="000A6B12"/>
    <w:rsid w:val="000C7E86"/>
    <w:rsid w:val="000E375F"/>
    <w:rsid w:val="0010604E"/>
    <w:rsid w:val="0012688F"/>
    <w:rsid w:val="00144FC0"/>
    <w:rsid w:val="001527F2"/>
    <w:rsid w:val="00173E84"/>
    <w:rsid w:val="001C66A5"/>
    <w:rsid w:val="001F0371"/>
    <w:rsid w:val="001F2231"/>
    <w:rsid w:val="0020093C"/>
    <w:rsid w:val="00204D5F"/>
    <w:rsid w:val="002247A8"/>
    <w:rsid w:val="00226E82"/>
    <w:rsid w:val="0024428F"/>
    <w:rsid w:val="00252C15"/>
    <w:rsid w:val="00263CCE"/>
    <w:rsid w:val="002667E8"/>
    <w:rsid w:val="00270A64"/>
    <w:rsid w:val="002D3860"/>
    <w:rsid w:val="002F00AA"/>
    <w:rsid w:val="002F3A52"/>
    <w:rsid w:val="003246D7"/>
    <w:rsid w:val="00351BE0"/>
    <w:rsid w:val="00383223"/>
    <w:rsid w:val="0039321E"/>
    <w:rsid w:val="003A3D44"/>
    <w:rsid w:val="003E2966"/>
    <w:rsid w:val="003E5082"/>
    <w:rsid w:val="00402DE4"/>
    <w:rsid w:val="00405990"/>
    <w:rsid w:val="00416769"/>
    <w:rsid w:val="004216CC"/>
    <w:rsid w:val="004A14B4"/>
    <w:rsid w:val="005543FA"/>
    <w:rsid w:val="005909C1"/>
    <w:rsid w:val="005A6C4F"/>
    <w:rsid w:val="005B734C"/>
    <w:rsid w:val="006215B1"/>
    <w:rsid w:val="00627B04"/>
    <w:rsid w:val="00630FB4"/>
    <w:rsid w:val="0065442E"/>
    <w:rsid w:val="00662B66"/>
    <w:rsid w:val="00683DC9"/>
    <w:rsid w:val="006C3F70"/>
    <w:rsid w:val="006E7E09"/>
    <w:rsid w:val="006F64BC"/>
    <w:rsid w:val="0072080C"/>
    <w:rsid w:val="00730FA8"/>
    <w:rsid w:val="00744026"/>
    <w:rsid w:val="007B1997"/>
    <w:rsid w:val="00801E5F"/>
    <w:rsid w:val="00807265"/>
    <w:rsid w:val="00822372"/>
    <w:rsid w:val="00831D8E"/>
    <w:rsid w:val="00853004"/>
    <w:rsid w:val="00886FAE"/>
    <w:rsid w:val="00895AB9"/>
    <w:rsid w:val="008C6885"/>
    <w:rsid w:val="008D05FC"/>
    <w:rsid w:val="008F2CFE"/>
    <w:rsid w:val="00903426"/>
    <w:rsid w:val="00910E30"/>
    <w:rsid w:val="009126B0"/>
    <w:rsid w:val="00915600"/>
    <w:rsid w:val="00944960"/>
    <w:rsid w:val="0097026C"/>
    <w:rsid w:val="00976802"/>
    <w:rsid w:val="009B2A32"/>
    <w:rsid w:val="009D7C0C"/>
    <w:rsid w:val="00A1506D"/>
    <w:rsid w:val="00A16A9C"/>
    <w:rsid w:val="00A457CE"/>
    <w:rsid w:val="00A51D32"/>
    <w:rsid w:val="00AA38C1"/>
    <w:rsid w:val="00AD0AAE"/>
    <w:rsid w:val="00B23B44"/>
    <w:rsid w:val="00B34308"/>
    <w:rsid w:val="00B40895"/>
    <w:rsid w:val="00B82757"/>
    <w:rsid w:val="00B852F4"/>
    <w:rsid w:val="00B85BD1"/>
    <w:rsid w:val="00B93CA0"/>
    <w:rsid w:val="00C006F4"/>
    <w:rsid w:val="00C01DB5"/>
    <w:rsid w:val="00C21A19"/>
    <w:rsid w:val="00C35462"/>
    <w:rsid w:val="00C63519"/>
    <w:rsid w:val="00C67B64"/>
    <w:rsid w:val="00C72DAD"/>
    <w:rsid w:val="00C75226"/>
    <w:rsid w:val="00C75ABB"/>
    <w:rsid w:val="00C95FFC"/>
    <w:rsid w:val="00CC13B4"/>
    <w:rsid w:val="00D051D0"/>
    <w:rsid w:val="00D53BFE"/>
    <w:rsid w:val="00D6204F"/>
    <w:rsid w:val="00E0419C"/>
    <w:rsid w:val="00E20A63"/>
    <w:rsid w:val="00E66305"/>
    <w:rsid w:val="00E87E8C"/>
    <w:rsid w:val="00E90F4F"/>
    <w:rsid w:val="00EA3848"/>
    <w:rsid w:val="00F16015"/>
    <w:rsid w:val="00F17837"/>
    <w:rsid w:val="00F353F6"/>
    <w:rsid w:val="00F405FC"/>
    <w:rsid w:val="00F43905"/>
    <w:rsid w:val="00F573FE"/>
    <w:rsid w:val="00F60F29"/>
    <w:rsid w:val="00F67190"/>
    <w:rsid w:val="00F760E5"/>
    <w:rsid w:val="00FB3196"/>
    <w:rsid w:val="00FC6C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rsid w:val="000C7E86"/>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0C7E86"/>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0C7E86"/>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0C7E86"/>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0C7E86"/>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0C7E86"/>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0C7E86"/>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0C7E86"/>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0C7E86"/>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semiHidden/>
    <w:rsid w:val="000C7E86"/>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0C7E86"/>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sid w:val="000C7E86"/>
    <w:rPr>
      <w:color w:val="0000FF"/>
      <w:u w:val="single"/>
    </w:rPr>
  </w:style>
  <w:style w:type="paragraph" w:styleId="BodyText">
    <w:name w:val="Body Text"/>
    <w:basedOn w:val="Normal"/>
    <w:rsid w:val="003246D7"/>
    <w:pPr>
      <w:spacing w:after="240"/>
    </w:pPr>
  </w:style>
  <w:style w:type="paragraph" w:styleId="BodyTextIndent">
    <w:name w:val="Body Text Indent"/>
    <w:basedOn w:val="Normal"/>
    <w:rsid w:val="000C7E86"/>
    <w:pPr>
      <w:spacing w:after="240"/>
      <w:ind w:left="720"/>
    </w:pPr>
    <w:rPr>
      <w:iCs/>
      <w:szCs w:val="20"/>
    </w:rPr>
  </w:style>
  <w:style w:type="paragraph" w:customStyle="1" w:styleId="Bullet">
    <w:name w:val="Bullet"/>
    <w:basedOn w:val="Normal"/>
    <w:rsid w:val="000C7E86"/>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rsid w:val="000C7E86"/>
    <w:tblPr>
      <w:tblInd w:w="0" w:type="dxa"/>
      <w:tblBorders>
        <w:top w:val="single" w:sz="4" w:space="0" w:color="auto"/>
        <w:left w:val="single" w:sz="4" w:space="0" w:color="auto"/>
        <w:bottom w:val="single" w:sz="4" w:space="0" w:color="auto"/>
        <w:right w:val="single" w:sz="4" w:space="0" w:color="auto"/>
      </w:tblBorders>
      <w:tblCellMar>
        <w:top w:w="144" w:type="dxa"/>
        <w:left w:w="115" w:type="dxa"/>
        <w:bottom w:w="0" w:type="dxa"/>
        <w:right w:w="115" w:type="dxa"/>
      </w:tblCellMar>
    </w:tblPr>
    <w:tcPr>
      <w:shd w:val="clear" w:color="auto" w:fill="E0E0E0"/>
    </w:tcPr>
  </w:style>
  <w:style w:type="paragraph" w:customStyle="1" w:styleId="BulletIndent">
    <w:name w:val="Bullet Indent"/>
    <w:basedOn w:val="Normal"/>
    <w:rsid w:val="000C7E86"/>
    <w:pPr>
      <w:numPr>
        <w:numId w:val="4"/>
      </w:numPr>
      <w:tabs>
        <w:tab w:val="clear" w:pos="360"/>
        <w:tab w:val="num" w:pos="432"/>
      </w:tabs>
      <w:spacing w:after="180"/>
      <w:ind w:left="432" w:hanging="432"/>
    </w:pPr>
    <w:rPr>
      <w:szCs w:val="20"/>
    </w:rPr>
  </w:style>
  <w:style w:type="paragraph" w:styleId="FootnoteText">
    <w:name w:val="footnote text"/>
    <w:basedOn w:val="Normal"/>
    <w:semiHidden/>
    <w:rsid w:val="000C7E86"/>
    <w:rPr>
      <w:sz w:val="18"/>
      <w:szCs w:val="20"/>
    </w:rPr>
  </w:style>
  <w:style w:type="paragraph" w:customStyle="1" w:styleId="Formula">
    <w:name w:val="Formula"/>
    <w:basedOn w:val="Normal"/>
    <w:autoRedefine/>
    <w:rsid w:val="000C7E86"/>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0C7E86"/>
    <w:pPr>
      <w:tabs>
        <w:tab w:val="left" w:pos="2340"/>
        <w:tab w:val="left" w:pos="3420"/>
      </w:tabs>
      <w:spacing w:after="240"/>
      <w:ind w:left="3420" w:hanging="2700"/>
    </w:pPr>
    <w:rPr>
      <w:b/>
      <w:bCs/>
    </w:rPr>
  </w:style>
  <w:style w:type="table" w:customStyle="1" w:styleId="FormulaVariableTable">
    <w:name w:val="Formula Variable Table"/>
    <w:basedOn w:val="TableNormal"/>
    <w:rsid w:val="000C7E8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0C7E86"/>
    <w:pPr>
      <w:numPr>
        <w:ilvl w:val="0"/>
        <w:numId w:val="0"/>
      </w:numPr>
      <w:tabs>
        <w:tab w:val="left" w:pos="900"/>
      </w:tabs>
      <w:ind w:left="900" w:hanging="900"/>
    </w:pPr>
  </w:style>
  <w:style w:type="paragraph" w:customStyle="1" w:styleId="H3">
    <w:name w:val="H3"/>
    <w:basedOn w:val="Heading3"/>
    <w:next w:val="BodyText"/>
    <w:rsid w:val="000C7E86"/>
    <w:pPr>
      <w:numPr>
        <w:ilvl w:val="0"/>
        <w:numId w:val="0"/>
      </w:numPr>
      <w:tabs>
        <w:tab w:val="clear" w:pos="1008"/>
        <w:tab w:val="left" w:pos="1080"/>
      </w:tabs>
      <w:ind w:left="1080" w:hanging="1080"/>
    </w:pPr>
  </w:style>
  <w:style w:type="paragraph" w:customStyle="1" w:styleId="H4">
    <w:name w:val="H4"/>
    <w:basedOn w:val="Heading4"/>
    <w:next w:val="BodyText"/>
    <w:link w:val="H4Char"/>
    <w:rsid w:val="000C7E86"/>
    <w:pPr>
      <w:numPr>
        <w:ilvl w:val="0"/>
        <w:numId w:val="0"/>
      </w:numPr>
      <w:tabs>
        <w:tab w:val="clear" w:pos="1296"/>
        <w:tab w:val="left" w:pos="1260"/>
      </w:tabs>
      <w:ind w:left="1260" w:hanging="1260"/>
    </w:pPr>
  </w:style>
  <w:style w:type="paragraph" w:customStyle="1" w:styleId="H5">
    <w:name w:val="H5"/>
    <w:basedOn w:val="Heading5"/>
    <w:next w:val="BodyText"/>
    <w:rsid w:val="000C7E86"/>
    <w:pPr>
      <w:numPr>
        <w:ilvl w:val="0"/>
        <w:numId w:val="0"/>
      </w:numPr>
      <w:tabs>
        <w:tab w:val="clear" w:pos="1440"/>
        <w:tab w:val="left" w:pos="1620"/>
      </w:tabs>
      <w:ind w:left="1620" w:hanging="1620"/>
    </w:pPr>
  </w:style>
  <w:style w:type="paragraph" w:customStyle="1" w:styleId="H6">
    <w:name w:val="H6"/>
    <w:basedOn w:val="Heading6"/>
    <w:next w:val="BodyText"/>
    <w:rsid w:val="000C7E86"/>
    <w:pPr>
      <w:numPr>
        <w:ilvl w:val="0"/>
        <w:numId w:val="0"/>
      </w:numPr>
      <w:tabs>
        <w:tab w:val="clear" w:pos="1584"/>
        <w:tab w:val="left" w:pos="1800"/>
      </w:tabs>
      <w:ind w:left="1800" w:hanging="1800"/>
    </w:pPr>
  </w:style>
  <w:style w:type="paragraph" w:customStyle="1" w:styleId="H7">
    <w:name w:val="H7"/>
    <w:basedOn w:val="Heading7"/>
    <w:next w:val="BodyText"/>
    <w:rsid w:val="000C7E86"/>
    <w:pPr>
      <w:numPr>
        <w:ilvl w:val="0"/>
        <w:numId w:val="0"/>
      </w:numPr>
      <w:tabs>
        <w:tab w:val="clear" w:pos="1728"/>
        <w:tab w:val="left" w:pos="1980"/>
      </w:tabs>
      <w:ind w:left="1980" w:hanging="1980"/>
    </w:pPr>
    <w:rPr>
      <w:b/>
      <w:i/>
    </w:rPr>
  </w:style>
  <w:style w:type="paragraph" w:customStyle="1" w:styleId="H8">
    <w:name w:val="H8"/>
    <w:basedOn w:val="Heading8"/>
    <w:next w:val="BodyText"/>
    <w:rsid w:val="000C7E8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0C7E86"/>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0C7E86"/>
    <w:pPr>
      <w:keepNext/>
      <w:spacing w:before="240"/>
    </w:pPr>
    <w:rPr>
      <w:b/>
      <w:iCs/>
      <w:szCs w:val="20"/>
    </w:rPr>
  </w:style>
  <w:style w:type="paragraph" w:customStyle="1" w:styleId="Instructions">
    <w:name w:val="Instructions"/>
    <w:basedOn w:val="BodyText"/>
    <w:rsid w:val="000C7E86"/>
    <w:rPr>
      <w:b/>
      <w:i/>
      <w:iCs/>
    </w:rPr>
  </w:style>
  <w:style w:type="paragraph" w:styleId="List">
    <w:name w:val="List"/>
    <w:basedOn w:val="Normal"/>
    <w:rsid w:val="000C7E86"/>
    <w:pPr>
      <w:spacing w:after="240"/>
      <w:ind w:left="720" w:hanging="720"/>
    </w:pPr>
    <w:rPr>
      <w:szCs w:val="20"/>
    </w:rPr>
  </w:style>
  <w:style w:type="paragraph" w:styleId="List2">
    <w:name w:val="List 2"/>
    <w:basedOn w:val="Normal"/>
    <w:rsid w:val="000C7E86"/>
    <w:pPr>
      <w:spacing w:after="240"/>
      <w:ind w:left="1440" w:hanging="720"/>
    </w:pPr>
    <w:rPr>
      <w:szCs w:val="20"/>
    </w:rPr>
  </w:style>
  <w:style w:type="paragraph" w:styleId="List3">
    <w:name w:val="List 3"/>
    <w:basedOn w:val="Normal"/>
    <w:rsid w:val="000C7E86"/>
    <w:pPr>
      <w:spacing w:after="240"/>
      <w:ind w:left="2160" w:hanging="720"/>
    </w:pPr>
    <w:rPr>
      <w:szCs w:val="20"/>
    </w:rPr>
  </w:style>
  <w:style w:type="paragraph" w:customStyle="1" w:styleId="ListIntroduction">
    <w:name w:val="List Introduction"/>
    <w:basedOn w:val="BodyText"/>
    <w:rsid w:val="000C7E86"/>
    <w:pPr>
      <w:keepNext/>
    </w:pPr>
    <w:rPr>
      <w:iCs/>
      <w:szCs w:val="20"/>
    </w:rPr>
  </w:style>
  <w:style w:type="paragraph" w:customStyle="1" w:styleId="ListSub">
    <w:name w:val="List Sub"/>
    <w:basedOn w:val="List"/>
    <w:rsid w:val="000C7E86"/>
    <w:pPr>
      <w:ind w:firstLine="0"/>
    </w:pPr>
  </w:style>
  <w:style w:type="character" w:styleId="PageNumber">
    <w:name w:val="page number"/>
    <w:basedOn w:val="DefaultParagraphFont"/>
    <w:rsid w:val="000C7E86"/>
  </w:style>
  <w:style w:type="paragraph" w:customStyle="1" w:styleId="Spaceafterbox">
    <w:name w:val="Space after box"/>
    <w:basedOn w:val="Normal"/>
    <w:rsid w:val="000C7E86"/>
    <w:rPr>
      <w:szCs w:val="20"/>
    </w:rPr>
  </w:style>
  <w:style w:type="paragraph" w:customStyle="1" w:styleId="TableBody">
    <w:name w:val="Table Body"/>
    <w:basedOn w:val="BodyText"/>
    <w:rsid w:val="000C7E86"/>
    <w:pPr>
      <w:spacing w:after="60"/>
    </w:pPr>
    <w:rPr>
      <w:iCs/>
      <w:sz w:val="20"/>
      <w:szCs w:val="20"/>
    </w:rPr>
  </w:style>
  <w:style w:type="paragraph" w:customStyle="1" w:styleId="TableBullet">
    <w:name w:val="Table Bullet"/>
    <w:basedOn w:val="TableBody"/>
    <w:rsid w:val="000C7E86"/>
    <w:pPr>
      <w:numPr>
        <w:numId w:val="14"/>
      </w:numPr>
      <w:ind w:left="0" w:firstLine="0"/>
    </w:pPr>
  </w:style>
  <w:style w:type="table" w:styleId="TableGrid">
    <w:name w:val="Table Grid"/>
    <w:basedOn w:val="TableNormal"/>
    <w:rsid w:val="000C7E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
    <w:name w:val="Table Head"/>
    <w:basedOn w:val="BodyText"/>
    <w:rsid w:val="000C7E86"/>
    <w:rPr>
      <w:b/>
      <w:iCs/>
      <w:sz w:val="20"/>
      <w:szCs w:val="20"/>
    </w:rPr>
  </w:style>
  <w:style w:type="paragraph" w:styleId="TOC1">
    <w:name w:val="toc 1"/>
    <w:basedOn w:val="Normal"/>
    <w:next w:val="Normal"/>
    <w:autoRedefine/>
    <w:semiHidden/>
    <w:rsid w:val="000C7E86"/>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rsid w:val="000C7E86"/>
    <w:pPr>
      <w:tabs>
        <w:tab w:val="left" w:pos="1260"/>
        <w:tab w:val="right" w:leader="dot" w:pos="9360"/>
      </w:tabs>
      <w:ind w:left="1260" w:right="720" w:hanging="720"/>
    </w:pPr>
    <w:rPr>
      <w:sz w:val="20"/>
      <w:szCs w:val="20"/>
    </w:rPr>
  </w:style>
  <w:style w:type="paragraph" w:styleId="TOC3">
    <w:name w:val="toc 3"/>
    <w:basedOn w:val="Normal"/>
    <w:next w:val="Normal"/>
    <w:autoRedefine/>
    <w:semiHidden/>
    <w:rsid w:val="000C7E86"/>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rsid w:val="000C7E86"/>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0C7E86"/>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0C7E86"/>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0C7E86"/>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0C7E86"/>
    <w:pPr>
      <w:ind w:left="1680"/>
    </w:pPr>
    <w:rPr>
      <w:sz w:val="18"/>
      <w:szCs w:val="18"/>
    </w:rPr>
  </w:style>
  <w:style w:type="paragraph" w:styleId="TOC9">
    <w:name w:val="toc 9"/>
    <w:basedOn w:val="Normal"/>
    <w:next w:val="Normal"/>
    <w:autoRedefine/>
    <w:semiHidden/>
    <w:rsid w:val="000C7E86"/>
    <w:pPr>
      <w:ind w:left="1920"/>
    </w:pPr>
    <w:rPr>
      <w:sz w:val="18"/>
      <w:szCs w:val="18"/>
    </w:rPr>
  </w:style>
  <w:style w:type="paragraph" w:customStyle="1" w:styleId="VariableDefinition">
    <w:name w:val="Variable Definition"/>
    <w:basedOn w:val="BodyTextIndent"/>
    <w:rsid w:val="000C7E86"/>
    <w:pPr>
      <w:tabs>
        <w:tab w:val="left" w:pos="2160"/>
      </w:tabs>
      <w:ind w:left="2160" w:hanging="1440"/>
      <w:contextualSpacing/>
    </w:pPr>
  </w:style>
  <w:style w:type="table" w:customStyle="1" w:styleId="VariableTable">
    <w:name w:val="Variable Table"/>
    <w:basedOn w:val="TableNormal"/>
    <w:rsid w:val="000C7E86"/>
    <w:tblPr>
      <w:tblInd w:w="0" w:type="dxa"/>
      <w:tblCellMar>
        <w:top w:w="0" w:type="dxa"/>
        <w:left w:w="108" w:type="dxa"/>
        <w:bottom w:w="0" w:type="dxa"/>
        <w:right w:w="108" w:type="dxa"/>
      </w:tblCellMar>
    </w:tblPr>
  </w:style>
  <w:style w:type="paragraph" w:styleId="BalloonText">
    <w:name w:val="Balloon Text"/>
    <w:basedOn w:val="Normal"/>
    <w:semiHidden/>
    <w:rsid w:val="00C006F4"/>
    <w:rPr>
      <w:rFonts w:ascii="Tahoma" w:hAnsi="Tahoma" w:cs="Tahoma"/>
      <w:sz w:val="16"/>
      <w:szCs w:val="16"/>
    </w:rPr>
  </w:style>
  <w:style w:type="character" w:styleId="CommentReference">
    <w:name w:val="annotation reference"/>
    <w:basedOn w:val="DefaultParagraphFont"/>
    <w:semiHidden/>
    <w:rsid w:val="0010604E"/>
    <w:rPr>
      <w:sz w:val="16"/>
      <w:szCs w:val="16"/>
    </w:rPr>
  </w:style>
  <w:style w:type="paragraph" w:styleId="CommentText">
    <w:name w:val="annotation text"/>
    <w:basedOn w:val="Normal"/>
    <w:semiHidden/>
    <w:rsid w:val="0010604E"/>
    <w:rPr>
      <w:sz w:val="20"/>
      <w:szCs w:val="20"/>
    </w:rPr>
  </w:style>
  <w:style w:type="paragraph" w:styleId="CommentSubject">
    <w:name w:val="annotation subject"/>
    <w:basedOn w:val="CommentText"/>
    <w:next w:val="CommentText"/>
    <w:semiHidden/>
    <w:rsid w:val="0010604E"/>
    <w:rPr>
      <w:b/>
      <w:bCs/>
    </w:rPr>
  </w:style>
  <w:style w:type="character" w:customStyle="1" w:styleId="NormalArialChar">
    <w:name w:val="Normal+Arial Char"/>
    <w:basedOn w:val="DefaultParagraphFont"/>
    <w:link w:val="NormalArial"/>
    <w:rsid w:val="00B85BD1"/>
    <w:rPr>
      <w:rFonts w:ascii="Arial" w:hAnsi="Arial"/>
      <w:sz w:val="24"/>
      <w:szCs w:val="24"/>
      <w:lang w:val="en-US" w:eastAsia="en-US" w:bidi="ar-SA"/>
    </w:rPr>
  </w:style>
  <w:style w:type="character" w:customStyle="1" w:styleId="BodyTextNumberedChar1">
    <w:name w:val="Body Text Numbered Char1"/>
    <w:basedOn w:val="DefaultParagraphFont"/>
    <w:link w:val="BodyTextNumbered"/>
    <w:uiPriority w:val="99"/>
    <w:rsid w:val="00383223"/>
    <w:rPr>
      <w:iCs/>
      <w:sz w:val="24"/>
    </w:rPr>
  </w:style>
  <w:style w:type="paragraph" w:customStyle="1" w:styleId="BodyTextNumbered">
    <w:name w:val="Body Text Numbered"/>
    <w:basedOn w:val="BodyText"/>
    <w:link w:val="BodyTextNumberedChar1"/>
    <w:rsid w:val="00383223"/>
    <w:pPr>
      <w:ind w:left="720" w:hanging="720"/>
    </w:pPr>
    <w:rPr>
      <w:iCs/>
      <w:szCs w:val="20"/>
    </w:rPr>
  </w:style>
  <w:style w:type="character" w:customStyle="1" w:styleId="H4Char">
    <w:name w:val="H4 Char"/>
    <w:basedOn w:val="DefaultParagraphFont"/>
    <w:link w:val="H4"/>
    <w:rsid w:val="00915600"/>
    <w:rPr>
      <w:b/>
      <w:bCs/>
      <w:snapToGrid w:val="0"/>
      <w:sz w:val="24"/>
    </w:rPr>
  </w:style>
  <w:style w:type="character" w:customStyle="1" w:styleId="FormulaBoldChar">
    <w:name w:val="Formula Bold Char"/>
    <w:basedOn w:val="DefaultParagraphFont"/>
    <w:link w:val="FormulaBold"/>
    <w:rsid w:val="00915600"/>
    <w:rPr>
      <w:b/>
      <w:b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levine@ercot.com" TargetMode="External"/><Relationship Id="rId13" Type="http://schemas.openxmlformats.org/officeDocument/2006/relationships/image" Target="media/image3.wmf"/><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gonzalez@ercot.com" TargetMode="External"/><Relationship Id="rId12" Type="http://schemas.openxmlformats.org/officeDocument/2006/relationships/oleObject" Target="embeddings/oleObject2.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1674</Words>
  <Characters>9548</Characters>
  <Application>Microsoft Office Word</Application>
  <DocSecurity>4</DocSecurity>
  <Lines>79</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11200</CharactersWithSpaces>
  <SharedDoc>false</SharedDoc>
  <HLinks>
    <vt:vector size="12" baseType="variant">
      <vt:variant>
        <vt:i4>1900578</vt:i4>
      </vt:variant>
      <vt:variant>
        <vt:i4>3</vt:i4>
      </vt:variant>
      <vt:variant>
        <vt:i4>0</vt:i4>
      </vt:variant>
      <vt:variant>
        <vt:i4>5</vt:i4>
      </vt:variant>
      <vt:variant>
        <vt:lpwstr>mailto:jlevine@ercot.com</vt:lpwstr>
      </vt:variant>
      <vt:variant>
        <vt:lpwstr/>
      </vt:variant>
      <vt:variant>
        <vt:i4>7602267</vt:i4>
      </vt:variant>
      <vt:variant>
        <vt:i4>0</vt:i4>
      </vt:variant>
      <vt:variant>
        <vt:i4>0</vt:i4>
      </vt:variant>
      <vt:variant>
        <vt:i4>5</vt:i4>
      </vt:variant>
      <vt:variant>
        <vt:lpwstr>mailto:igonzalez@ercot.com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vspells</cp:lastModifiedBy>
  <cp:revision>2</cp:revision>
  <cp:lastPrinted>2004-09-29T14:26:00Z</cp:lastPrinted>
  <dcterms:created xsi:type="dcterms:W3CDTF">2011-04-29T19:26:00Z</dcterms:created>
  <dcterms:modified xsi:type="dcterms:W3CDTF">2011-04-29T19:26:00Z</dcterms:modified>
</cp:coreProperties>
</file>