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9D76F8">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9D76F8" w:rsidRDefault="009D76F8" w:rsidP="00A97F65">
            <w:pPr>
              <w:pStyle w:val="Header"/>
            </w:pPr>
            <w:r>
              <w:t>NPRR Number</w:t>
            </w:r>
          </w:p>
        </w:tc>
        <w:tc>
          <w:tcPr>
            <w:tcW w:w="1260" w:type="dxa"/>
            <w:tcBorders>
              <w:bottom w:val="single" w:sz="4" w:space="0" w:color="auto"/>
            </w:tcBorders>
            <w:vAlign w:val="center"/>
          </w:tcPr>
          <w:p w:rsidR="009D76F8" w:rsidRDefault="009D76F8" w:rsidP="00A97F65">
            <w:pPr>
              <w:pStyle w:val="Header"/>
            </w:pPr>
            <w:r>
              <w:t>319</w:t>
            </w:r>
          </w:p>
        </w:tc>
        <w:tc>
          <w:tcPr>
            <w:tcW w:w="900" w:type="dxa"/>
            <w:tcBorders>
              <w:bottom w:val="single" w:sz="4" w:space="0" w:color="auto"/>
            </w:tcBorders>
            <w:shd w:val="clear" w:color="auto" w:fill="FFFFFF"/>
            <w:vAlign w:val="center"/>
          </w:tcPr>
          <w:p w:rsidR="009D76F8" w:rsidRDefault="009D76F8" w:rsidP="00A97F65">
            <w:pPr>
              <w:pStyle w:val="Header"/>
            </w:pPr>
            <w:r>
              <w:t>NPRR Title</w:t>
            </w:r>
          </w:p>
        </w:tc>
        <w:tc>
          <w:tcPr>
            <w:tcW w:w="6660" w:type="dxa"/>
            <w:gridSpan w:val="2"/>
            <w:tcBorders>
              <w:bottom w:val="single" w:sz="4" w:space="0" w:color="auto"/>
            </w:tcBorders>
            <w:vAlign w:val="center"/>
          </w:tcPr>
          <w:p w:rsidR="009D76F8" w:rsidRDefault="009D76F8" w:rsidP="00A97F65">
            <w:pPr>
              <w:pStyle w:val="Header"/>
            </w:pPr>
            <w:r>
              <w:t>Required D</w:t>
            </w:r>
            <w:r w:rsidRPr="006B5E35">
              <w:t xml:space="preserve">ocumentation to </w:t>
            </w:r>
            <w:r>
              <w:t>R</w:t>
            </w:r>
            <w:r w:rsidRPr="006B5E35">
              <w:t xml:space="preserve">ecover </w:t>
            </w:r>
            <w:r>
              <w:t>Fuel Costs for RUC D</w:t>
            </w:r>
            <w:r w:rsidRPr="006B5E35">
              <w:t>eployments</w:t>
            </w:r>
          </w:p>
        </w:tc>
      </w:tr>
      <w:tr w:rsidR="005543FA">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5543FA" w:rsidRPr="00F573FE" w:rsidRDefault="005543FA" w:rsidP="00730FA8">
            <w:pPr>
              <w:pStyle w:val="Header"/>
            </w:pPr>
            <w:r>
              <w:t>Timeline</w:t>
            </w:r>
          </w:p>
        </w:tc>
        <w:tc>
          <w:tcPr>
            <w:tcW w:w="1260" w:type="dxa"/>
            <w:tcBorders>
              <w:bottom w:val="single" w:sz="4" w:space="0" w:color="auto"/>
            </w:tcBorders>
            <w:vAlign w:val="center"/>
          </w:tcPr>
          <w:p w:rsidR="005543FA" w:rsidRDefault="009D76F8" w:rsidP="00730FA8">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5543FA" w:rsidRDefault="00C75ABB" w:rsidP="00730FA8">
            <w:pPr>
              <w:pStyle w:val="Header"/>
            </w:pPr>
            <w:r>
              <w:t>Action</w:t>
            </w:r>
          </w:p>
        </w:tc>
        <w:tc>
          <w:tcPr>
            <w:tcW w:w="4680" w:type="dxa"/>
            <w:tcBorders>
              <w:bottom w:val="single" w:sz="4" w:space="0" w:color="auto"/>
            </w:tcBorders>
            <w:shd w:val="clear" w:color="auto" w:fill="FFFFFF"/>
            <w:vAlign w:val="center"/>
          </w:tcPr>
          <w:p w:rsidR="005543FA" w:rsidRPr="00BD786A" w:rsidRDefault="00D0263C" w:rsidP="00E0419C">
            <w:pPr>
              <w:pStyle w:val="Header"/>
              <w:rPr>
                <w:b w:val="0"/>
              </w:rPr>
            </w:pPr>
            <w:r>
              <w:rPr>
                <w:b w:val="0"/>
              </w:rPr>
              <w:t>Recommended Approval</w:t>
            </w:r>
          </w:p>
        </w:tc>
      </w:tr>
      <w:tr w:rsidR="00E66305">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E66305" w:rsidRDefault="00E66305">
            <w:pPr>
              <w:pStyle w:val="Header"/>
            </w:pPr>
            <w:r>
              <w:t xml:space="preserve">Date of </w:t>
            </w:r>
            <w:r w:rsidR="00807265">
              <w:t>Decision</w:t>
            </w:r>
          </w:p>
        </w:tc>
        <w:tc>
          <w:tcPr>
            <w:tcW w:w="7560" w:type="dxa"/>
            <w:gridSpan w:val="3"/>
            <w:tcBorders>
              <w:top w:val="single" w:sz="4" w:space="0" w:color="auto"/>
            </w:tcBorders>
            <w:vAlign w:val="center"/>
          </w:tcPr>
          <w:p w:rsidR="00E66305" w:rsidRDefault="00C53DA3" w:rsidP="00C53DA3">
            <w:pPr>
              <w:pStyle w:val="NormalArial"/>
            </w:pPr>
            <w:r>
              <w:t>April 21</w:t>
            </w:r>
            <w:r w:rsidR="00EB4653">
              <w:t>, 2011</w:t>
            </w:r>
          </w:p>
        </w:tc>
      </w:tr>
      <w:tr w:rsidR="00B85BD1" w:rsidTr="00D051D0">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B85BD1" w:rsidRDefault="00B85BD1" w:rsidP="00D051D0">
            <w:pPr>
              <w:pStyle w:val="Header"/>
            </w:pPr>
            <w:r>
              <w:t>Proposed Effective Date</w:t>
            </w:r>
          </w:p>
        </w:tc>
        <w:tc>
          <w:tcPr>
            <w:tcW w:w="7560" w:type="dxa"/>
            <w:gridSpan w:val="3"/>
            <w:vAlign w:val="center"/>
          </w:tcPr>
          <w:p w:rsidR="00B85BD1" w:rsidRDefault="001F1CD8" w:rsidP="00D051D0">
            <w:pPr>
              <w:pStyle w:val="NormalArial"/>
            </w:pPr>
            <w:r>
              <w:t>To be determined.</w:t>
            </w:r>
          </w:p>
        </w:tc>
      </w:tr>
      <w:tr w:rsidR="00B85BD1" w:rsidTr="00D051D0">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B85BD1" w:rsidRDefault="00B85BD1" w:rsidP="00D051D0">
            <w:pPr>
              <w:pStyle w:val="Header"/>
            </w:pPr>
            <w:r>
              <w:t>Priority and Rank Assigned</w:t>
            </w:r>
          </w:p>
        </w:tc>
        <w:tc>
          <w:tcPr>
            <w:tcW w:w="7560" w:type="dxa"/>
            <w:gridSpan w:val="3"/>
            <w:vAlign w:val="center"/>
          </w:tcPr>
          <w:p w:rsidR="00B85BD1" w:rsidRDefault="001F1CD8" w:rsidP="00D051D0">
            <w:pPr>
              <w:pStyle w:val="NormalArial"/>
            </w:pPr>
            <w:r>
              <w:t>To be determined.</w:t>
            </w:r>
          </w:p>
        </w:tc>
      </w:tr>
      <w:tr w:rsidR="009D76F8">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9D76F8" w:rsidRDefault="009D76F8" w:rsidP="00A97F65">
            <w:pPr>
              <w:pStyle w:val="Header"/>
            </w:pPr>
            <w:r>
              <w:t>Nodal Protocol Section Requiring Revision</w:t>
            </w:r>
          </w:p>
        </w:tc>
        <w:tc>
          <w:tcPr>
            <w:tcW w:w="7560" w:type="dxa"/>
            <w:gridSpan w:val="3"/>
            <w:tcBorders>
              <w:top w:val="single" w:sz="4" w:space="0" w:color="auto"/>
            </w:tcBorders>
            <w:vAlign w:val="center"/>
          </w:tcPr>
          <w:p w:rsidR="009D76F8" w:rsidRDefault="009D76F8" w:rsidP="00A97F65">
            <w:pPr>
              <w:pStyle w:val="NormalArial"/>
            </w:pPr>
            <w:r>
              <w:t>9.14.7, Disputes for RUC Make-Whole Payment for Exceptional Fuel Costs</w:t>
            </w:r>
          </w:p>
        </w:tc>
      </w:tr>
      <w:tr w:rsidR="009D76F8">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9D76F8" w:rsidRDefault="009D76F8">
            <w:pPr>
              <w:pStyle w:val="Header"/>
            </w:pPr>
            <w:r>
              <w:t>Revision Description</w:t>
            </w:r>
          </w:p>
        </w:tc>
        <w:tc>
          <w:tcPr>
            <w:tcW w:w="7560" w:type="dxa"/>
            <w:gridSpan w:val="3"/>
            <w:tcBorders>
              <w:bottom w:val="single" w:sz="4" w:space="0" w:color="auto"/>
            </w:tcBorders>
            <w:vAlign w:val="center"/>
          </w:tcPr>
          <w:p w:rsidR="009D76F8" w:rsidRDefault="009D76F8" w:rsidP="00A97F65">
            <w:pPr>
              <w:pStyle w:val="NormalArial"/>
            </w:pPr>
            <w:r w:rsidRPr="002654DF">
              <w:rPr>
                <w:rFonts w:cs="Arial"/>
              </w:rPr>
              <w:t xml:space="preserve">This </w:t>
            </w:r>
            <w:r>
              <w:rPr>
                <w:rFonts w:cs="Arial"/>
              </w:rPr>
              <w:t>Nodal Protocol Revision Request (NPRR) clarifies what type of documentation Qualified Scheduling Entities (QSEs) must submit to ERCOT as proof of natural gas purchases when requesting additional compensation for fuel costs incurred when providing Reliability Unit Commitment (RUC) services.  The NPRR further clarifies which documents are deemed acceptable as proof of fuel purchases and directs QSEs to request ERCOT Board approval for documentation not covered by the Nodal Protocols.</w:t>
            </w:r>
          </w:p>
        </w:tc>
      </w:tr>
      <w:tr w:rsidR="009D76F8" w:rsidTr="00D051D0">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9D76F8" w:rsidRDefault="009D76F8" w:rsidP="00D051D0">
            <w:pPr>
              <w:pStyle w:val="Header"/>
            </w:pPr>
            <w:r>
              <w:t>Reason for Revision</w:t>
            </w:r>
          </w:p>
        </w:tc>
        <w:tc>
          <w:tcPr>
            <w:tcW w:w="7560" w:type="dxa"/>
            <w:gridSpan w:val="3"/>
            <w:tcBorders>
              <w:bottom w:val="single" w:sz="4" w:space="0" w:color="auto"/>
            </w:tcBorders>
            <w:vAlign w:val="center"/>
          </w:tcPr>
          <w:p w:rsidR="009D76F8" w:rsidRDefault="009D76F8" w:rsidP="00A97F65">
            <w:pPr>
              <w:pStyle w:val="NormalArial"/>
              <w:rPr>
                <w:rFonts w:cs="Arial"/>
              </w:rPr>
            </w:pPr>
            <w:r>
              <w:t xml:space="preserve">This NPRR is being submitted by ERCOT to clarify the type of evidence a QSE must supply to ERCOT as proof of fuel purchases made intra-day as a result of </w:t>
            </w:r>
            <w:r>
              <w:rPr>
                <w:rFonts w:cs="Arial"/>
              </w:rPr>
              <w:t>providing a RUC service.  The existing language in Section 9.14.7 was introduced with NPRR174, FIP Modifications in Verifiable Startup and Minimum Energy Costs and Recovery of Exceptional Fuel Costs During RUC Intervals.  This language, however, is not clear on the type of documentation a QSE must file with ERCOT as proof of fuel purchases.</w:t>
            </w:r>
          </w:p>
          <w:p w:rsidR="009D76F8" w:rsidRDefault="009D76F8" w:rsidP="00A97F65">
            <w:pPr>
              <w:pStyle w:val="NormalArial"/>
              <w:rPr>
                <w:rFonts w:cs="Arial"/>
              </w:rPr>
            </w:pPr>
          </w:p>
          <w:p w:rsidR="009D76F8" w:rsidRDefault="009D76F8" w:rsidP="00A97F65">
            <w:pPr>
              <w:pStyle w:val="NormalArial"/>
            </w:pPr>
            <w:r>
              <w:rPr>
                <w:rFonts w:cs="Arial"/>
              </w:rPr>
              <w:t xml:space="preserve">The intent of NPRR174 was to compensate QSEs for fuel purchases made intra-day to recover the costs of spot market fuel as a result of a RUC deployment and the QSE’s inability to make arrangements to purchase fuel in advance of the RUC deployment, since a QSE may not know if a particular Resource is going to be deployed by RUC before the gas market closes during the early hours of the Day-Ahead Market (DAM).  Hence, it was the intent of the market to allow for additional compensation of intra-day fuel purchases whenever the QSE showed proof of such costs.  However, ERCOT does not believe the intent of the market was to allow as documentation bilateral contracts between a QSE and a third party unless the third party’s primary business is providing (buying, selling or transporting) fuel services.  ERCOT is of the opinion that if bilateral contracts between two parties are allowed as proof of fuel purchases, there is no incentive for QSEs to negotiate for “the best price” knowing full well that the incremental costs above the Fuel Index Price (FIP) used </w:t>
            </w:r>
            <w:r>
              <w:rPr>
                <w:rFonts w:cs="Arial"/>
              </w:rPr>
              <w:lastRenderedPageBreak/>
              <w:t>by ERCOT in establishing fuel costs can be recuperated via a Settlement dispute.</w:t>
            </w:r>
          </w:p>
        </w:tc>
      </w:tr>
      <w:tr w:rsidR="009D76F8">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9D76F8" w:rsidRDefault="009D76F8">
            <w:pPr>
              <w:pStyle w:val="Header"/>
            </w:pPr>
            <w:r>
              <w:lastRenderedPageBreak/>
              <w:t>Overall Market Benefit</w:t>
            </w:r>
          </w:p>
        </w:tc>
        <w:tc>
          <w:tcPr>
            <w:tcW w:w="7560" w:type="dxa"/>
            <w:gridSpan w:val="3"/>
            <w:tcBorders>
              <w:bottom w:val="single" w:sz="4" w:space="0" w:color="auto"/>
            </w:tcBorders>
            <w:vAlign w:val="center"/>
          </w:tcPr>
          <w:p w:rsidR="009D76F8" w:rsidRDefault="009D76F8" w:rsidP="00A97F65">
            <w:pPr>
              <w:pStyle w:val="NormalArial"/>
            </w:pPr>
            <w:r>
              <w:t xml:space="preserve">Better understanding of proof required to recover </w:t>
            </w:r>
            <w:r>
              <w:rPr>
                <w:rFonts w:cs="Arial"/>
              </w:rPr>
              <w:t>fuel costs incurred when providing RUC services</w:t>
            </w:r>
            <w:r>
              <w:t>.</w:t>
            </w:r>
          </w:p>
        </w:tc>
      </w:tr>
      <w:tr w:rsidR="009D76F8">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9D76F8" w:rsidRDefault="009D76F8">
            <w:pPr>
              <w:pStyle w:val="Header"/>
            </w:pPr>
            <w:r>
              <w:t>Overall Market Impact</w:t>
            </w:r>
          </w:p>
        </w:tc>
        <w:tc>
          <w:tcPr>
            <w:tcW w:w="7560" w:type="dxa"/>
            <w:gridSpan w:val="3"/>
            <w:tcBorders>
              <w:bottom w:val="single" w:sz="4" w:space="0" w:color="auto"/>
            </w:tcBorders>
            <w:vAlign w:val="center"/>
          </w:tcPr>
          <w:p w:rsidR="009D76F8" w:rsidRDefault="009D76F8" w:rsidP="00A97F65">
            <w:pPr>
              <w:pStyle w:val="NormalArial"/>
            </w:pPr>
            <w:r>
              <w:t>Limits types of contracts that can be used as proof of fuel costs.</w:t>
            </w:r>
          </w:p>
        </w:tc>
      </w:tr>
      <w:tr w:rsidR="009D76F8">
        <w:tblPrEx>
          <w:tblCellMar>
            <w:top w:w="0" w:type="dxa"/>
            <w:bottom w:w="0" w:type="dxa"/>
          </w:tblCellMar>
        </w:tblPrEx>
        <w:trPr>
          <w:trHeight w:val="512"/>
        </w:trPr>
        <w:tc>
          <w:tcPr>
            <w:tcW w:w="2880" w:type="dxa"/>
            <w:gridSpan w:val="2"/>
            <w:shd w:val="clear" w:color="auto" w:fill="FFFFFF"/>
            <w:vAlign w:val="center"/>
          </w:tcPr>
          <w:p w:rsidR="009D76F8" w:rsidRDefault="009D76F8">
            <w:pPr>
              <w:pStyle w:val="Header"/>
            </w:pPr>
            <w:r>
              <w:t>Consumer Impact</w:t>
            </w:r>
          </w:p>
        </w:tc>
        <w:tc>
          <w:tcPr>
            <w:tcW w:w="7560" w:type="dxa"/>
            <w:gridSpan w:val="3"/>
            <w:vAlign w:val="center"/>
          </w:tcPr>
          <w:p w:rsidR="009D76F8" w:rsidRDefault="009D76F8" w:rsidP="00A97F65">
            <w:pPr>
              <w:pStyle w:val="NormalArial"/>
            </w:pPr>
            <w:r>
              <w:t>Unknown.</w:t>
            </w:r>
          </w:p>
        </w:tc>
      </w:tr>
      <w:tr w:rsidR="009D76F8" w:rsidTr="009D76F8">
        <w:tblPrEx>
          <w:tblCellMar>
            <w:top w:w="0" w:type="dxa"/>
            <w:bottom w:w="0" w:type="dxa"/>
          </w:tblCellMar>
        </w:tblPrEx>
        <w:trPr>
          <w:trHeight w:val="575"/>
        </w:trPr>
        <w:tc>
          <w:tcPr>
            <w:tcW w:w="2880" w:type="dxa"/>
            <w:gridSpan w:val="2"/>
            <w:shd w:val="clear" w:color="auto" w:fill="FFFFFF"/>
            <w:vAlign w:val="center"/>
          </w:tcPr>
          <w:p w:rsidR="009D76F8" w:rsidRDefault="009D76F8">
            <w:pPr>
              <w:pStyle w:val="Header"/>
            </w:pPr>
            <w:r>
              <w:t>Credit Impacts</w:t>
            </w:r>
          </w:p>
        </w:tc>
        <w:tc>
          <w:tcPr>
            <w:tcW w:w="7560" w:type="dxa"/>
            <w:gridSpan w:val="3"/>
            <w:vAlign w:val="center"/>
          </w:tcPr>
          <w:p w:rsidR="009D76F8" w:rsidRDefault="009D76F8" w:rsidP="000A42ED">
            <w:pPr>
              <w:pStyle w:val="NormalArial"/>
            </w:pPr>
            <w:r>
              <w:t>To be determined.</w:t>
            </w:r>
          </w:p>
        </w:tc>
      </w:tr>
      <w:tr w:rsidR="009D76F8">
        <w:tblPrEx>
          <w:tblCellMar>
            <w:top w:w="0" w:type="dxa"/>
            <w:bottom w:w="0" w:type="dxa"/>
          </w:tblCellMar>
        </w:tblPrEx>
        <w:trPr>
          <w:trHeight w:val="458"/>
        </w:trPr>
        <w:tc>
          <w:tcPr>
            <w:tcW w:w="2880" w:type="dxa"/>
            <w:gridSpan w:val="2"/>
            <w:shd w:val="clear" w:color="auto" w:fill="FFFFFF"/>
            <w:vAlign w:val="center"/>
          </w:tcPr>
          <w:p w:rsidR="009D76F8" w:rsidRDefault="009D76F8">
            <w:pPr>
              <w:pStyle w:val="Header"/>
            </w:pPr>
            <w:r>
              <w:t>Procedural History</w:t>
            </w:r>
          </w:p>
        </w:tc>
        <w:tc>
          <w:tcPr>
            <w:tcW w:w="7560" w:type="dxa"/>
            <w:gridSpan w:val="3"/>
            <w:vAlign w:val="center"/>
          </w:tcPr>
          <w:p w:rsidR="009D76F8" w:rsidRDefault="00EB4653" w:rsidP="00383223">
            <w:pPr>
              <w:pStyle w:val="NormalArial"/>
              <w:numPr>
                <w:ilvl w:val="0"/>
                <w:numId w:val="17"/>
              </w:numPr>
              <w:tabs>
                <w:tab w:val="clear" w:pos="720"/>
                <w:tab w:val="num" w:pos="432"/>
              </w:tabs>
              <w:ind w:left="432"/>
            </w:pPr>
            <w:r>
              <w:t>On 2/7/11, NPRR319 and an Impact Analysis were posted.</w:t>
            </w:r>
          </w:p>
          <w:p w:rsidR="00EB4653" w:rsidRDefault="00EB4653" w:rsidP="00EB4653">
            <w:pPr>
              <w:pStyle w:val="NormalArial"/>
              <w:numPr>
                <w:ilvl w:val="0"/>
                <w:numId w:val="17"/>
              </w:numPr>
              <w:tabs>
                <w:tab w:val="clear" w:pos="720"/>
                <w:tab w:val="num" w:pos="432"/>
              </w:tabs>
              <w:ind w:left="432"/>
            </w:pPr>
            <w:r>
              <w:t>On 3/24/11, PRS considered NPRR319.</w:t>
            </w:r>
          </w:p>
          <w:p w:rsidR="003F652E" w:rsidRDefault="003F652E" w:rsidP="00EB4653">
            <w:pPr>
              <w:pStyle w:val="NormalArial"/>
              <w:numPr>
                <w:ilvl w:val="0"/>
                <w:numId w:val="17"/>
              </w:numPr>
              <w:tabs>
                <w:tab w:val="clear" w:pos="720"/>
                <w:tab w:val="num" w:pos="432"/>
              </w:tabs>
              <w:ind w:left="432"/>
            </w:pPr>
            <w:r>
              <w:t>On 4/6/11, NRG Texas Power comments were posted.</w:t>
            </w:r>
          </w:p>
          <w:p w:rsidR="003F652E" w:rsidRDefault="003F652E" w:rsidP="00EB4653">
            <w:pPr>
              <w:pStyle w:val="NormalArial"/>
              <w:numPr>
                <w:ilvl w:val="0"/>
                <w:numId w:val="17"/>
              </w:numPr>
              <w:tabs>
                <w:tab w:val="clear" w:pos="720"/>
                <w:tab w:val="num" w:pos="432"/>
              </w:tabs>
              <w:ind w:left="432"/>
            </w:pPr>
            <w:r>
              <w:t>On 4/11/11, WMS comments were posted.</w:t>
            </w:r>
          </w:p>
          <w:p w:rsidR="003F652E" w:rsidRDefault="003F652E" w:rsidP="00EB4653">
            <w:pPr>
              <w:pStyle w:val="NormalArial"/>
              <w:numPr>
                <w:ilvl w:val="0"/>
                <w:numId w:val="17"/>
              </w:numPr>
              <w:tabs>
                <w:tab w:val="clear" w:pos="720"/>
                <w:tab w:val="num" w:pos="432"/>
              </w:tabs>
              <w:ind w:left="432"/>
            </w:pPr>
            <w:r>
              <w:t>On 4/21/11, PRS again considered NPRR319.</w:t>
            </w:r>
          </w:p>
        </w:tc>
      </w:tr>
      <w:tr w:rsidR="009D76F8">
        <w:tblPrEx>
          <w:tblCellMar>
            <w:top w:w="0" w:type="dxa"/>
            <w:bottom w:w="0" w:type="dxa"/>
          </w:tblCellMar>
        </w:tblPrEx>
        <w:trPr>
          <w:trHeight w:val="503"/>
        </w:trPr>
        <w:tc>
          <w:tcPr>
            <w:tcW w:w="2880" w:type="dxa"/>
            <w:gridSpan w:val="2"/>
            <w:shd w:val="clear" w:color="auto" w:fill="FFFFFF"/>
            <w:vAlign w:val="center"/>
          </w:tcPr>
          <w:p w:rsidR="009D76F8" w:rsidRDefault="009D76F8">
            <w:pPr>
              <w:pStyle w:val="Header"/>
            </w:pPr>
            <w:smartTag w:uri="urn:schemas-microsoft-com:office:smarttags" w:element="stockticker">
              <w:r>
                <w:t>PRS</w:t>
              </w:r>
            </w:smartTag>
            <w:r>
              <w:t xml:space="preserve"> Decision </w:t>
            </w:r>
          </w:p>
        </w:tc>
        <w:tc>
          <w:tcPr>
            <w:tcW w:w="7560" w:type="dxa"/>
            <w:gridSpan w:val="3"/>
            <w:vAlign w:val="center"/>
          </w:tcPr>
          <w:p w:rsidR="009D76F8" w:rsidRDefault="00EB4653" w:rsidP="00383223">
            <w:pPr>
              <w:pStyle w:val="NormalArial"/>
            </w:pPr>
            <w:r>
              <w:t>On 3/24/11, PRS</w:t>
            </w:r>
            <w:r w:rsidR="001F1CD8">
              <w:t xml:space="preserve"> unanimously voted to table NPRR319 for one month.  All Market Segments were present for the vote.</w:t>
            </w:r>
          </w:p>
          <w:p w:rsidR="003F652E" w:rsidRDefault="003F652E" w:rsidP="00383223">
            <w:pPr>
              <w:pStyle w:val="NormalArial"/>
            </w:pPr>
          </w:p>
          <w:p w:rsidR="003F652E" w:rsidRDefault="003F652E" w:rsidP="00A504C6">
            <w:pPr>
              <w:pStyle w:val="NormalArial"/>
            </w:pPr>
            <w:r>
              <w:t>On 4/21/11, PRS</w:t>
            </w:r>
            <w:r w:rsidR="0085677D">
              <w:t xml:space="preserve"> unanimously voted to recommend approval of NPRR319 as amended by the 4/6/11 NRG Texas Power comments.  All Market Segments were present for the vote.</w:t>
            </w:r>
          </w:p>
        </w:tc>
      </w:tr>
      <w:tr w:rsidR="009D76F8">
        <w:tblPrEx>
          <w:tblCellMar>
            <w:top w:w="0" w:type="dxa"/>
            <w:bottom w:w="0" w:type="dxa"/>
          </w:tblCellMar>
        </w:tblPrEx>
        <w:trPr>
          <w:trHeight w:val="557"/>
        </w:trPr>
        <w:tc>
          <w:tcPr>
            <w:tcW w:w="2880" w:type="dxa"/>
            <w:gridSpan w:val="2"/>
            <w:shd w:val="clear" w:color="auto" w:fill="FFFFFF"/>
            <w:vAlign w:val="center"/>
          </w:tcPr>
          <w:p w:rsidR="009D76F8" w:rsidRDefault="009D76F8">
            <w:pPr>
              <w:pStyle w:val="Header"/>
            </w:pPr>
            <w:r>
              <w:t xml:space="preserve">Summary of </w:t>
            </w:r>
            <w:smartTag w:uri="urn:schemas-microsoft-com:office:smarttags" w:element="stockticker">
              <w:r>
                <w:t>PRS</w:t>
              </w:r>
            </w:smartTag>
            <w:r>
              <w:t xml:space="preserve"> Discussion</w:t>
            </w:r>
          </w:p>
        </w:tc>
        <w:tc>
          <w:tcPr>
            <w:tcW w:w="7560" w:type="dxa"/>
            <w:gridSpan w:val="3"/>
            <w:vAlign w:val="center"/>
          </w:tcPr>
          <w:p w:rsidR="009D76F8" w:rsidRDefault="00EB4653" w:rsidP="0074750F">
            <w:pPr>
              <w:pStyle w:val="NormalArial"/>
            </w:pPr>
            <w:r>
              <w:t xml:space="preserve">On 3/24/11, </w:t>
            </w:r>
            <w:r w:rsidR="00556514">
              <w:t xml:space="preserve">ERCOT Staff requested that PRS tabled NPRR319 and that WMS review </w:t>
            </w:r>
            <w:r w:rsidR="0074750F">
              <w:t xml:space="preserve">and provide input on </w:t>
            </w:r>
            <w:r w:rsidR="00556514">
              <w:t>the NPRR</w:t>
            </w:r>
            <w:r w:rsidR="001F1CD8">
              <w:t>.</w:t>
            </w:r>
          </w:p>
          <w:p w:rsidR="003F652E" w:rsidRDefault="003F652E" w:rsidP="0074750F">
            <w:pPr>
              <w:pStyle w:val="NormalArial"/>
            </w:pPr>
          </w:p>
          <w:p w:rsidR="003F652E" w:rsidRDefault="003F652E" w:rsidP="003F652E">
            <w:pPr>
              <w:pStyle w:val="NormalArial"/>
            </w:pPr>
            <w:r>
              <w:t xml:space="preserve">On 4/21/11, </w:t>
            </w:r>
            <w:r w:rsidR="00E64A9A">
              <w:t>there was no discussion.</w:t>
            </w:r>
          </w:p>
        </w:tc>
      </w:tr>
    </w:tbl>
    <w:p w:rsidR="00204D5F" w:rsidRDefault="00204D5F"/>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9D76F8" w:rsidTr="00A97F65">
        <w:trPr>
          <w:gridBefore w:val="1"/>
          <w:wBefore w:w="7" w:type="dxa"/>
          <w:trHeight w:val="350"/>
        </w:trPr>
        <w:tc>
          <w:tcPr>
            <w:tcW w:w="10440" w:type="dxa"/>
            <w:gridSpan w:val="5"/>
            <w:tcBorders>
              <w:bottom w:val="single" w:sz="4" w:space="0" w:color="auto"/>
            </w:tcBorders>
            <w:shd w:val="clear" w:color="auto" w:fill="FFFFFF"/>
            <w:vAlign w:val="center"/>
          </w:tcPr>
          <w:p w:rsidR="009D76F8" w:rsidRDefault="009D76F8" w:rsidP="00A97F65">
            <w:pPr>
              <w:pStyle w:val="Header"/>
              <w:jc w:val="center"/>
            </w:pPr>
            <w:r>
              <w:br w:type="page"/>
              <w:t>Quantitative Impacts and Benefits</w:t>
            </w:r>
          </w:p>
        </w:tc>
      </w:tr>
      <w:tr w:rsidR="009D76F8" w:rsidRPr="00AC6C37"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D76F8" w:rsidRPr="00E41BCF" w:rsidRDefault="009D76F8" w:rsidP="00A97F65">
            <w:pPr>
              <w:pStyle w:val="Header"/>
            </w:pPr>
            <w:r w:rsidRPr="00E41BCF">
              <w:t>Assumptions</w:t>
            </w:r>
          </w:p>
        </w:tc>
        <w:tc>
          <w:tcPr>
            <w:tcW w:w="360" w:type="dxa"/>
            <w:tcBorders>
              <w:top w:val="single" w:sz="12" w:space="0" w:color="auto"/>
              <w:bottom w:val="single" w:sz="8" w:space="0" w:color="auto"/>
            </w:tcBorders>
            <w:vAlign w:val="center"/>
          </w:tcPr>
          <w:p w:rsidR="009D76F8" w:rsidRPr="00BD6AA7" w:rsidRDefault="009D76F8" w:rsidP="00A97F65">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9D76F8" w:rsidRPr="00AC6C37" w:rsidRDefault="009D76F8" w:rsidP="00A97F65">
            <w:pPr>
              <w:pStyle w:val="Header"/>
              <w:rPr>
                <w:b w:val="0"/>
                <w:i/>
                <w:sz w:val="20"/>
                <w:szCs w:val="20"/>
              </w:rPr>
            </w:pPr>
          </w:p>
        </w:tc>
      </w:tr>
      <w:tr w:rsidR="009D76F8" w:rsidRPr="00AC6C37"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D76F8" w:rsidRPr="00E41BCF" w:rsidRDefault="009D76F8" w:rsidP="00A97F65">
            <w:pPr>
              <w:pStyle w:val="Header"/>
            </w:pPr>
          </w:p>
        </w:tc>
        <w:tc>
          <w:tcPr>
            <w:tcW w:w="360" w:type="dxa"/>
            <w:tcBorders>
              <w:top w:val="single" w:sz="8" w:space="0" w:color="auto"/>
            </w:tcBorders>
            <w:vAlign w:val="center"/>
          </w:tcPr>
          <w:p w:rsidR="009D76F8" w:rsidRPr="00864358" w:rsidRDefault="009D76F8" w:rsidP="00A97F65">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9D76F8" w:rsidRPr="00AC6C37" w:rsidRDefault="009D76F8" w:rsidP="00A97F65">
            <w:pPr>
              <w:pStyle w:val="Header"/>
              <w:rPr>
                <w:b w:val="0"/>
                <w:i/>
                <w:sz w:val="20"/>
                <w:szCs w:val="20"/>
              </w:rPr>
            </w:pPr>
          </w:p>
        </w:tc>
      </w:tr>
      <w:tr w:rsidR="009D76F8" w:rsidRPr="00AC6C37"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D76F8" w:rsidRPr="00E41BCF" w:rsidRDefault="009D76F8" w:rsidP="00A97F65">
            <w:pPr>
              <w:pStyle w:val="Header"/>
            </w:pPr>
          </w:p>
        </w:tc>
        <w:tc>
          <w:tcPr>
            <w:tcW w:w="360" w:type="dxa"/>
            <w:vAlign w:val="center"/>
          </w:tcPr>
          <w:p w:rsidR="009D76F8" w:rsidRPr="00864358" w:rsidRDefault="009D76F8" w:rsidP="00A97F65">
            <w:pPr>
              <w:pStyle w:val="Header"/>
              <w:jc w:val="center"/>
              <w:rPr>
                <w:b w:val="0"/>
                <w:sz w:val="20"/>
                <w:szCs w:val="20"/>
              </w:rPr>
            </w:pPr>
            <w:r w:rsidRPr="00864358">
              <w:rPr>
                <w:b w:val="0"/>
                <w:sz w:val="20"/>
                <w:szCs w:val="20"/>
              </w:rPr>
              <w:t>3</w:t>
            </w:r>
          </w:p>
        </w:tc>
        <w:tc>
          <w:tcPr>
            <w:tcW w:w="8273" w:type="dxa"/>
            <w:gridSpan w:val="2"/>
            <w:vAlign w:val="center"/>
          </w:tcPr>
          <w:p w:rsidR="009D76F8" w:rsidRPr="00AC6C37" w:rsidRDefault="009D76F8" w:rsidP="00A97F65">
            <w:pPr>
              <w:pStyle w:val="Header"/>
              <w:rPr>
                <w:b w:val="0"/>
                <w:i/>
                <w:sz w:val="20"/>
                <w:szCs w:val="20"/>
              </w:rPr>
            </w:pPr>
          </w:p>
        </w:tc>
      </w:tr>
      <w:tr w:rsidR="009D76F8" w:rsidRPr="00AC6C37"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D76F8" w:rsidRPr="00E41BCF" w:rsidRDefault="009D76F8" w:rsidP="00A97F65">
            <w:pPr>
              <w:pStyle w:val="Header"/>
            </w:pPr>
          </w:p>
        </w:tc>
        <w:tc>
          <w:tcPr>
            <w:tcW w:w="360" w:type="dxa"/>
            <w:tcBorders>
              <w:bottom w:val="single" w:sz="12" w:space="0" w:color="auto"/>
            </w:tcBorders>
            <w:vAlign w:val="center"/>
          </w:tcPr>
          <w:p w:rsidR="009D76F8" w:rsidRPr="00864358" w:rsidRDefault="009D76F8" w:rsidP="00A97F65">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9D76F8" w:rsidRPr="00AC6C37" w:rsidRDefault="009D76F8" w:rsidP="00A97F65">
            <w:pPr>
              <w:pStyle w:val="Header"/>
              <w:rPr>
                <w:b w:val="0"/>
                <w:i/>
                <w:sz w:val="20"/>
                <w:szCs w:val="20"/>
              </w:rPr>
            </w:pPr>
          </w:p>
        </w:tc>
      </w:tr>
      <w:tr w:rsidR="009D76F8" w:rsidRPr="000C3592"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D76F8" w:rsidRPr="00E41BCF" w:rsidRDefault="009D76F8" w:rsidP="00A97F65">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9D76F8" w:rsidRDefault="009D76F8" w:rsidP="00A97F65">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D76F8" w:rsidRPr="000C3592" w:rsidRDefault="009D76F8" w:rsidP="00A97F65">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D76F8" w:rsidRPr="000C3592" w:rsidRDefault="009D76F8" w:rsidP="00A97F65">
            <w:pPr>
              <w:pStyle w:val="NormalArial"/>
              <w:jc w:val="center"/>
              <w:rPr>
                <w:b/>
                <w:sz w:val="20"/>
              </w:rPr>
            </w:pPr>
            <w:r>
              <w:rPr>
                <w:b/>
                <w:sz w:val="20"/>
              </w:rPr>
              <w:t>Monetary Impact</w:t>
            </w:r>
          </w:p>
        </w:tc>
      </w:tr>
      <w:tr w:rsidR="009D76F8" w:rsidRPr="00C90F7E"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shd w:val="clear" w:color="auto" w:fill="auto"/>
            <w:vAlign w:val="center"/>
          </w:tcPr>
          <w:p w:rsidR="009D76F8" w:rsidRPr="00E41BCF" w:rsidRDefault="009D76F8" w:rsidP="00A97F65">
            <w:pPr>
              <w:pStyle w:val="Header"/>
              <w:jc w:val="center"/>
            </w:pPr>
          </w:p>
        </w:tc>
        <w:tc>
          <w:tcPr>
            <w:tcW w:w="360" w:type="dxa"/>
            <w:tcBorders>
              <w:top w:val="single" w:sz="8" w:space="0" w:color="auto"/>
              <w:bottom w:val="single" w:sz="8" w:space="0" w:color="auto"/>
            </w:tcBorders>
            <w:vAlign w:val="center"/>
          </w:tcPr>
          <w:p w:rsidR="009D76F8" w:rsidRDefault="009D76F8" w:rsidP="00A97F65">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9D76F8" w:rsidRPr="00C90F7E" w:rsidRDefault="009D76F8" w:rsidP="00A97F65">
            <w:pPr>
              <w:pStyle w:val="NormalArial"/>
              <w:rPr>
                <w:i/>
                <w:sz w:val="20"/>
              </w:rPr>
            </w:pPr>
            <w:r w:rsidRPr="00560C49">
              <w:rPr>
                <w:i/>
                <w:sz w:val="20"/>
              </w:rPr>
              <w:t>Limits types of contracts that can be used as proof of fuel costs.</w:t>
            </w:r>
          </w:p>
        </w:tc>
        <w:tc>
          <w:tcPr>
            <w:tcW w:w="4673" w:type="dxa"/>
            <w:tcBorders>
              <w:top w:val="single" w:sz="8" w:space="0" w:color="auto"/>
              <w:bottom w:val="single" w:sz="8" w:space="0" w:color="auto"/>
            </w:tcBorders>
            <w:vAlign w:val="center"/>
          </w:tcPr>
          <w:p w:rsidR="009D76F8" w:rsidRPr="00C90F7E" w:rsidRDefault="009D76F8" w:rsidP="00A97F65">
            <w:pPr>
              <w:pStyle w:val="NormalArial"/>
              <w:rPr>
                <w:i/>
                <w:sz w:val="20"/>
              </w:rPr>
            </w:pPr>
            <w:r>
              <w:rPr>
                <w:i/>
                <w:sz w:val="20"/>
              </w:rPr>
              <w:t>Unknown.</w:t>
            </w:r>
          </w:p>
        </w:tc>
      </w:tr>
      <w:tr w:rsidR="009D76F8" w:rsidRPr="00C90F7E"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D76F8" w:rsidRPr="00E41BCF" w:rsidRDefault="009D76F8" w:rsidP="00A97F65">
            <w:pPr>
              <w:pStyle w:val="Header"/>
              <w:jc w:val="center"/>
            </w:pPr>
          </w:p>
        </w:tc>
        <w:tc>
          <w:tcPr>
            <w:tcW w:w="360" w:type="dxa"/>
            <w:tcBorders>
              <w:top w:val="single" w:sz="8" w:space="0" w:color="auto"/>
              <w:bottom w:val="single" w:sz="8" w:space="0" w:color="auto"/>
            </w:tcBorders>
            <w:shd w:val="clear" w:color="auto" w:fill="auto"/>
            <w:vAlign w:val="center"/>
          </w:tcPr>
          <w:p w:rsidR="009D76F8" w:rsidRDefault="009D76F8" w:rsidP="00A97F65">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9D76F8" w:rsidRPr="00C90F7E" w:rsidRDefault="009D76F8" w:rsidP="00A97F65">
            <w:pPr>
              <w:pStyle w:val="NormalArial"/>
              <w:rPr>
                <w:i/>
                <w:sz w:val="20"/>
              </w:rPr>
            </w:pPr>
          </w:p>
        </w:tc>
        <w:tc>
          <w:tcPr>
            <w:tcW w:w="4673" w:type="dxa"/>
            <w:tcBorders>
              <w:top w:val="single" w:sz="8" w:space="0" w:color="auto"/>
              <w:bottom w:val="single" w:sz="8" w:space="0" w:color="auto"/>
            </w:tcBorders>
            <w:shd w:val="clear" w:color="auto" w:fill="auto"/>
            <w:vAlign w:val="center"/>
          </w:tcPr>
          <w:p w:rsidR="009D76F8" w:rsidRPr="00C90F7E" w:rsidRDefault="009D76F8" w:rsidP="00A97F65">
            <w:pPr>
              <w:pStyle w:val="NormalArial"/>
              <w:rPr>
                <w:i/>
                <w:sz w:val="20"/>
              </w:rPr>
            </w:pPr>
          </w:p>
        </w:tc>
      </w:tr>
      <w:tr w:rsidR="009D76F8" w:rsidRPr="00C90F7E"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D76F8" w:rsidRPr="00E41BCF" w:rsidRDefault="009D76F8" w:rsidP="00A97F65">
            <w:pPr>
              <w:pStyle w:val="Header"/>
              <w:jc w:val="center"/>
            </w:pPr>
          </w:p>
        </w:tc>
        <w:tc>
          <w:tcPr>
            <w:tcW w:w="360" w:type="dxa"/>
            <w:tcBorders>
              <w:top w:val="single" w:sz="8" w:space="0" w:color="auto"/>
              <w:bottom w:val="single" w:sz="8" w:space="0" w:color="auto"/>
            </w:tcBorders>
            <w:vAlign w:val="center"/>
          </w:tcPr>
          <w:p w:rsidR="009D76F8" w:rsidRDefault="009D76F8" w:rsidP="00A97F65">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9D76F8" w:rsidRPr="00C90F7E" w:rsidRDefault="009D76F8" w:rsidP="00A97F65">
            <w:pPr>
              <w:pStyle w:val="NormalArial"/>
              <w:rPr>
                <w:i/>
                <w:sz w:val="20"/>
              </w:rPr>
            </w:pPr>
          </w:p>
        </w:tc>
        <w:tc>
          <w:tcPr>
            <w:tcW w:w="4673" w:type="dxa"/>
            <w:tcBorders>
              <w:top w:val="single" w:sz="8" w:space="0" w:color="auto"/>
              <w:bottom w:val="single" w:sz="8" w:space="0" w:color="auto"/>
            </w:tcBorders>
            <w:vAlign w:val="center"/>
          </w:tcPr>
          <w:p w:rsidR="009D76F8" w:rsidRPr="00C90F7E" w:rsidRDefault="009D76F8" w:rsidP="00A97F65">
            <w:pPr>
              <w:pStyle w:val="NormalArial"/>
              <w:rPr>
                <w:i/>
                <w:sz w:val="20"/>
              </w:rPr>
            </w:pPr>
          </w:p>
        </w:tc>
      </w:tr>
      <w:tr w:rsidR="009D76F8" w:rsidRPr="00C90F7E"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D76F8" w:rsidRPr="00E41BCF" w:rsidRDefault="009D76F8" w:rsidP="00A97F65">
            <w:pPr>
              <w:pStyle w:val="Header"/>
              <w:jc w:val="center"/>
            </w:pPr>
          </w:p>
        </w:tc>
        <w:tc>
          <w:tcPr>
            <w:tcW w:w="360" w:type="dxa"/>
            <w:tcBorders>
              <w:top w:val="single" w:sz="8" w:space="0" w:color="auto"/>
              <w:bottom w:val="single" w:sz="12" w:space="0" w:color="auto"/>
            </w:tcBorders>
            <w:vAlign w:val="center"/>
          </w:tcPr>
          <w:p w:rsidR="009D76F8" w:rsidRDefault="009D76F8" w:rsidP="00A97F65">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9D76F8" w:rsidRPr="00C90F7E" w:rsidRDefault="009D76F8" w:rsidP="00A97F65">
            <w:pPr>
              <w:pStyle w:val="NormalArial"/>
              <w:rPr>
                <w:i/>
                <w:sz w:val="20"/>
              </w:rPr>
            </w:pPr>
          </w:p>
        </w:tc>
        <w:tc>
          <w:tcPr>
            <w:tcW w:w="4673" w:type="dxa"/>
            <w:tcBorders>
              <w:top w:val="single" w:sz="8" w:space="0" w:color="auto"/>
              <w:bottom w:val="single" w:sz="12" w:space="0" w:color="auto"/>
            </w:tcBorders>
            <w:vAlign w:val="center"/>
          </w:tcPr>
          <w:p w:rsidR="009D76F8" w:rsidRPr="00C90F7E" w:rsidRDefault="009D76F8" w:rsidP="00A97F65">
            <w:pPr>
              <w:pStyle w:val="NormalArial"/>
              <w:rPr>
                <w:i/>
                <w:sz w:val="20"/>
              </w:rPr>
            </w:pPr>
          </w:p>
        </w:tc>
      </w:tr>
      <w:tr w:rsidR="009D76F8" w:rsidRPr="000C3592"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D76F8" w:rsidRPr="00E41BCF" w:rsidRDefault="009D76F8" w:rsidP="00A97F65">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9D76F8" w:rsidRDefault="009D76F8" w:rsidP="00A97F65">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D76F8" w:rsidRPr="000C3592" w:rsidRDefault="009D76F8" w:rsidP="00A97F65">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D76F8" w:rsidRPr="000C3592" w:rsidRDefault="009D76F8" w:rsidP="00A97F65">
            <w:pPr>
              <w:pStyle w:val="NormalArial"/>
              <w:jc w:val="center"/>
              <w:rPr>
                <w:b/>
                <w:sz w:val="20"/>
              </w:rPr>
            </w:pPr>
            <w:r>
              <w:rPr>
                <w:b/>
                <w:sz w:val="20"/>
              </w:rPr>
              <w:t>Monetary Impact</w:t>
            </w:r>
          </w:p>
        </w:tc>
      </w:tr>
      <w:tr w:rsidR="009D76F8" w:rsidRPr="00C90F7E"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shd w:val="clear" w:color="auto" w:fill="auto"/>
            <w:vAlign w:val="center"/>
          </w:tcPr>
          <w:p w:rsidR="009D76F8" w:rsidRPr="00E41BCF" w:rsidRDefault="009D76F8" w:rsidP="00A97F65">
            <w:pPr>
              <w:pStyle w:val="Header"/>
              <w:jc w:val="center"/>
            </w:pPr>
          </w:p>
        </w:tc>
        <w:tc>
          <w:tcPr>
            <w:tcW w:w="360" w:type="dxa"/>
            <w:tcBorders>
              <w:top w:val="single" w:sz="8" w:space="0" w:color="auto"/>
              <w:bottom w:val="single" w:sz="8" w:space="0" w:color="auto"/>
            </w:tcBorders>
            <w:vAlign w:val="center"/>
          </w:tcPr>
          <w:p w:rsidR="009D76F8" w:rsidRDefault="009D76F8" w:rsidP="00A97F65">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9D76F8" w:rsidRPr="00C90F7E" w:rsidRDefault="009D76F8" w:rsidP="00A97F65">
            <w:pPr>
              <w:pStyle w:val="NormalArial"/>
              <w:rPr>
                <w:i/>
                <w:sz w:val="20"/>
              </w:rPr>
            </w:pPr>
            <w:r w:rsidRPr="00560C49">
              <w:rPr>
                <w:i/>
                <w:sz w:val="20"/>
              </w:rPr>
              <w:t>Better understanding of proof required to recover fuel costs incurred when providing RUC services.</w:t>
            </w:r>
          </w:p>
        </w:tc>
        <w:tc>
          <w:tcPr>
            <w:tcW w:w="4673" w:type="dxa"/>
            <w:tcBorders>
              <w:top w:val="single" w:sz="8" w:space="0" w:color="auto"/>
              <w:bottom w:val="single" w:sz="8" w:space="0" w:color="auto"/>
            </w:tcBorders>
            <w:vAlign w:val="center"/>
          </w:tcPr>
          <w:p w:rsidR="009D76F8" w:rsidRPr="00C90F7E" w:rsidRDefault="009D76F8" w:rsidP="00A97F65">
            <w:pPr>
              <w:pStyle w:val="NormalArial"/>
              <w:rPr>
                <w:i/>
                <w:sz w:val="20"/>
              </w:rPr>
            </w:pPr>
            <w:r>
              <w:rPr>
                <w:i/>
                <w:sz w:val="20"/>
              </w:rPr>
              <w:t>Unknown.</w:t>
            </w:r>
          </w:p>
        </w:tc>
      </w:tr>
      <w:tr w:rsidR="009D76F8" w:rsidRPr="00C90F7E"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D76F8" w:rsidRPr="00E41BCF" w:rsidRDefault="009D76F8" w:rsidP="00A97F65">
            <w:pPr>
              <w:pStyle w:val="Header"/>
              <w:jc w:val="center"/>
            </w:pPr>
          </w:p>
        </w:tc>
        <w:tc>
          <w:tcPr>
            <w:tcW w:w="360" w:type="dxa"/>
            <w:tcBorders>
              <w:top w:val="single" w:sz="8" w:space="0" w:color="auto"/>
              <w:bottom w:val="single" w:sz="8" w:space="0" w:color="auto"/>
            </w:tcBorders>
            <w:vAlign w:val="center"/>
          </w:tcPr>
          <w:p w:rsidR="009D76F8" w:rsidRDefault="009D76F8" w:rsidP="00A97F65">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9D76F8" w:rsidRPr="00C90F7E" w:rsidRDefault="009D76F8" w:rsidP="00A97F65">
            <w:pPr>
              <w:pStyle w:val="NormalArial"/>
              <w:rPr>
                <w:i/>
                <w:sz w:val="20"/>
              </w:rPr>
            </w:pPr>
          </w:p>
        </w:tc>
        <w:tc>
          <w:tcPr>
            <w:tcW w:w="4673" w:type="dxa"/>
            <w:tcBorders>
              <w:top w:val="single" w:sz="8" w:space="0" w:color="auto"/>
              <w:bottom w:val="single" w:sz="8" w:space="0" w:color="auto"/>
            </w:tcBorders>
            <w:vAlign w:val="center"/>
          </w:tcPr>
          <w:p w:rsidR="009D76F8" w:rsidRPr="00C90F7E" w:rsidRDefault="009D76F8" w:rsidP="00A97F65">
            <w:pPr>
              <w:pStyle w:val="NormalArial"/>
              <w:rPr>
                <w:i/>
                <w:sz w:val="20"/>
              </w:rPr>
            </w:pPr>
          </w:p>
        </w:tc>
      </w:tr>
      <w:tr w:rsidR="009D76F8" w:rsidRPr="00C90F7E"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D76F8" w:rsidRPr="00E41BCF" w:rsidRDefault="009D76F8" w:rsidP="00A97F65">
            <w:pPr>
              <w:pStyle w:val="Header"/>
              <w:jc w:val="center"/>
            </w:pPr>
          </w:p>
        </w:tc>
        <w:tc>
          <w:tcPr>
            <w:tcW w:w="360" w:type="dxa"/>
            <w:tcBorders>
              <w:top w:val="single" w:sz="8" w:space="0" w:color="auto"/>
              <w:bottom w:val="single" w:sz="8" w:space="0" w:color="auto"/>
            </w:tcBorders>
            <w:vAlign w:val="center"/>
          </w:tcPr>
          <w:p w:rsidR="009D76F8" w:rsidRDefault="009D76F8" w:rsidP="00A97F65">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9D76F8" w:rsidRPr="00C90F7E" w:rsidRDefault="009D76F8" w:rsidP="00A97F65">
            <w:pPr>
              <w:pStyle w:val="NormalArial"/>
              <w:rPr>
                <w:i/>
                <w:sz w:val="20"/>
              </w:rPr>
            </w:pPr>
          </w:p>
        </w:tc>
        <w:tc>
          <w:tcPr>
            <w:tcW w:w="4673" w:type="dxa"/>
            <w:tcBorders>
              <w:top w:val="single" w:sz="8" w:space="0" w:color="auto"/>
              <w:bottom w:val="single" w:sz="8" w:space="0" w:color="auto"/>
            </w:tcBorders>
            <w:vAlign w:val="center"/>
          </w:tcPr>
          <w:p w:rsidR="009D76F8" w:rsidRPr="00C90F7E" w:rsidRDefault="009D76F8" w:rsidP="00A97F65">
            <w:pPr>
              <w:pStyle w:val="NormalArial"/>
              <w:rPr>
                <w:i/>
                <w:sz w:val="20"/>
              </w:rPr>
            </w:pPr>
          </w:p>
        </w:tc>
      </w:tr>
      <w:tr w:rsidR="009D76F8" w:rsidRPr="00C90F7E"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D76F8" w:rsidRPr="00E41BCF" w:rsidRDefault="009D76F8" w:rsidP="00A97F65">
            <w:pPr>
              <w:pStyle w:val="Header"/>
              <w:jc w:val="center"/>
            </w:pPr>
          </w:p>
        </w:tc>
        <w:tc>
          <w:tcPr>
            <w:tcW w:w="360" w:type="dxa"/>
            <w:tcBorders>
              <w:top w:val="single" w:sz="8" w:space="0" w:color="auto"/>
              <w:bottom w:val="single" w:sz="12" w:space="0" w:color="auto"/>
            </w:tcBorders>
            <w:vAlign w:val="center"/>
          </w:tcPr>
          <w:p w:rsidR="009D76F8" w:rsidRDefault="009D76F8" w:rsidP="00A97F65">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9D76F8" w:rsidRPr="00C90F7E" w:rsidRDefault="009D76F8" w:rsidP="00A97F65">
            <w:pPr>
              <w:pStyle w:val="NormalArial"/>
              <w:rPr>
                <w:i/>
                <w:sz w:val="20"/>
              </w:rPr>
            </w:pPr>
          </w:p>
        </w:tc>
        <w:tc>
          <w:tcPr>
            <w:tcW w:w="4673" w:type="dxa"/>
            <w:tcBorders>
              <w:top w:val="single" w:sz="8" w:space="0" w:color="auto"/>
              <w:bottom w:val="single" w:sz="12" w:space="0" w:color="auto"/>
            </w:tcBorders>
            <w:vAlign w:val="center"/>
          </w:tcPr>
          <w:p w:rsidR="009D76F8" w:rsidRPr="00C90F7E" w:rsidRDefault="009D76F8" w:rsidP="00A97F65">
            <w:pPr>
              <w:pStyle w:val="NormalArial"/>
              <w:rPr>
                <w:i/>
                <w:sz w:val="20"/>
              </w:rPr>
            </w:pPr>
          </w:p>
        </w:tc>
      </w:tr>
      <w:tr w:rsidR="009D76F8" w:rsidRPr="00B40AA6"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D76F8" w:rsidRPr="00E41BCF" w:rsidRDefault="009D76F8" w:rsidP="00A97F65">
            <w:pPr>
              <w:pStyle w:val="Header"/>
            </w:pPr>
            <w:r w:rsidRPr="00E41BCF">
              <w:t>Additional Qualitative Information</w:t>
            </w:r>
          </w:p>
        </w:tc>
        <w:tc>
          <w:tcPr>
            <w:tcW w:w="360" w:type="dxa"/>
            <w:tcBorders>
              <w:top w:val="single" w:sz="12" w:space="0" w:color="auto"/>
              <w:bottom w:val="single" w:sz="8" w:space="0" w:color="auto"/>
            </w:tcBorders>
            <w:vAlign w:val="center"/>
          </w:tcPr>
          <w:p w:rsidR="009D76F8" w:rsidRDefault="009D76F8" w:rsidP="00A97F65">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9D76F8" w:rsidRPr="00B40AA6" w:rsidRDefault="009D76F8" w:rsidP="00A97F65">
            <w:pPr>
              <w:pStyle w:val="NormalArial"/>
              <w:rPr>
                <w:i/>
                <w:sz w:val="20"/>
              </w:rPr>
            </w:pPr>
          </w:p>
        </w:tc>
      </w:tr>
      <w:tr w:rsidR="009D76F8" w:rsidRPr="00B40AA6"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shd w:val="clear" w:color="auto" w:fill="auto"/>
            <w:vAlign w:val="center"/>
          </w:tcPr>
          <w:p w:rsidR="009D76F8" w:rsidRPr="00E41BCF" w:rsidRDefault="009D76F8" w:rsidP="00A97F65">
            <w:pPr>
              <w:pStyle w:val="Header"/>
              <w:jc w:val="center"/>
            </w:pPr>
          </w:p>
        </w:tc>
        <w:tc>
          <w:tcPr>
            <w:tcW w:w="360" w:type="dxa"/>
            <w:tcBorders>
              <w:top w:val="single" w:sz="8" w:space="0" w:color="auto"/>
              <w:bottom w:val="single" w:sz="8" w:space="0" w:color="auto"/>
            </w:tcBorders>
            <w:vAlign w:val="center"/>
          </w:tcPr>
          <w:p w:rsidR="009D76F8" w:rsidRDefault="009D76F8" w:rsidP="00A97F65">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9D76F8" w:rsidRPr="00B40AA6" w:rsidRDefault="009D76F8" w:rsidP="00A97F65">
            <w:pPr>
              <w:pStyle w:val="NormalArial"/>
              <w:rPr>
                <w:i/>
                <w:sz w:val="20"/>
              </w:rPr>
            </w:pPr>
          </w:p>
        </w:tc>
      </w:tr>
      <w:tr w:rsidR="009D76F8" w:rsidRPr="00B40AA6"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D76F8" w:rsidRPr="00E41BCF" w:rsidRDefault="009D76F8" w:rsidP="00A97F65">
            <w:pPr>
              <w:pStyle w:val="Header"/>
            </w:pPr>
          </w:p>
        </w:tc>
        <w:tc>
          <w:tcPr>
            <w:tcW w:w="360" w:type="dxa"/>
            <w:tcBorders>
              <w:top w:val="single" w:sz="8" w:space="0" w:color="auto"/>
              <w:bottom w:val="single" w:sz="8" w:space="0" w:color="auto"/>
            </w:tcBorders>
            <w:vAlign w:val="center"/>
          </w:tcPr>
          <w:p w:rsidR="009D76F8" w:rsidRDefault="009D76F8" w:rsidP="00A97F65">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9D76F8" w:rsidRPr="00B40AA6" w:rsidRDefault="009D76F8" w:rsidP="00A97F65">
            <w:pPr>
              <w:pStyle w:val="NormalArial"/>
              <w:rPr>
                <w:i/>
                <w:sz w:val="20"/>
              </w:rPr>
            </w:pPr>
          </w:p>
        </w:tc>
      </w:tr>
      <w:tr w:rsidR="009D76F8" w:rsidRPr="00B40AA6"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D76F8" w:rsidRPr="00E41BCF" w:rsidRDefault="009D76F8" w:rsidP="00A97F65">
            <w:pPr>
              <w:pStyle w:val="Header"/>
            </w:pPr>
          </w:p>
        </w:tc>
        <w:tc>
          <w:tcPr>
            <w:tcW w:w="360" w:type="dxa"/>
            <w:tcBorders>
              <w:top w:val="single" w:sz="8" w:space="0" w:color="auto"/>
              <w:bottom w:val="single" w:sz="12" w:space="0" w:color="auto"/>
            </w:tcBorders>
            <w:vAlign w:val="center"/>
          </w:tcPr>
          <w:p w:rsidR="009D76F8" w:rsidRDefault="009D76F8" w:rsidP="00A97F65">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9D76F8" w:rsidRPr="00B40AA6" w:rsidRDefault="009D76F8" w:rsidP="00A97F65">
            <w:pPr>
              <w:pStyle w:val="NormalArial"/>
              <w:rPr>
                <w:i/>
                <w:sz w:val="20"/>
              </w:rPr>
            </w:pPr>
          </w:p>
        </w:tc>
      </w:tr>
      <w:tr w:rsidR="009D76F8" w:rsidRPr="00E966F7"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D76F8" w:rsidRPr="00E41BCF" w:rsidRDefault="009D76F8" w:rsidP="00A97F65">
            <w:pPr>
              <w:pStyle w:val="Header"/>
              <w:jc w:val="center"/>
            </w:pPr>
            <w:r w:rsidRPr="00E41BCF">
              <w:lastRenderedPageBreak/>
              <w:t>Other Comments</w:t>
            </w:r>
          </w:p>
        </w:tc>
        <w:tc>
          <w:tcPr>
            <w:tcW w:w="360" w:type="dxa"/>
            <w:tcBorders>
              <w:top w:val="single" w:sz="12" w:space="0" w:color="auto"/>
              <w:bottom w:val="single" w:sz="8" w:space="0" w:color="auto"/>
            </w:tcBorders>
            <w:vAlign w:val="center"/>
          </w:tcPr>
          <w:p w:rsidR="009D76F8" w:rsidRDefault="009D76F8" w:rsidP="00A97F65">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9D76F8" w:rsidRPr="00E966F7" w:rsidRDefault="009D76F8" w:rsidP="00A97F65">
            <w:pPr>
              <w:pStyle w:val="NormalArial"/>
              <w:rPr>
                <w:i/>
                <w:sz w:val="20"/>
              </w:rPr>
            </w:pPr>
          </w:p>
        </w:tc>
      </w:tr>
      <w:tr w:rsidR="009D76F8" w:rsidRPr="00E966F7"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shd w:val="clear" w:color="auto" w:fill="auto"/>
            <w:vAlign w:val="center"/>
          </w:tcPr>
          <w:p w:rsidR="009D76F8" w:rsidRPr="00E966F7" w:rsidRDefault="009D76F8" w:rsidP="00A97F65">
            <w:pPr>
              <w:pStyle w:val="Header"/>
              <w:jc w:val="center"/>
              <w:rPr>
                <w:sz w:val="20"/>
                <w:szCs w:val="20"/>
              </w:rPr>
            </w:pPr>
          </w:p>
        </w:tc>
        <w:tc>
          <w:tcPr>
            <w:tcW w:w="360" w:type="dxa"/>
            <w:tcBorders>
              <w:top w:val="single" w:sz="8" w:space="0" w:color="auto"/>
            </w:tcBorders>
            <w:vAlign w:val="center"/>
          </w:tcPr>
          <w:p w:rsidR="009D76F8" w:rsidRDefault="009D76F8" w:rsidP="00A97F65">
            <w:pPr>
              <w:pStyle w:val="NormalArial"/>
              <w:jc w:val="center"/>
              <w:rPr>
                <w:sz w:val="20"/>
              </w:rPr>
            </w:pPr>
            <w:r>
              <w:rPr>
                <w:sz w:val="20"/>
              </w:rPr>
              <w:t>2</w:t>
            </w:r>
          </w:p>
        </w:tc>
        <w:tc>
          <w:tcPr>
            <w:tcW w:w="8273" w:type="dxa"/>
            <w:gridSpan w:val="2"/>
            <w:tcBorders>
              <w:top w:val="single" w:sz="8" w:space="0" w:color="auto"/>
            </w:tcBorders>
            <w:vAlign w:val="center"/>
          </w:tcPr>
          <w:p w:rsidR="009D76F8" w:rsidRPr="00E966F7" w:rsidRDefault="009D76F8" w:rsidP="00A97F65">
            <w:pPr>
              <w:pStyle w:val="NormalArial"/>
              <w:rPr>
                <w:i/>
                <w:sz w:val="20"/>
              </w:rPr>
            </w:pPr>
          </w:p>
        </w:tc>
      </w:tr>
      <w:tr w:rsidR="009D76F8" w:rsidRPr="00E966F7"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vAlign w:val="center"/>
          </w:tcPr>
          <w:p w:rsidR="009D76F8" w:rsidRPr="00E966F7" w:rsidRDefault="009D76F8" w:rsidP="00A97F65">
            <w:pPr>
              <w:pStyle w:val="Header"/>
            </w:pPr>
          </w:p>
        </w:tc>
        <w:tc>
          <w:tcPr>
            <w:tcW w:w="360" w:type="dxa"/>
            <w:tcBorders>
              <w:top w:val="single" w:sz="8" w:space="0" w:color="auto"/>
              <w:bottom w:val="single" w:sz="8" w:space="0" w:color="auto"/>
            </w:tcBorders>
            <w:vAlign w:val="center"/>
          </w:tcPr>
          <w:p w:rsidR="009D76F8" w:rsidRDefault="009D76F8" w:rsidP="00A97F65">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9D76F8" w:rsidRPr="00E966F7" w:rsidRDefault="009D76F8" w:rsidP="00A97F65">
            <w:pPr>
              <w:pStyle w:val="NormalArial"/>
              <w:rPr>
                <w:i/>
                <w:sz w:val="20"/>
              </w:rPr>
            </w:pPr>
          </w:p>
        </w:tc>
      </w:tr>
      <w:tr w:rsidR="009D76F8" w:rsidRPr="00E966F7" w:rsidTr="00A97F65">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115"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9D76F8" w:rsidRPr="00E966F7" w:rsidRDefault="009D76F8" w:rsidP="00A97F65">
            <w:pPr>
              <w:pStyle w:val="Header"/>
            </w:pPr>
          </w:p>
        </w:tc>
        <w:tc>
          <w:tcPr>
            <w:tcW w:w="360" w:type="dxa"/>
            <w:tcBorders>
              <w:top w:val="single" w:sz="8" w:space="0" w:color="auto"/>
              <w:bottom w:val="single" w:sz="8" w:space="0" w:color="auto"/>
            </w:tcBorders>
            <w:vAlign w:val="center"/>
          </w:tcPr>
          <w:p w:rsidR="009D76F8" w:rsidRDefault="009D76F8" w:rsidP="00A97F65">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9D76F8" w:rsidRPr="00E966F7" w:rsidRDefault="009D76F8" w:rsidP="00A97F65">
            <w:pPr>
              <w:pStyle w:val="NormalArial"/>
              <w:rPr>
                <w:i/>
                <w:sz w:val="20"/>
              </w:rPr>
            </w:pPr>
          </w:p>
        </w:tc>
      </w:tr>
    </w:tbl>
    <w:p w:rsidR="009D76F8" w:rsidRDefault="009D76F8" w:rsidP="009D76F8"/>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9D76F8" w:rsidTr="00A97F65">
        <w:trPr>
          <w:trHeight w:val="432"/>
        </w:trPr>
        <w:tc>
          <w:tcPr>
            <w:tcW w:w="10440" w:type="dxa"/>
            <w:gridSpan w:val="2"/>
            <w:tcBorders>
              <w:top w:val="single" w:sz="4" w:space="0" w:color="auto"/>
            </w:tcBorders>
            <w:shd w:val="clear" w:color="auto" w:fill="FFFFFF"/>
            <w:vAlign w:val="center"/>
          </w:tcPr>
          <w:p w:rsidR="009D76F8" w:rsidRDefault="009D76F8" w:rsidP="00A97F65">
            <w:pPr>
              <w:pStyle w:val="Header"/>
              <w:jc w:val="center"/>
            </w:pPr>
            <w:r>
              <w:t>Sponsor</w:t>
            </w:r>
          </w:p>
        </w:tc>
      </w:tr>
      <w:tr w:rsidR="009D76F8" w:rsidTr="00A97F65">
        <w:trPr>
          <w:trHeight w:val="432"/>
        </w:trPr>
        <w:tc>
          <w:tcPr>
            <w:tcW w:w="2880" w:type="dxa"/>
            <w:shd w:val="clear" w:color="auto" w:fill="FFFFFF"/>
            <w:vAlign w:val="center"/>
          </w:tcPr>
          <w:p w:rsidR="009D76F8" w:rsidRPr="00B93CA0" w:rsidRDefault="009D76F8" w:rsidP="00A97F65">
            <w:pPr>
              <w:pStyle w:val="Header"/>
              <w:rPr>
                <w:bCs w:val="0"/>
              </w:rPr>
            </w:pPr>
            <w:r w:rsidRPr="00B93CA0">
              <w:rPr>
                <w:bCs w:val="0"/>
              </w:rPr>
              <w:t>Name</w:t>
            </w:r>
          </w:p>
        </w:tc>
        <w:tc>
          <w:tcPr>
            <w:tcW w:w="7560" w:type="dxa"/>
            <w:vAlign w:val="center"/>
          </w:tcPr>
          <w:p w:rsidR="009D76F8" w:rsidRDefault="009D76F8" w:rsidP="00A97F65">
            <w:pPr>
              <w:pStyle w:val="NormalArial"/>
            </w:pPr>
            <w:r>
              <w:t>Ino Gonzalez</w:t>
            </w:r>
          </w:p>
        </w:tc>
      </w:tr>
      <w:tr w:rsidR="009D76F8" w:rsidTr="00A97F65">
        <w:trPr>
          <w:trHeight w:val="432"/>
        </w:trPr>
        <w:tc>
          <w:tcPr>
            <w:tcW w:w="2880" w:type="dxa"/>
            <w:shd w:val="clear" w:color="auto" w:fill="FFFFFF"/>
            <w:vAlign w:val="center"/>
          </w:tcPr>
          <w:p w:rsidR="009D76F8" w:rsidRPr="00B93CA0" w:rsidRDefault="009D76F8" w:rsidP="00A97F65">
            <w:pPr>
              <w:pStyle w:val="Header"/>
              <w:rPr>
                <w:bCs w:val="0"/>
              </w:rPr>
            </w:pPr>
            <w:r w:rsidRPr="00B93CA0">
              <w:rPr>
                <w:bCs w:val="0"/>
              </w:rPr>
              <w:t>E-mail Address</w:t>
            </w:r>
          </w:p>
        </w:tc>
        <w:tc>
          <w:tcPr>
            <w:tcW w:w="7560" w:type="dxa"/>
            <w:vAlign w:val="center"/>
          </w:tcPr>
          <w:p w:rsidR="009D76F8" w:rsidRDefault="009D76F8" w:rsidP="00A97F65">
            <w:pPr>
              <w:pStyle w:val="NormalArial"/>
            </w:pPr>
            <w:hyperlink r:id="rId7" w:history="1">
              <w:r w:rsidRPr="00E0381C">
                <w:rPr>
                  <w:rStyle w:val="Hyperlink"/>
                </w:rPr>
                <w:t>igonzalez@ercot.com</w:t>
              </w:r>
            </w:hyperlink>
          </w:p>
        </w:tc>
      </w:tr>
      <w:tr w:rsidR="009D76F8" w:rsidTr="00A97F65">
        <w:trPr>
          <w:trHeight w:val="432"/>
        </w:trPr>
        <w:tc>
          <w:tcPr>
            <w:tcW w:w="2880" w:type="dxa"/>
            <w:shd w:val="clear" w:color="auto" w:fill="FFFFFF"/>
            <w:vAlign w:val="center"/>
          </w:tcPr>
          <w:p w:rsidR="009D76F8" w:rsidRPr="00B93CA0" w:rsidRDefault="009D76F8" w:rsidP="00A97F65">
            <w:pPr>
              <w:pStyle w:val="Header"/>
              <w:rPr>
                <w:bCs w:val="0"/>
              </w:rPr>
            </w:pPr>
            <w:r w:rsidRPr="00B93CA0">
              <w:rPr>
                <w:bCs w:val="0"/>
              </w:rPr>
              <w:t>Company</w:t>
            </w:r>
          </w:p>
        </w:tc>
        <w:tc>
          <w:tcPr>
            <w:tcW w:w="7560" w:type="dxa"/>
            <w:vAlign w:val="center"/>
          </w:tcPr>
          <w:p w:rsidR="009D76F8" w:rsidRDefault="009D76F8" w:rsidP="00A97F65">
            <w:pPr>
              <w:pStyle w:val="NormalArial"/>
            </w:pPr>
            <w:r>
              <w:t>ERCOT</w:t>
            </w:r>
          </w:p>
        </w:tc>
      </w:tr>
      <w:tr w:rsidR="009D76F8" w:rsidTr="00A97F65">
        <w:trPr>
          <w:trHeight w:val="432"/>
        </w:trPr>
        <w:tc>
          <w:tcPr>
            <w:tcW w:w="2880" w:type="dxa"/>
            <w:tcBorders>
              <w:bottom w:val="single" w:sz="4" w:space="0" w:color="auto"/>
            </w:tcBorders>
            <w:shd w:val="clear" w:color="auto" w:fill="FFFFFF"/>
            <w:vAlign w:val="center"/>
          </w:tcPr>
          <w:p w:rsidR="009D76F8" w:rsidRPr="00B93CA0" w:rsidRDefault="009D76F8" w:rsidP="00A97F65">
            <w:pPr>
              <w:pStyle w:val="Header"/>
              <w:rPr>
                <w:bCs w:val="0"/>
              </w:rPr>
            </w:pPr>
            <w:r w:rsidRPr="00B93CA0">
              <w:rPr>
                <w:bCs w:val="0"/>
              </w:rPr>
              <w:t>Phone Number</w:t>
            </w:r>
          </w:p>
        </w:tc>
        <w:tc>
          <w:tcPr>
            <w:tcW w:w="7560" w:type="dxa"/>
            <w:tcBorders>
              <w:bottom w:val="single" w:sz="4" w:space="0" w:color="auto"/>
            </w:tcBorders>
            <w:vAlign w:val="center"/>
          </w:tcPr>
          <w:p w:rsidR="009D76F8" w:rsidRDefault="009D76F8" w:rsidP="00A97F65">
            <w:pPr>
              <w:pStyle w:val="NormalArial"/>
            </w:pPr>
            <w:r>
              <w:t>512-248-3954</w:t>
            </w:r>
          </w:p>
        </w:tc>
      </w:tr>
      <w:tr w:rsidR="009D76F8" w:rsidTr="00A97F65">
        <w:trPr>
          <w:trHeight w:val="432"/>
        </w:trPr>
        <w:tc>
          <w:tcPr>
            <w:tcW w:w="2880" w:type="dxa"/>
            <w:shd w:val="clear" w:color="auto" w:fill="FFFFFF"/>
            <w:vAlign w:val="center"/>
          </w:tcPr>
          <w:p w:rsidR="009D76F8" w:rsidRPr="00B93CA0" w:rsidRDefault="009D76F8" w:rsidP="00A97F65">
            <w:pPr>
              <w:pStyle w:val="Header"/>
              <w:rPr>
                <w:bCs w:val="0"/>
              </w:rPr>
            </w:pPr>
            <w:r>
              <w:rPr>
                <w:bCs w:val="0"/>
              </w:rPr>
              <w:t>Cell</w:t>
            </w:r>
            <w:r w:rsidRPr="00B93CA0">
              <w:rPr>
                <w:bCs w:val="0"/>
              </w:rPr>
              <w:t xml:space="preserve"> Number</w:t>
            </w:r>
          </w:p>
        </w:tc>
        <w:tc>
          <w:tcPr>
            <w:tcW w:w="7560" w:type="dxa"/>
            <w:vAlign w:val="center"/>
          </w:tcPr>
          <w:p w:rsidR="009D76F8" w:rsidRDefault="009D76F8" w:rsidP="00A97F65">
            <w:pPr>
              <w:pStyle w:val="NormalArial"/>
            </w:pPr>
          </w:p>
        </w:tc>
      </w:tr>
      <w:tr w:rsidR="009D76F8" w:rsidTr="00A97F65">
        <w:trPr>
          <w:trHeight w:val="432"/>
        </w:trPr>
        <w:tc>
          <w:tcPr>
            <w:tcW w:w="2880" w:type="dxa"/>
            <w:tcBorders>
              <w:bottom w:val="single" w:sz="4" w:space="0" w:color="auto"/>
            </w:tcBorders>
            <w:shd w:val="clear" w:color="auto" w:fill="FFFFFF"/>
            <w:vAlign w:val="center"/>
          </w:tcPr>
          <w:p w:rsidR="009D76F8" w:rsidRPr="00B93CA0" w:rsidRDefault="009D76F8" w:rsidP="00A97F65">
            <w:pPr>
              <w:pStyle w:val="Header"/>
              <w:rPr>
                <w:bCs w:val="0"/>
              </w:rPr>
            </w:pPr>
            <w:r>
              <w:rPr>
                <w:bCs w:val="0"/>
              </w:rPr>
              <w:t>Market Segment</w:t>
            </w:r>
          </w:p>
        </w:tc>
        <w:tc>
          <w:tcPr>
            <w:tcW w:w="7560" w:type="dxa"/>
            <w:tcBorders>
              <w:bottom w:val="single" w:sz="4" w:space="0" w:color="auto"/>
            </w:tcBorders>
            <w:vAlign w:val="center"/>
          </w:tcPr>
          <w:p w:rsidR="009D76F8" w:rsidRDefault="009D76F8" w:rsidP="00A97F65">
            <w:pPr>
              <w:pStyle w:val="NormalArial"/>
            </w:pPr>
            <w:r>
              <w:t>Not applicable</w:t>
            </w:r>
          </w:p>
        </w:tc>
      </w:tr>
    </w:tbl>
    <w:p w:rsidR="009D76F8" w:rsidRPr="00D56D61" w:rsidRDefault="009D76F8" w:rsidP="009D76F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9D76F8" w:rsidRPr="00D56D61" w:rsidTr="00A97F65">
        <w:trPr>
          <w:trHeight w:val="432"/>
        </w:trPr>
        <w:tc>
          <w:tcPr>
            <w:tcW w:w="10440" w:type="dxa"/>
            <w:gridSpan w:val="2"/>
            <w:vAlign w:val="center"/>
          </w:tcPr>
          <w:p w:rsidR="009D76F8" w:rsidRPr="007C199B" w:rsidRDefault="009D76F8" w:rsidP="00A97F65">
            <w:pPr>
              <w:pStyle w:val="NormalArial"/>
              <w:jc w:val="center"/>
              <w:rPr>
                <w:b/>
              </w:rPr>
            </w:pPr>
            <w:r w:rsidRPr="007C199B">
              <w:rPr>
                <w:b/>
              </w:rPr>
              <w:t>Market Rules Staff Contact</w:t>
            </w:r>
          </w:p>
        </w:tc>
      </w:tr>
      <w:tr w:rsidR="009D76F8" w:rsidRPr="00D56D61" w:rsidTr="00A97F65">
        <w:trPr>
          <w:trHeight w:val="432"/>
        </w:trPr>
        <w:tc>
          <w:tcPr>
            <w:tcW w:w="2880" w:type="dxa"/>
            <w:vAlign w:val="center"/>
          </w:tcPr>
          <w:p w:rsidR="009D76F8" w:rsidRPr="007C199B" w:rsidRDefault="009D76F8" w:rsidP="00A97F65">
            <w:pPr>
              <w:pStyle w:val="NormalArial"/>
              <w:rPr>
                <w:b/>
              </w:rPr>
            </w:pPr>
            <w:r w:rsidRPr="007C199B">
              <w:rPr>
                <w:b/>
              </w:rPr>
              <w:t>Name</w:t>
            </w:r>
          </w:p>
        </w:tc>
        <w:tc>
          <w:tcPr>
            <w:tcW w:w="7560" w:type="dxa"/>
            <w:vAlign w:val="center"/>
          </w:tcPr>
          <w:p w:rsidR="009D76F8" w:rsidRPr="00D56D61" w:rsidRDefault="009D76F8" w:rsidP="00A97F65">
            <w:pPr>
              <w:pStyle w:val="NormalArial"/>
            </w:pPr>
            <w:r>
              <w:t>Jonathan Levine</w:t>
            </w:r>
          </w:p>
        </w:tc>
      </w:tr>
      <w:tr w:rsidR="009D76F8" w:rsidRPr="00D56D61" w:rsidTr="00A97F65">
        <w:trPr>
          <w:trHeight w:val="432"/>
        </w:trPr>
        <w:tc>
          <w:tcPr>
            <w:tcW w:w="2880" w:type="dxa"/>
            <w:vAlign w:val="center"/>
          </w:tcPr>
          <w:p w:rsidR="009D76F8" w:rsidRPr="007C199B" w:rsidRDefault="009D76F8" w:rsidP="00A97F65">
            <w:pPr>
              <w:pStyle w:val="NormalArial"/>
              <w:rPr>
                <w:b/>
              </w:rPr>
            </w:pPr>
            <w:r w:rsidRPr="007C199B">
              <w:rPr>
                <w:b/>
              </w:rPr>
              <w:t>E-Mail Address</w:t>
            </w:r>
          </w:p>
        </w:tc>
        <w:tc>
          <w:tcPr>
            <w:tcW w:w="7560" w:type="dxa"/>
            <w:vAlign w:val="center"/>
          </w:tcPr>
          <w:p w:rsidR="009D76F8" w:rsidRPr="00D56D61" w:rsidRDefault="009D76F8" w:rsidP="00A97F65">
            <w:pPr>
              <w:pStyle w:val="NormalArial"/>
            </w:pPr>
            <w:hyperlink r:id="rId8" w:history="1">
              <w:r w:rsidRPr="00E0381C">
                <w:rPr>
                  <w:rStyle w:val="Hyperlink"/>
                </w:rPr>
                <w:t>jlevine@ercot.com</w:t>
              </w:r>
            </w:hyperlink>
          </w:p>
        </w:tc>
      </w:tr>
      <w:tr w:rsidR="009D76F8" w:rsidRPr="005370B5" w:rsidTr="00A97F65">
        <w:trPr>
          <w:trHeight w:val="432"/>
        </w:trPr>
        <w:tc>
          <w:tcPr>
            <w:tcW w:w="2880" w:type="dxa"/>
            <w:vAlign w:val="center"/>
          </w:tcPr>
          <w:p w:rsidR="009D76F8" w:rsidRPr="007C199B" w:rsidRDefault="009D76F8" w:rsidP="00A97F65">
            <w:pPr>
              <w:pStyle w:val="NormalArial"/>
              <w:rPr>
                <w:b/>
              </w:rPr>
            </w:pPr>
            <w:r w:rsidRPr="007C199B">
              <w:rPr>
                <w:b/>
              </w:rPr>
              <w:t>Phone Number</w:t>
            </w:r>
          </w:p>
        </w:tc>
        <w:tc>
          <w:tcPr>
            <w:tcW w:w="7560" w:type="dxa"/>
            <w:vAlign w:val="center"/>
          </w:tcPr>
          <w:p w:rsidR="009D76F8" w:rsidRDefault="009D76F8" w:rsidP="00A97F65">
            <w:pPr>
              <w:pStyle w:val="NormalArial"/>
            </w:pPr>
            <w:r>
              <w:t>512-248-6464</w:t>
            </w:r>
          </w:p>
        </w:tc>
      </w:tr>
    </w:tbl>
    <w:p w:rsidR="009D76F8" w:rsidRDefault="009D76F8" w:rsidP="00B85BD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B85BD1" w:rsidTr="00D051D0">
        <w:tblPrEx>
          <w:tblCellMar>
            <w:top w:w="0" w:type="dxa"/>
            <w:bottom w:w="0" w:type="dxa"/>
          </w:tblCellMar>
        </w:tblPrEx>
        <w:tc>
          <w:tcPr>
            <w:tcW w:w="10440" w:type="dxa"/>
            <w:gridSpan w:val="2"/>
            <w:shd w:val="clear" w:color="auto" w:fill="FFFFFF"/>
            <w:vAlign w:val="center"/>
          </w:tcPr>
          <w:p w:rsidR="00B85BD1" w:rsidRPr="00895AB9" w:rsidRDefault="00B85BD1" w:rsidP="00D051D0">
            <w:pPr>
              <w:pStyle w:val="NormalArial"/>
              <w:jc w:val="center"/>
              <w:rPr>
                <w:b/>
              </w:rPr>
            </w:pPr>
            <w:r w:rsidRPr="00895AB9">
              <w:rPr>
                <w:b/>
              </w:rPr>
              <w:t xml:space="preserve">Comments </w:t>
            </w:r>
            <w:r>
              <w:rPr>
                <w:b/>
              </w:rPr>
              <w:t>Received</w:t>
            </w:r>
          </w:p>
        </w:tc>
      </w:tr>
      <w:tr w:rsidR="00B85BD1" w:rsidTr="00D051D0">
        <w:tblPrEx>
          <w:tblCellMar>
            <w:top w:w="0" w:type="dxa"/>
            <w:bottom w:w="0" w:type="dxa"/>
          </w:tblCellMar>
        </w:tblPrEx>
        <w:tc>
          <w:tcPr>
            <w:tcW w:w="2880" w:type="dxa"/>
            <w:shd w:val="clear" w:color="auto" w:fill="FFFFFF"/>
            <w:vAlign w:val="center"/>
          </w:tcPr>
          <w:p w:rsidR="00B85BD1" w:rsidRPr="00895AB9" w:rsidRDefault="00B85BD1" w:rsidP="00D051D0">
            <w:pPr>
              <w:pStyle w:val="Header"/>
              <w:rPr>
                <w:bCs w:val="0"/>
              </w:rPr>
            </w:pPr>
            <w:r w:rsidRPr="00895AB9">
              <w:rPr>
                <w:bCs w:val="0"/>
              </w:rPr>
              <w:t>Comment Author</w:t>
            </w:r>
          </w:p>
        </w:tc>
        <w:tc>
          <w:tcPr>
            <w:tcW w:w="7560" w:type="dxa"/>
            <w:vAlign w:val="center"/>
          </w:tcPr>
          <w:p w:rsidR="00B85BD1" w:rsidRPr="00895AB9" w:rsidRDefault="00B85BD1" w:rsidP="00D051D0">
            <w:pPr>
              <w:pStyle w:val="NormalArial"/>
              <w:rPr>
                <w:b/>
              </w:rPr>
            </w:pPr>
            <w:r w:rsidRPr="00895AB9">
              <w:rPr>
                <w:b/>
              </w:rPr>
              <w:t xml:space="preserve">Comment </w:t>
            </w:r>
            <w:r>
              <w:rPr>
                <w:b/>
              </w:rPr>
              <w:t>Summary</w:t>
            </w:r>
          </w:p>
        </w:tc>
      </w:tr>
      <w:tr w:rsidR="00B85BD1" w:rsidTr="00D051D0">
        <w:tblPrEx>
          <w:tblCellMar>
            <w:top w:w="0" w:type="dxa"/>
            <w:bottom w:w="0" w:type="dxa"/>
          </w:tblCellMar>
        </w:tblPrEx>
        <w:tc>
          <w:tcPr>
            <w:tcW w:w="2880" w:type="dxa"/>
            <w:shd w:val="clear" w:color="auto" w:fill="FFFFFF"/>
            <w:vAlign w:val="center"/>
          </w:tcPr>
          <w:p w:rsidR="00B85BD1" w:rsidRPr="00502A1F" w:rsidRDefault="00097FDC" w:rsidP="00097FDC">
            <w:pPr>
              <w:pStyle w:val="Header"/>
              <w:rPr>
                <w:b w:val="0"/>
                <w:bCs w:val="0"/>
              </w:rPr>
            </w:pPr>
            <w:r>
              <w:rPr>
                <w:b w:val="0"/>
                <w:bCs w:val="0"/>
              </w:rPr>
              <w:t>NRG Texas Power 040611</w:t>
            </w:r>
          </w:p>
        </w:tc>
        <w:tc>
          <w:tcPr>
            <w:tcW w:w="7560" w:type="dxa"/>
            <w:vAlign w:val="center"/>
          </w:tcPr>
          <w:p w:rsidR="00B85BD1" w:rsidRDefault="00563596" w:rsidP="00563596">
            <w:pPr>
              <w:pStyle w:val="NormalArial"/>
            </w:pPr>
            <w:r>
              <w:t>Proposed revisions to provide the same grandfathering provision that</w:t>
            </w:r>
            <w:r w:rsidRPr="00F77568">
              <w:t xml:space="preserve"> </w:t>
            </w:r>
            <w:r>
              <w:t xml:space="preserve">was previously allowed for the recovery of </w:t>
            </w:r>
            <w:r w:rsidRPr="00563596">
              <w:t xml:space="preserve">Operations and Maintenance </w:t>
            </w:r>
            <w:r>
              <w:t>(O&amp;M) costs from Power Purchase and Tolling Agreements (PPAs) to be applied to RUC-deployed units.</w:t>
            </w:r>
          </w:p>
        </w:tc>
      </w:tr>
      <w:tr w:rsidR="00097FDC" w:rsidTr="00D051D0">
        <w:tblPrEx>
          <w:tblCellMar>
            <w:top w:w="0" w:type="dxa"/>
            <w:bottom w:w="0" w:type="dxa"/>
          </w:tblCellMar>
        </w:tblPrEx>
        <w:tc>
          <w:tcPr>
            <w:tcW w:w="2880" w:type="dxa"/>
            <w:shd w:val="clear" w:color="auto" w:fill="FFFFFF"/>
            <w:vAlign w:val="center"/>
          </w:tcPr>
          <w:p w:rsidR="00097FDC" w:rsidDel="00097FDC" w:rsidRDefault="00097FDC" w:rsidP="00097FDC">
            <w:pPr>
              <w:pStyle w:val="Header"/>
              <w:rPr>
                <w:b w:val="0"/>
                <w:bCs w:val="0"/>
              </w:rPr>
            </w:pPr>
            <w:r>
              <w:rPr>
                <w:b w:val="0"/>
                <w:bCs w:val="0"/>
              </w:rPr>
              <w:t>WMS 041111</w:t>
            </w:r>
          </w:p>
        </w:tc>
        <w:tc>
          <w:tcPr>
            <w:tcW w:w="7560" w:type="dxa"/>
            <w:vAlign w:val="center"/>
          </w:tcPr>
          <w:p w:rsidR="00097FDC" w:rsidRDefault="00BC26C0" w:rsidP="00BC26C0">
            <w:pPr>
              <w:pStyle w:val="NormalArial"/>
            </w:pPr>
            <w:r>
              <w:rPr>
                <w:rFonts w:cs="Arial"/>
              </w:rPr>
              <w:t xml:space="preserve">Endorsed NPRR319 as amended by the 4/6/11 NRG Texas Power comments and requested that the Verifiable Cost Working Group (VCWG) continue to </w:t>
            </w:r>
            <w:r w:rsidRPr="000A122B">
              <w:rPr>
                <w:rFonts w:cs="Arial"/>
              </w:rPr>
              <w:t>explore option</w:t>
            </w:r>
            <w:r>
              <w:rPr>
                <w:rFonts w:cs="Arial"/>
              </w:rPr>
              <w:t>s</w:t>
            </w:r>
            <w:r w:rsidRPr="000A122B">
              <w:rPr>
                <w:rFonts w:cs="Arial"/>
              </w:rPr>
              <w:t xml:space="preserve"> for fixing problem</w:t>
            </w:r>
            <w:r>
              <w:rPr>
                <w:rFonts w:cs="Arial"/>
              </w:rPr>
              <w:t>s</w:t>
            </w:r>
            <w:r w:rsidRPr="000A122B">
              <w:rPr>
                <w:rFonts w:cs="Arial"/>
              </w:rPr>
              <w:t xml:space="preserve"> with RUC</w:t>
            </w:r>
            <w:r>
              <w:rPr>
                <w:rFonts w:cs="Arial"/>
              </w:rPr>
              <w:t xml:space="preserve"> cost recovery.</w:t>
            </w:r>
          </w:p>
        </w:tc>
      </w:tr>
    </w:tbl>
    <w:p w:rsidR="00895AB9" w:rsidRPr="00F573FE" w:rsidRDefault="00895AB9">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630FB4">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630FB4" w:rsidRDefault="00630FB4">
            <w:pPr>
              <w:pStyle w:val="Header"/>
              <w:jc w:val="center"/>
            </w:pPr>
            <w:r>
              <w:t>Proposed Protocol Language Revision</w:t>
            </w:r>
          </w:p>
        </w:tc>
      </w:tr>
    </w:tbl>
    <w:p w:rsidR="00604288" w:rsidRDefault="00604288" w:rsidP="00604288">
      <w:pPr>
        <w:pStyle w:val="H3"/>
      </w:pPr>
      <w:bookmarkStart w:id="0" w:name="_Toc278262323"/>
      <w:r>
        <w:t>9.14.7</w:t>
      </w:r>
      <w:r>
        <w:tab/>
        <w:t>Disputes for RUC Make-Whole Payment for Exceptional Fuel Costs</w:t>
      </w:r>
      <w:bookmarkEnd w:id="0"/>
    </w:p>
    <w:p w:rsidR="00604288" w:rsidRDefault="00604288" w:rsidP="00604288">
      <w:pPr>
        <w:pStyle w:val="BodyText"/>
        <w:ind w:left="720" w:hanging="720"/>
      </w:pPr>
      <w:r>
        <w:t>(1)</w:t>
      </w:r>
      <w:r>
        <w:tab/>
        <w:t>If the actual price paid for delivered natural gas for a specific Resource during a Reliability Unit Commitment (RUC)-Committed Interval is greater than Fuel Index Price (FIP) * 1.X, then the QSE may file a Settlement dispute for that Resource’s RUC Make-Whole Payment.  The maximum amount that may be recovered through this dispute process is the difference between the RUC Guarantee based on the actual price paid and a fuel price of FIP * 1.X.</w:t>
      </w:r>
      <w:ins w:id="1" w:author="ERCOT" w:date="2011-02-04T10:54:00Z">
        <w:r>
          <w:t xml:space="preserve">  The QSE must provide documentation (invoices) that identifies intra-day </w:t>
        </w:r>
        <w:del w:id="2" w:author="NRG Texas Power 040611" w:date="2011-04-06T15:12:00Z">
          <w:r w:rsidDel="006C474A">
            <w:delText>purchases</w:delText>
          </w:r>
        </w:del>
      </w:ins>
      <w:ins w:id="3" w:author="NRG Texas Power 040611" w:date="2011-04-06T15:12:00Z">
        <w:r>
          <w:t>costs</w:t>
        </w:r>
      </w:ins>
      <w:ins w:id="4" w:author="ERCOT" w:date="2011-02-04T10:54:00Z">
        <w:r>
          <w:t xml:space="preserve"> of natural gas consumed during the RUC-Committed Interval.  </w:t>
        </w:r>
        <w:r>
          <w:lastRenderedPageBreak/>
          <w:t>Such documentation is necessary to justify recovery of natural gas costs</w:t>
        </w:r>
      </w:ins>
      <w:ins w:id="5" w:author="ERCOT" w:date="2011-02-07T11:08:00Z">
        <w:r>
          <w:t>,</w:t>
        </w:r>
      </w:ins>
      <w:ins w:id="6" w:author="ERCOT" w:date="2011-02-04T10:54:00Z">
        <w:r>
          <w:t xml:space="preserve"> which is limited to the actual fuel amount (MMBtus) consumed during RUC-Committed Intervals.  All documentation submitted by the QSE for natural gas </w:t>
        </w:r>
        <w:del w:id="7" w:author="NRG Texas Power 040611" w:date="2011-04-06T15:13:00Z">
          <w:r w:rsidDel="006C474A">
            <w:delText>purchases made</w:delText>
          </w:r>
        </w:del>
      </w:ins>
      <w:ins w:id="8" w:author="NRG Texas Power 040611" w:date="2011-04-06T15:13:00Z">
        <w:r>
          <w:t>costs incurred</w:t>
        </w:r>
      </w:ins>
      <w:ins w:id="9" w:author="ERCOT" w:date="2011-02-04T10:54:00Z">
        <w:r>
          <w:t xml:space="preserve"> intra-day must show a nexus from the seller or distributor of natural gas products to the QSE, Resource Entity or Generation Entity as the ultimate buyer.  The QSE must demonstrate that the seller or distributor has procured natural gas fuel intra-day.  Power Purchase </w:t>
        </w:r>
      </w:ins>
      <w:ins w:id="10" w:author="ERCOT" w:date="2011-02-07T11:07:00Z">
        <w:r>
          <w:t xml:space="preserve">or Tolling </w:t>
        </w:r>
      </w:ins>
      <w:ins w:id="11" w:author="ERCOT" w:date="2011-02-04T10:54:00Z">
        <w:r>
          <w:t xml:space="preserve">Agreements (PPAs) </w:t>
        </w:r>
      </w:ins>
      <w:ins w:id="12" w:author="ERCOT" w:date="2011-02-07T11:08:00Z">
        <w:r>
          <w:t xml:space="preserve">filed </w:t>
        </w:r>
      </w:ins>
      <w:ins w:id="13" w:author="ERCOT" w:date="2011-02-04T10:54:00Z">
        <w:r>
          <w:t xml:space="preserve">as documentation of proof of fuel </w:t>
        </w:r>
        <w:del w:id="14" w:author="NRG Texas Power 040611" w:date="2011-04-06T15:13:00Z">
          <w:r w:rsidDel="006C474A">
            <w:delText>purchase</w:delText>
          </w:r>
        </w:del>
      </w:ins>
      <w:ins w:id="15" w:author="NRG Texas Power 040611" w:date="2011-04-06T15:13:00Z">
        <w:r>
          <w:t>costs</w:t>
        </w:r>
      </w:ins>
      <w:ins w:id="16" w:author="ERCOT" w:date="2011-02-04T10:54:00Z">
        <w:r>
          <w:t xml:space="preserve"> will not be accepted unless </w:t>
        </w:r>
        <w:del w:id="17" w:author="NRG Texas Power 040611" w:date="2011-04-06T11:21:00Z">
          <w:r w:rsidDel="00EF331A">
            <w:delText>approved by the ERCOT Board as described</w:delText>
          </w:r>
        </w:del>
      </w:ins>
      <w:ins w:id="18" w:author="NRG Texas Power 040611" w:date="2011-04-06T11:21:00Z">
        <w:r>
          <w:t>it meets the criteria</w:t>
        </w:r>
      </w:ins>
      <w:ins w:id="19" w:author="ERCOT" w:date="2011-02-04T10:54:00Z">
        <w:r>
          <w:t xml:space="preserve"> in paragraph (4) below.</w:t>
        </w:r>
      </w:ins>
    </w:p>
    <w:p w:rsidR="00604288" w:rsidRDefault="00604288" w:rsidP="00604288">
      <w:pPr>
        <w:pStyle w:val="BodyText"/>
        <w:ind w:left="720" w:hanging="720"/>
      </w:pPr>
      <w:r>
        <w:t>(2)</w:t>
      </w:r>
      <w:r>
        <w:tab/>
        <w:t xml:space="preserve">If the actual price paid for the delivered fuel oil used to replace oil consumed during a RUC-Committed Interval is greater than Fuel Oil Price (FOP), then the QSE may file a Settlement dispute for the Resource’s RUC Make-Whole Payment.  </w:t>
      </w:r>
      <w:r w:rsidRPr="00743AFC">
        <w:t xml:space="preserve">The QSE must provide documentation that identifies purchases of fuel oil </w:t>
      </w:r>
      <w:ins w:id="20" w:author="ERCOT" w:date="2011-02-04T10:58:00Z">
        <w:r w:rsidRPr="00743AFC">
          <w:t xml:space="preserve">by the QSE, Resource Entity or Generation Entity </w:t>
        </w:r>
      </w:ins>
      <w:r w:rsidRPr="00743AFC">
        <w:t xml:space="preserve">to replace oil consumed for a RUC-Committed Interval. </w:t>
      </w:r>
      <w:r>
        <w:t xml:space="preserve"> </w:t>
      </w:r>
      <w:ins w:id="21" w:author="ERCOT" w:date="2011-02-04T10:58:00Z">
        <w:r w:rsidRPr="00743AFC">
          <w:t>In addition, the QSE must provide proof that the Resource</w:t>
        </w:r>
        <w:r>
          <w:t xml:space="preserve"> actually consumed fuel oil during the RUC-Committed Interval.  Proof of actual consumption may be based on the Resource’s technical specifications or flow meters as appropriate.  </w:t>
        </w:r>
      </w:ins>
      <w:del w:id="22" w:author="ERCOT" w:date="2011-02-04T10:58:00Z">
        <w:r w:rsidDel="00FB2676">
          <w:delText>This d</w:delText>
        </w:r>
      </w:del>
      <w:ins w:id="23" w:author="ERCOT" w:date="2011-02-04T10:58:00Z">
        <w:r>
          <w:t>D</w:t>
        </w:r>
      </w:ins>
      <w:r>
        <w:t xml:space="preserve">ocumentation </w:t>
      </w:r>
      <w:ins w:id="24" w:author="ERCOT" w:date="2011-02-04T10:58:00Z">
        <w:r>
          <w:t xml:space="preserve">of </w:t>
        </w:r>
      </w:ins>
      <w:del w:id="25" w:author="ERCOT" w:date="2011-02-04T10:58:00Z">
        <w:r w:rsidDel="00FB2676">
          <w:delText xml:space="preserve">shall reflect </w:delText>
        </w:r>
      </w:del>
      <w:r>
        <w:t xml:space="preserve">fuel oil purchases </w:t>
      </w:r>
      <w:ins w:id="26" w:author="ERCOT" w:date="2011-02-04T10:58:00Z">
        <w:r>
          <w:t xml:space="preserve">must show that these were </w:t>
        </w:r>
      </w:ins>
      <w:r>
        <w:t xml:space="preserve">made no later than seven Business Days after the end of the last consecutive RUC-Committed Interval.  Such documentation is necessary to justify recovery of replacement fuel oil costs which is limited to the actual gallons/barrels of fuel oil consumed during RUC-Committed Intervals.  </w:t>
      </w:r>
    </w:p>
    <w:p w:rsidR="00604288" w:rsidRDefault="00604288" w:rsidP="00604288">
      <w:pPr>
        <w:pStyle w:val="BodyText"/>
        <w:ind w:left="720" w:hanging="720"/>
        <w:rPr>
          <w:ins w:id="27" w:author="ERCOT" w:date="2011-02-04T10:59:00Z"/>
        </w:rPr>
      </w:pPr>
      <w:r>
        <w:t>(3)</w:t>
      </w:r>
      <w:r>
        <w:tab/>
        <w:t xml:space="preserve">If the </w:t>
      </w:r>
      <w:ins w:id="28" w:author="ERCOT" w:date="2011-02-04T10:59:00Z">
        <w:r>
          <w:t xml:space="preserve">QSE representing the </w:t>
        </w:r>
      </w:ins>
      <w:r>
        <w:t xml:space="preserve">Generation Resource made a Three-Part Supply Offer into the DAM based on FIP and had to run on fuel oil in a RUC-Committed Hour, the QSE may file a Settlement dispute to recover the difference between the RUC Guarantee based actual price paid for delivered fuel oil minus the offer price.  </w:t>
      </w:r>
    </w:p>
    <w:p w:rsidR="00604288" w:rsidRDefault="00604288" w:rsidP="00604288">
      <w:pPr>
        <w:pStyle w:val="BodyText"/>
        <w:ind w:left="720" w:hanging="720"/>
        <w:rPr>
          <w:ins w:id="29" w:author="NRG Texas Power 040611" w:date="2011-04-06T11:21:00Z"/>
          <w:color w:val="000000"/>
        </w:rPr>
      </w:pPr>
      <w:ins w:id="30" w:author="ERCOT" w:date="2011-02-04T10:59:00Z">
        <w:r w:rsidRPr="00743AFC">
          <w:t>(4)</w:t>
        </w:r>
        <w:r w:rsidRPr="00743AFC">
          <w:tab/>
        </w:r>
        <w:r w:rsidRPr="00923B9F">
          <w:t>A QSE submitting document</w:t>
        </w:r>
        <w:r>
          <w:t>s</w:t>
        </w:r>
        <w:r w:rsidRPr="00923B9F">
          <w:t xml:space="preserve"> for the recovery of fuel costs for RUC deployments </w:t>
        </w:r>
        <w:r>
          <w:t>other than those</w:t>
        </w:r>
        <w:r w:rsidRPr="00923B9F">
          <w:t xml:space="preserve"> specifically discussed in </w:t>
        </w:r>
        <w:r>
          <w:t>paragraph (1) above</w:t>
        </w:r>
        <w:r w:rsidRPr="00923B9F">
          <w:t xml:space="preserve"> </w:t>
        </w:r>
        <w:r w:rsidRPr="00923B9F">
          <w:rPr>
            <w:color w:val="000000"/>
          </w:rPr>
          <w:t xml:space="preserve">must </w:t>
        </w:r>
      </w:ins>
      <w:ins w:id="31" w:author="NRG Texas Power 040611" w:date="2011-04-06T11:21:00Z">
        <w:r>
          <w:rPr>
            <w:color w:val="000000"/>
          </w:rPr>
          <w:t>either:</w:t>
        </w:r>
      </w:ins>
    </w:p>
    <w:p w:rsidR="00604288" w:rsidRDefault="00604288" w:rsidP="00604288">
      <w:pPr>
        <w:pStyle w:val="List"/>
        <w:numPr>
          <w:ins w:id="32" w:author="NRG Texas Power 040611" w:date="2011-04-06T11:21:00Z"/>
        </w:numPr>
        <w:ind w:left="1440"/>
        <w:rPr>
          <w:ins w:id="33" w:author="NRG Texas Power 040611" w:date="2011-04-06T11:22:00Z"/>
          <w:color w:val="000000"/>
        </w:rPr>
        <w:pPrChange w:id="34" w:author="NRG Texas Power 040611" w:date="2011-04-06T11:22:00Z">
          <w:pPr>
            <w:pStyle w:val="BodyText"/>
            <w:ind w:left="720" w:hanging="720"/>
          </w:pPr>
        </w:pPrChange>
      </w:pPr>
      <w:ins w:id="35" w:author="NRG Texas Power 040611" w:date="2011-04-06T11:22:00Z">
        <w:r>
          <w:t>(a)</w:t>
        </w:r>
      </w:ins>
      <w:ins w:id="36" w:author="NRG Texas Power 040611" w:date="2011-04-06T15:56:00Z">
        <w:r>
          <w:tab/>
        </w:r>
      </w:ins>
      <w:ins w:id="37" w:author="ERCOT" w:date="2011-02-04T10:59:00Z">
        <w:del w:id="38" w:author="NRG Texas Power 040611" w:date="2011-04-06T15:56:00Z">
          <w:r w:rsidDel="00724930">
            <w:rPr>
              <w:color w:val="000000"/>
            </w:rPr>
            <w:delText>r</w:delText>
          </w:r>
        </w:del>
      </w:ins>
      <w:ins w:id="39" w:author="NRG Texas Power 040611" w:date="2011-04-06T15:56:00Z">
        <w:r>
          <w:rPr>
            <w:color w:val="000000"/>
          </w:rPr>
          <w:t>R</w:t>
        </w:r>
      </w:ins>
      <w:ins w:id="40" w:author="ERCOT" w:date="2011-02-04T10:59:00Z">
        <w:r>
          <w:rPr>
            <w:color w:val="000000"/>
          </w:rPr>
          <w:t>equest</w:t>
        </w:r>
        <w:r w:rsidRPr="00923B9F">
          <w:rPr>
            <w:color w:val="000000"/>
          </w:rPr>
          <w:t xml:space="preserve"> to have </w:t>
        </w:r>
        <w:r>
          <w:rPr>
            <w:color w:val="000000"/>
          </w:rPr>
          <w:t>such documents</w:t>
        </w:r>
        <w:r w:rsidRPr="00923B9F">
          <w:rPr>
            <w:color w:val="000000"/>
          </w:rPr>
          <w:t xml:space="preserve"> approved by the ERCOT Board during an </w:t>
        </w:r>
        <w:r w:rsidRPr="00511166">
          <w:t>Executive</w:t>
        </w:r>
        <w:r w:rsidRPr="00923B9F">
          <w:rPr>
            <w:color w:val="000000"/>
          </w:rPr>
          <w:t xml:space="preserve"> Session at the next regularly scheduled meeting</w:t>
        </w:r>
        <w:r>
          <w:rPr>
            <w:color w:val="000000"/>
          </w:rPr>
          <w:t xml:space="preserve"> of the ERCOT Board</w:t>
        </w:r>
        <w:r w:rsidRPr="00923B9F">
          <w:rPr>
            <w:color w:val="000000"/>
          </w:rPr>
          <w:t xml:space="preserve">.  </w:t>
        </w:r>
        <w:r>
          <w:rPr>
            <w:color w:val="000000"/>
          </w:rPr>
          <w:t xml:space="preserve">If </w:t>
        </w:r>
        <w:r w:rsidRPr="00923B9F">
          <w:rPr>
            <w:color w:val="000000"/>
          </w:rPr>
          <w:t xml:space="preserve">the </w:t>
        </w:r>
        <w:r>
          <w:rPr>
            <w:color w:val="000000"/>
          </w:rPr>
          <w:t xml:space="preserve">ERCOT </w:t>
        </w:r>
        <w:r w:rsidRPr="00923B9F">
          <w:rPr>
            <w:color w:val="000000"/>
          </w:rPr>
          <w:t>Board approve</w:t>
        </w:r>
        <w:r>
          <w:rPr>
            <w:color w:val="000000"/>
          </w:rPr>
          <w:t>s</w:t>
        </w:r>
        <w:r w:rsidRPr="00923B9F">
          <w:rPr>
            <w:color w:val="000000"/>
          </w:rPr>
          <w:t xml:space="preserve"> the inclusion of such documentation as proof of fuel </w:t>
        </w:r>
        <w:r>
          <w:rPr>
            <w:color w:val="000000"/>
          </w:rPr>
          <w:t>p</w:t>
        </w:r>
        <w:r w:rsidRPr="00923B9F">
          <w:rPr>
            <w:color w:val="000000"/>
          </w:rPr>
          <w:t xml:space="preserve">urchases, the </w:t>
        </w:r>
        <w:r>
          <w:rPr>
            <w:color w:val="000000"/>
          </w:rPr>
          <w:t xml:space="preserve">QSE </w:t>
        </w:r>
        <w:r w:rsidRPr="00923B9F">
          <w:rPr>
            <w:color w:val="000000"/>
          </w:rPr>
          <w:t xml:space="preserve">must file a Nodal Protocol Revision Request (NPRR) in accordance with Section 21, Process for </w:t>
        </w:r>
        <w:r>
          <w:rPr>
            <w:color w:val="000000"/>
          </w:rPr>
          <w:t xml:space="preserve">Nodal </w:t>
        </w:r>
        <w:r w:rsidRPr="00923B9F">
          <w:rPr>
            <w:color w:val="000000"/>
          </w:rPr>
          <w:t>Protocol Revision</w:t>
        </w:r>
        <w:r>
          <w:rPr>
            <w:color w:val="000000"/>
          </w:rPr>
          <w:t>, to add this category of documentation to the process for approval of RUC Make-Whole Payments</w:t>
        </w:r>
      </w:ins>
      <w:ins w:id="41" w:author="NRG Texas Power 040611" w:date="2011-04-06T11:22:00Z">
        <w:r>
          <w:rPr>
            <w:color w:val="000000"/>
          </w:rPr>
          <w:t>; or</w:t>
        </w:r>
      </w:ins>
    </w:p>
    <w:p w:rsidR="00604288" w:rsidRDefault="00604288" w:rsidP="00604288">
      <w:pPr>
        <w:pStyle w:val="List"/>
        <w:numPr>
          <w:ins w:id="42" w:author="NRG Texas Power 040611" w:date="2011-04-06T11:22:00Z"/>
        </w:numPr>
        <w:ind w:left="1440"/>
        <w:rPr>
          <w:color w:val="000000"/>
        </w:rPr>
        <w:pPrChange w:id="43" w:author="NRG Texas Power 040611" w:date="2011-04-06T11:22:00Z">
          <w:pPr>
            <w:pStyle w:val="BodyText"/>
            <w:ind w:left="720" w:hanging="720"/>
          </w:pPr>
        </w:pPrChange>
      </w:pPr>
      <w:ins w:id="44" w:author="NRG Texas Power 040611" w:date="2011-04-06T11:22:00Z">
        <w:r>
          <w:t>(b)</w:t>
        </w:r>
      </w:ins>
      <w:ins w:id="45" w:author="NRG Texas Power 040611" w:date="2011-04-06T15:56:00Z">
        <w:r>
          <w:tab/>
          <w:t>H</w:t>
        </w:r>
      </w:ins>
      <w:ins w:id="46" w:author="NRG Texas Power 040611" w:date="2011-04-06T11:22:00Z">
        <w:r>
          <w:t xml:space="preserve">ave </w:t>
        </w:r>
      </w:ins>
      <w:ins w:id="47" w:author="NRG Texas Power 040611" w:date="2011-04-06T15:14:00Z">
        <w:r>
          <w:t>incurred the cost of</w:t>
        </w:r>
      </w:ins>
      <w:ins w:id="48" w:author="NRG Texas Power 040611" w:date="2011-04-06T11:22:00Z">
        <w:r>
          <w:t xml:space="preserve"> the fuel with a PPA signed </w:t>
        </w:r>
      </w:ins>
      <w:ins w:id="49" w:author="NRG Texas Power 040611" w:date="2011-04-06T11:23:00Z">
        <w:r>
          <w:t>prior to July 16, 2008 that is not between Affiliates, subsidiaries, or partners</w:t>
        </w:r>
      </w:ins>
      <w:ins w:id="50" w:author="ERCOT" w:date="2011-02-04T10:59:00Z">
        <w:r>
          <w:rPr>
            <w:color w:val="000000"/>
          </w:rPr>
          <w:t>.</w:t>
        </w:r>
      </w:ins>
    </w:p>
    <w:p w:rsidR="00630FB4" w:rsidRDefault="00630FB4" w:rsidP="00604288">
      <w:pPr>
        <w:pStyle w:val="BodyText"/>
        <w:tabs>
          <w:tab w:val="left" w:pos="540"/>
        </w:tabs>
      </w:pPr>
    </w:p>
    <w:sectPr w:rsidR="00630FB4" w:rsidSect="000A1FB0">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9C7" w:rsidRDefault="006039C7">
      <w:r>
        <w:separator/>
      </w:r>
    </w:p>
  </w:endnote>
  <w:endnote w:type="continuationSeparator" w:id="0">
    <w:p w:rsidR="006039C7" w:rsidRDefault="006039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B4" w:rsidRDefault="009D76F8" w:rsidP="008C6885">
    <w:pPr>
      <w:pStyle w:val="Footer"/>
      <w:tabs>
        <w:tab w:val="clear" w:pos="4320"/>
        <w:tab w:val="clear" w:pos="8640"/>
        <w:tab w:val="right" w:pos="9360"/>
      </w:tabs>
      <w:rPr>
        <w:rFonts w:ascii="Arial" w:hAnsi="Arial"/>
        <w:sz w:val="18"/>
      </w:rPr>
    </w:pPr>
    <w:r>
      <w:rPr>
        <w:rFonts w:ascii="Arial" w:hAnsi="Arial"/>
        <w:sz w:val="18"/>
      </w:rPr>
      <w:t>319</w:t>
    </w:r>
    <w:r w:rsidR="000A163A">
      <w:rPr>
        <w:rFonts w:ascii="Arial" w:hAnsi="Arial"/>
        <w:sz w:val="18"/>
      </w:rPr>
      <w:t>N</w:t>
    </w:r>
    <w:r w:rsidR="008C6885">
      <w:rPr>
        <w:rFonts w:ascii="Arial" w:hAnsi="Arial"/>
        <w:sz w:val="18"/>
      </w:rPr>
      <w:t>PRR-</w:t>
    </w:r>
    <w:r>
      <w:rPr>
        <w:rFonts w:ascii="Arial" w:hAnsi="Arial"/>
        <w:sz w:val="18"/>
      </w:rPr>
      <w:t>0</w:t>
    </w:r>
    <w:r w:rsidR="003E5A57">
      <w:rPr>
        <w:rFonts w:ascii="Arial" w:hAnsi="Arial"/>
        <w:sz w:val="18"/>
      </w:rPr>
      <w:t>6</w:t>
    </w:r>
    <w:r w:rsidR="008C6885">
      <w:rPr>
        <w:rFonts w:ascii="Arial" w:hAnsi="Arial"/>
        <w:sz w:val="18"/>
      </w:rPr>
      <w:t xml:space="preserve"> </w:t>
    </w:r>
    <w:r w:rsidR="00B40895">
      <w:rPr>
        <w:rFonts w:ascii="Arial" w:hAnsi="Arial"/>
        <w:sz w:val="18"/>
      </w:rPr>
      <w:t xml:space="preserve">PRS </w:t>
    </w:r>
    <w:r w:rsidR="0072080C">
      <w:rPr>
        <w:rFonts w:ascii="Arial" w:hAnsi="Arial"/>
        <w:sz w:val="18"/>
      </w:rPr>
      <w:t xml:space="preserve">Report </w:t>
    </w:r>
    <w:r>
      <w:rPr>
        <w:rFonts w:ascii="Arial" w:hAnsi="Arial"/>
        <w:sz w:val="18"/>
      </w:rPr>
      <w:t>0</w:t>
    </w:r>
    <w:r w:rsidR="003E5A57">
      <w:rPr>
        <w:rFonts w:ascii="Arial" w:hAnsi="Arial"/>
        <w:sz w:val="18"/>
      </w:rPr>
      <w:t>421</w:t>
    </w:r>
    <w:r>
      <w:rPr>
        <w:rFonts w:ascii="Arial" w:hAnsi="Arial"/>
        <w:sz w:val="18"/>
      </w:rPr>
      <w:t>11</w:t>
    </w:r>
    <w:r w:rsidR="00630FB4">
      <w:rPr>
        <w:rFonts w:ascii="Arial" w:hAnsi="Arial"/>
        <w:sz w:val="18"/>
      </w:rPr>
      <w:tab/>
      <w:t xml:space="preserve">Page </w:t>
    </w:r>
    <w:r w:rsidR="00630FB4">
      <w:rPr>
        <w:rFonts w:ascii="Arial" w:hAnsi="Arial"/>
        <w:sz w:val="18"/>
      </w:rPr>
      <w:fldChar w:fldCharType="begin"/>
    </w:r>
    <w:r w:rsidR="00630FB4">
      <w:rPr>
        <w:rFonts w:ascii="Arial" w:hAnsi="Arial"/>
        <w:sz w:val="18"/>
      </w:rPr>
      <w:instrText xml:space="preserve"> PAGE </w:instrText>
    </w:r>
    <w:r w:rsidR="00630FB4">
      <w:rPr>
        <w:rFonts w:ascii="Arial" w:hAnsi="Arial"/>
        <w:sz w:val="18"/>
      </w:rPr>
      <w:fldChar w:fldCharType="separate"/>
    </w:r>
    <w:r w:rsidR="005E2907">
      <w:rPr>
        <w:rFonts w:ascii="Arial" w:hAnsi="Arial"/>
        <w:noProof/>
        <w:sz w:val="18"/>
      </w:rPr>
      <w:t>1</w:t>
    </w:r>
    <w:r w:rsidR="00630FB4">
      <w:rPr>
        <w:rFonts w:ascii="Arial" w:hAnsi="Arial"/>
        <w:sz w:val="18"/>
      </w:rPr>
      <w:fldChar w:fldCharType="end"/>
    </w:r>
    <w:r w:rsidR="00630FB4">
      <w:rPr>
        <w:rFonts w:ascii="Arial" w:hAnsi="Arial"/>
        <w:sz w:val="18"/>
      </w:rPr>
      <w:t xml:space="preserve"> of </w:t>
    </w:r>
    <w:r w:rsidR="00630FB4">
      <w:rPr>
        <w:rFonts w:ascii="Arial" w:hAnsi="Arial"/>
        <w:sz w:val="18"/>
      </w:rPr>
      <w:fldChar w:fldCharType="begin"/>
    </w:r>
    <w:r w:rsidR="00630FB4">
      <w:rPr>
        <w:rFonts w:ascii="Arial" w:hAnsi="Arial"/>
        <w:sz w:val="18"/>
      </w:rPr>
      <w:instrText xml:space="preserve"> NUMPAGES </w:instrText>
    </w:r>
    <w:r w:rsidR="00630FB4">
      <w:rPr>
        <w:rFonts w:ascii="Arial" w:hAnsi="Arial"/>
        <w:sz w:val="18"/>
      </w:rPr>
      <w:fldChar w:fldCharType="separate"/>
    </w:r>
    <w:r w:rsidR="005E2907">
      <w:rPr>
        <w:rFonts w:ascii="Arial" w:hAnsi="Arial"/>
        <w:noProof/>
        <w:sz w:val="18"/>
      </w:rPr>
      <w:t>4</w:t>
    </w:r>
    <w:r w:rsidR="00630FB4">
      <w:rPr>
        <w:rFonts w:ascii="Arial" w:hAnsi="Arial"/>
        <w:sz w:val="18"/>
      </w:rPr>
      <w:fldChar w:fldCharType="end"/>
    </w:r>
  </w:p>
  <w:p w:rsidR="00402DE4" w:rsidRDefault="00402DE4" w:rsidP="009D76F8">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9C7" w:rsidRDefault="006039C7">
      <w:r>
        <w:separator/>
      </w:r>
    </w:p>
  </w:footnote>
  <w:footnote w:type="continuationSeparator" w:id="0">
    <w:p w:rsidR="006039C7" w:rsidRDefault="006039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B4" w:rsidRDefault="0072080C">
    <w:pPr>
      <w:pStyle w:val="Header"/>
      <w:jc w:val="center"/>
      <w:rPr>
        <w:sz w:val="32"/>
      </w:rPr>
    </w:pPr>
    <w:r>
      <w:rPr>
        <w:sz w:val="32"/>
      </w:rPr>
      <w:t xml:space="preserve">PRS </w:t>
    </w:r>
    <w:r w:rsidR="0065442E">
      <w:rPr>
        <w:sz w:val="32"/>
      </w:rPr>
      <w:t>Report</w:t>
    </w:r>
  </w:p>
  <w:p w:rsidR="00630FB4" w:rsidRDefault="00630FB4">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6D180E87"/>
    <w:multiLevelType w:val="multilevel"/>
    <w:tmpl w:val="52A4B9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7">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E14232A"/>
    <w:multiLevelType w:val="hybridMultilevel"/>
    <w:tmpl w:val="52A4B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2"/>
  </w:num>
  <w:num w:numId="15">
    <w:abstractNumId w:val="8"/>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B93CA0"/>
    <w:rsid w:val="00035AE3"/>
    <w:rsid w:val="000611B2"/>
    <w:rsid w:val="00095877"/>
    <w:rsid w:val="00097FDC"/>
    <w:rsid w:val="000A163A"/>
    <w:rsid w:val="000A1FB0"/>
    <w:rsid w:val="000A42ED"/>
    <w:rsid w:val="000A6B12"/>
    <w:rsid w:val="000C7E86"/>
    <w:rsid w:val="000E375F"/>
    <w:rsid w:val="0010604E"/>
    <w:rsid w:val="0012688F"/>
    <w:rsid w:val="00143E30"/>
    <w:rsid w:val="00144FC0"/>
    <w:rsid w:val="001527F2"/>
    <w:rsid w:val="00173E84"/>
    <w:rsid w:val="001C66A5"/>
    <w:rsid w:val="001F0371"/>
    <w:rsid w:val="001F1CD8"/>
    <w:rsid w:val="001F2231"/>
    <w:rsid w:val="0020093C"/>
    <w:rsid w:val="00204D5F"/>
    <w:rsid w:val="002247A8"/>
    <w:rsid w:val="00226E82"/>
    <w:rsid w:val="00252C15"/>
    <w:rsid w:val="00263CCE"/>
    <w:rsid w:val="002667E8"/>
    <w:rsid w:val="00270A64"/>
    <w:rsid w:val="002D3860"/>
    <w:rsid w:val="002F00AA"/>
    <w:rsid w:val="002F3A52"/>
    <w:rsid w:val="003246D7"/>
    <w:rsid w:val="0033250A"/>
    <w:rsid w:val="00351BE0"/>
    <w:rsid w:val="0035623B"/>
    <w:rsid w:val="00383223"/>
    <w:rsid w:val="0039321E"/>
    <w:rsid w:val="003A3D44"/>
    <w:rsid w:val="003A43F6"/>
    <w:rsid w:val="003D68B0"/>
    <w:rsid w:val="003E2966"/>
    <w:rsid w:val="003E5A57"/>
    <w:rsid w:val="003F652E"/>
    <w:rsid w:val="00402DE4"/>
    <w:rsid w:val="00405990"/>
    <w:rsid w:val="00416769"/>
    <w:rsid w:val="004216CC"/>
    <w:rsid w:val="00442E99"/>
    <w:rsid w:val="004A14B4"/>
    <w:rsid w:val="004E11EF"/>
    <w:rsid w:val="005543FA"/>
    <w:rsid w:val="00556514"/>
    <w:rsid w:val="00563596"/>
    <w:rsid w:val="005909C1"/>
    <w:rsid w:val="005A6C4F"/>
    <w:rsid w:val="005B734C"/>
    <w:rsid w:val="005E2907"/>
    <w:rsid w:val="006039C7"/>
    <w:rsid w:val="00604288"/>
    <w:rsid w:val="006215B1"/>
    <w:rsid w:val="00627B04"/>
    <w:rsid w:val="00630FB4"/>
    <w:rsid w:val="0065442E"/>
    <w:rsid w:val="00683DC9"/>
    <w:rsid w:val="00690269"/>
    <w:rsid w:val="006C3F70"/>
    <w:rsid w:val="006E7E09"/>
    <w:rsid w:val="006F29F9"/>
    <w:rsid w:val="006F64BC"/>
    <w:rsid w:val="0072080C"/>
    <w:rsid w:val="00730FA8"/>
    <w:rsid w:val="00744026"/>
    <w:rsid w:val="0074750F"/>
    <w:rsid w:val="007B1997"/>
    <w:rsid w:val="0080002F"/>
    <w:rsid w:val="00807265"/>
    <w:rsid w:val="00822372"/>
    <w:rsid w:val="00831D8E"/>
    <w:rsid w:val="00853004"/>
    <w:rsid w:val="0085677D"/>
    <w:rsid w:val="00886FAE"/>
    <w:rsid w:val="00895AB9"/>
    <w:rsid w:val="008C6885"/>
    <w:rsid w:val="008F2CFE"/>
    <w:rsid w:val="00903426"/>
    <w:rsid w:val="00910E30"/>
    <w:rsid w:val="00944960"/>
    <w:rsid w:val="0097026C"/>
    <w:rsid w:val="00976802"/>
    <w:rsid w:val="009B2A32"/>
    <w:rsid w:val="009D76F8"/>
    <w:rsid w:val="009D7C0C"/>
    <w:rsid w:val="00A1506D"/>
    <w:rsid w:val="00A16A9C"/>
    <w:rsid w:val="00A457CE"/>
    <w:rsid w:val="00A504C6"/>
    <w:rsid w:val="00A51D32"/>
    <w:rsid w:val="00A533FB"/>
    <w:rsid w:val="00A97F65"/>
    <w:rsid w:val="00AA38C1"/>
    <w:rsid w:val="00AD0AAE"/>
    <w:rsid w:val="00B23B44"/>
    <w:rsid w:val="00B34308"/>
    <w:rsid w:val="00B40895"/>
    <w:rsid w:val="00B852F4"/>
    <w:rsid w:val="00B85BD1"/>
    <w:rsid w:val="00B93CA0"/>
    <w:rsid w:val="00BC26C0"/>
    <w:rsid w:val="00BF7A8D"/>
    <w:rsid w:val="00C006F4"/>
    <w:rsid w:val="00C01DB5"/>
    <w:rsid w:val="00C21A19"/>
    <w:rsid w:val="00C35462"/>
    <w:rsid w:val="00C53DA3"/>
    <w:rsid w:val="00C63519"/>
    <w:rsid w:val="00C67B64"/>
    <w:rsid w:val="00C72DAD"/>
    <w:rsid w:val="00C75ABB"/>
    <w:rsid w:val="00C95FFC"/>
    <w:rsid w:val="00CC13B4"/>
    <w:rsid w:val="00CC1B11"/>
    <w:rsid w:val="00D0263C"/>
    <w:rsid w:val="00D051D0"/>
    <w:rsid w:val="00D6204F"/>
    <w:rsid w:val="00E0419C"/>
    <w:rsid w:val="00E20A63"/>
    <w:rsid w:val="00E64A9A"/>
    <w:rsid w:val="00E66305"/>
    <w:rsid w:val="00E87E8C"/>
    <w:rsid w:val="00E90F4F"/>
    <w:rsid w:val="00EA3848"/>
    <w:rsid w:val="00EB1993"/>
    <w:rsid w:val="00EB4653"/>
    <w:rsid w:val="00F16015"/>
    <w:rsid w:val="00F17837"/>
    <w:rsid w:val="00F353F6"/>
    <w:rsid w:val="00F405FC"/>
    <w:rsid w:val="00F43905"/>
    <w:rsid w:val="00F56AAF"/>
    <w:rsid w:val="00F573FE"/>
    <w:rsid w:val="00F60F29"/>
    <w:rsid w:val="00F67190"/>
    <w:rsid w:val="00F760E5"/>
    <w:rsid w:val="00F7630B"/>
    <w:rsid w:val="00FB3196"/>
    <w:rsid w:val="00FC6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0C7E86"/>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0C7E86"/>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0C7E86"/>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0C7E86"/>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C7E86"/>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C7E86"/>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C7E86"/>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C7E86"/>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C7E86"/>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rsid w:val="000C7E8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C7E86"/>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sid w:val="000C7E86"/>
    <w:rPr>
      <w:color w:val="0000FF"/>
      <w:u w:val="single"/>
    </w:rPr>
  </w:style>
  <w:style w:type="paragraph" w:styleId="BodyText">
    <w:name w:val="Body Text"/>
    <w:basedOn w:val="Normal"/>
    <w:rsid w:val="003246D7"/>
    <w:pPr>
      <w:spacing w:after="240"/>
    </w:pPr>
  </w:style>
  <w:style w:type="paragraph" w:styleId="BodyTextIndent">
    <w:name w:val="Body Text Indent"/>
    <w:basedOn w:val="Normal"/>
    <w:rsid w:val="000C7E86"/>
    <w:pPr>
      <w:spacing w:after="240"/>
      <w:ind w:left="720"/>
    </w:pPr>
    <w:rPr>
      <w:iCs/>
      <w:szCs w:val="20"/>
    </w:rPr>
  </w:style>
  <w:style w:type="paragraph" w:customStyle="1" w:styleId="Bullet">
    <w:name w:val="Bullet"/>
    <w:basedOn w:val="Normal"/>
    <w:rsid w:val="000C7E86"/>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rsid w:val="000C7E86"/>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0C7E86"/>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0C7E86"/>
    <w:rPr>
      <w:sz w:val="18"/>
      <w:szCs w:val="20"/>
    </w:rPr>
  </w:style>
  <w:style w:type="paragraph" w:customStyle="1" w:styleId="Formula">
    <w:name w:val="Formula"/>
    <w:basedOn w:val="Normal"/>
    <w:autoRedefine/>
    <w:rsid w:val="000C7E86"/>
    <w:pPr>
      <w:tabs>
        <w:tab w:val="left" w:pos="2340"/>
        <w:tab w:val="left" w:pos="3420"/>
      </w:tabs>
      <w:spacing w:after="240"/>
      <w:ind w:left="3420" w:hanging="2700"/>
    </w:pPr>
    <w:rPr>
      <w:bCs/>
    </w:rPr>
  </w:style>
  <w:style w:type="paragraph" w:customStyle="1" w:styleId="FormulaBold">
    <w:name w:val="Formula Bold"/>
    <w:basedOn w:val="Normal"/>
    <w:autoRedefine/>
    <w:rsid w:val="000C7E86"/>
    <w:pPr>
      <w:tabs>
        <w:tab w:val="left" w:pos="2340"/>
        <w:tab w:val="left" w:pos="3420"/>
      </w:tabs>
      <w:spacing w:after="240"/>
      <w:ind w:left="3420" w:hanging="2700"/>
    </w:pPr>
    <w:rPr>
      <w:b/>
      <w:bCs/>
    </w:rPr>
  </w:style>
  <w:style w:type="table" w:customStyle="1" w:styleId="FormulaVariableTable">
    <w:name w:val="Formula Variable Table"/>
    <w:basedOn w:val="TableNormal"/>
    <w:rsid w:val="000C7E8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0C7E86"/>
    <w:pPr>
      <w:numPr>
        <w:ilvl w:val="0"/>
        <w:numId w:val="0"/>
      </w:numPr>
      <w:tabs>
        <w:tab w:val="left" w:pos="900"/>
      </w:tabs>
      <w:ind w:left="900" w:hanging="900"/>
    </w:pPr>
  </w:style>
  <w:style w:type="paragraph" w:customStyle="1" w:styleId="H3">
    <w:name w:val="H3"/>
    <w:basedOn w:val="Heading3"/>
    <w:next w:val="BodyText"/>
    <w:link w:val="H3Char1"/>
    <w:rsid w:val="000C7E86"/>
    <w:pPr>
      <w:numPr>
        <w:ilvl w:val="0"/>
        <w:numId w:val="0"/>
      </w:numPr>
      <w:tabs>
        <w:tab w:val="clear" w:pos="1008"/>
        <w:tab w:val="left" w:pos="1080"/>
      </w:tabs>
      <w:ind w:left="1080" w:hanging="1080"/>
    </w:pPr>
  </w:style>
  <w:style w:type="paragraph" w:customStyle="1" w:styleId="H4">
    <w:name w:val="H4"/>
    <w:basedOn w:val="Heading4"/>
    <w:next w:val="BodyText"/>
    <w:rsid w:val="000C7E86"/>
    <w:pPr>
      <w:numPr>
        <w:ilvl w:val="0"/>
        <w:numId w:val="0"/>
      </w:numPr>
      <w:tabs>
        <w:tab w:val="clear" w:pos="1296"/>
        <w:tab w:val="left" w:pos="1260"/>
      </w:tabs>
      <w:ind w:left="1260" w:hanging="1260"/>
    </w:pPr>
  </w:style>
  <w:style w:type="paragraph" w:customStyle="1" w:styleId="H5">
    <w:name w:val="H5"/>
    <w:basedOn w:val="Heading5"/>
    <w:next w:val="BodyText"/>
    <w:rsid w:val="000C7E86"/>
    <w:pPr>
      <w:numPr>
        <w:ilvl w:val="0"/>
        <w:numId w:val="0"/>
      </w:numPr>
      <w:tabs>
        <w:tab w:val="clear" w:pos="1440"/>
        <w:tab w:val="left" w:pos="1620"/>
      </w:tabs>
      <w:ind w:left="1620" w:hanging="1620"/>
    </w:pPr>
  </w:style>
  <w:style w:type="paragraph" w:customStyle="1" w:styleId="H6">
    <w:name w:val="H6"/>
    <w:basedOn w:val="Heading6"/>
    <w:next w:val="BodyText"/>
    <w:rsid w:val="000C7E86"/>
    <w:pPr>
      <w:numPr>
        <w:ilvl w:val="0"/>
        <w:numId w:val="0"/>
      </w:numPr>
      <w:tabs>
        <w:tab w:val="clear" w:pos="1584"/>
        <w:tab w:val="left" w:pos="1800"/>
      </w:tabs>
      <w:ind w:left="1800" w:hanging="1800"/>
    </w:pPr>
  </w:style>
  <w:style w:type="paragraph" w:customStyle="1" w:styleId="H7">
    <w:name w:val="H7"/>
    <w:basedOn w:val="Heading7"/>
    <w:next w:val="BodyText"/>
    <w:rsid w:val="000C7E86"/>
    <w:pPr>
      <w:numPr>
        <w:ilvl w:val="0"/>
        <w:numId w:val="0"/>
      </w:numPr>
      <w:tabs>
        <w:tab w:val="clear" w:pos="1728"/>
        <w:tab w:val="left" w:pos="1980"/>
      </w:tabs>
      <w:ind w:left="1980" w:hanging="1980"/>
    </w:pPr>
    <w:rPr>
      <w:b/>
      <w:i/>
    </w:rPr>
  </w:style>
  <w:style w:type="paragraph" w:customStyle="1" w:styleId="H8">
    <w:name w:val="H8"/>
    <w:basedOn w:val="Heading8"/>
    <w:next w:val="BodyText"/>
    <w:rsid w:val="000C7E8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C7E86"/>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C7E86"/>
    <w:pPr>
      <w:keepNext/>
      <w:spacing w:before="240"/>
    </w:pPr>
    <w:rPr>
      <w:b/>
      <w:iCs/>
      <w:szCs w:val="20"/>
    </w:rPr>
  </w:style>
  <w:style w:type="paragraph" w:customStyle="1" w:styleId="Instructions">
    <w:name w:val="Instructions"/>
    <w:basedOn w:val="BodyText"/>
    <w:rsid w:val="000C7E86"/>
    <w:rPr>
      <w:b/>
      <w:i/>
      <w:iCs/>
    </w:rPr>
  </w:style>
  <w:style w:type="paragraph" w:styleId="List">
    <w:name w:val="List"/>
    <w:aliases w:val=" Char2 Char Char Char Char, Char2 Char"/>
    <w:basedOn w:val="Normal"/>
    <w:link w:val="ListChar"/>
    <w:rsid w:val="000C7E86"/>
    <w:pPr>
      <w:spacing w:after="240"/>
      <w:ind w:left="720" w:hanging="720"/>
    </w:pPr>
    <w:rPr>
      <w:szCs w:val="20"/>
      <w:lang/>
    </w:rPr>
  </w:style>
  <w:style w:type="paragraph" w:styleId="List2">
    <w:name w:val="List 2"/>
    <w:basedOn w:val="Normal"/>
    <w:rsid w:val="000C7E86"/>
    <w:pPr>
      <w:spacing w:after="240"/>
      <w:ind w:left="1440" w:hanging="720"/>
    </w:pPr>
    <w:rPr>
      <w:szCs w:val="20"/>
    </w:rPr>
  </w:style>
  <w:style w:type="paragraph" w:styleId="List3">
    <w:name w:val="List 3"/>
    <w:basedOn w:val="Normal"/>
    <w:rsid w:val="000C7E86"/>
    <w:pPr>
      <w:spacing w:after="240"/>
      <w:ind w:left="2160" w:hanging="720"/>
    </w:pPr>
    <w:rPr>
      <w:szCs w:val="20"/>
    </w:rPr>
  </w:style>
  <w:style w:type="paragraph" w:customStyle="1" w:styleId="ListIntroduction">
    <w:name w:val="List Introduction"/>
    <w:basedOn w:val="BodyText"/>
    <w:rsid w:val="000C7E86"/>
    <w:pPr>
      <w:keepNext/>
    </w:pPr>
    <w:rPr>
      <w:iCs/>
      <w:szCs w:val="20"/>
    </w:rPr>
  </w:style>
  <w:style w:type="paragraph" w:customStyle="1" w:styleId="ListSub">
    <w:name w:val="List Sub"/>
    <w:basedOn w:val="List"/>
    <w:rsid w:val="000C7E86"/>
    <w:pPr>
      <w:ind w:firstLine="0"/>
    </w:pPr>
  </w:style>
  <w:style w:type="character" w:styleId="PageNumber">
    <w:name w:val="page number"/>
    <w:basedOn w:val="DefaultParagraphFont"/>
    <w:rsid w:val="000C7E86"/>
  </w:style>
  <w:style w:type="paragraph" w:customStyle="1" w:styleId="Spaceafterbox">
    <w:name w:val="Space after box"/>
    <w:basedOn w:val="Normal"/>
    <w:rsid w:val="000C7E86"/>
    <w:rPr>
      <w:szCs w:val="20"/>
    </w:rPr>
  </w:style>
  <w:style w:type="paragraph" w:customStyle="1" w:styleId="TableBody">
    <w:name w:val="Table Body"/>
    <w:basedOn w:val="BodyText"/>
    <w:rsid w:val="000C7E86"/>
    <w:pPr>
      <w:spacing w:after="60"/>
    </w:pPr>
    <w:rPr>
      <w:iCs/>
      <w:sz w:val="20"/>
      <w:szCs w:val="20"/>
    </w:rPr>
  </w:style>
  <w:style w:type="paragraph" w:customStyle="1" w:styleId="TableBullet">
    <w:name w:val="Table Bullet"/>
    <w:basedOn w:val="TableBody"/>
    <w:rsid w:val="000C7E86"/>
    <w:pPr>
      <w:numPr>
        <w:numId w:val="14"/>
      </w:numPr>
      <w:ind w:left="0" w:firstLine="0"/>
    </w:pPr>
  </w:style>
  <w:style w:type="table" w:styleId="TableGrid">
    <w:name w:val="Table Grid"/>
    <w:basedOn w:val="TableNormal"/>
    <w:rsid w:val="000C7E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0C7E86"/>
    <w:rPr>
      <w:b/>
      <w:iCs/>
      <w:sz w:val="20"/>
      <w:szCs w:val="20"/>
    </w:rPr>
  </w:style>
  <w:style w:type="paragraph" w:styleId="TOC1">
    <w:name w:val="toc 1"/>
    <w:basedOn w:val="Normal"/>
    <w:next w:val="Normal"/>
    <w:autoRedefine/>
    <w:semiHidden/>
    <w:rsid w:val="000C7E86"/>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0C7E86"/>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0C7E86"/>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0C7E86"/>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0C7E86"/>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0C7E86"/>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0C7E86"/>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0C7E86"/>
    <w:pPr>
      <w:ind w:left="1680"/>
    </w:pPr>
    <w:rPr>
      <w:sz w:val="18"/>
      <w:szCs w:val="18"/>
    </w:rPr>
  </w:style>
  <w:style w:type="paragraph" w:styleId="TOC9">
    <w:name w:val="toc 9"/>
    <w:basedOn w:val="Normal"/>
    <w:next w:val="Normal"/>
    <w:autoRedefine/>
    <w:semiHidden/>
    <w:rsid w:val="000C7E86"/>
    <w:pPr>
      <w:ind w:left="1920"/>
    </w:pPr>
    <w:rPr>
      <w:sz w:val="18"/>
      <w:szCs w:val="18"/>
    </w:rPr>
  </w:style>
  <w:style w:type="paragraph" w:customStyle="1" w:styleId="VariableDefinition">
    <w:name w:val="Variable Definition"/>
    <w:basedOn w:val="BodyTextIndent"/>
    <w:rsid w:val="000C7E86"/>
    <w:pPr>
      <w:tabs>
        <w:tab w:val="left" w:pos="2160"/>
      </w:tabs>
      <w:ind w:left="2160" w:hanging="1440"/>
      <w:contextualSpacing/>
    </w:pPr>
  </w:style>
  <w:style w:type="table" w:customStyle="1" w:styleId="VariableTable">
    <w:name w:val="Variable Table"/>
    <w:basedOn w:val="TableNormal"/>
    <w:rsid w:val="000C7E86"/>
    <w:tblPr>
      <w:tblInd w:w="0" w:type="dxa"/>
      <w:tblCellMar>
        <w:top w:w="0" w:type="dxa"/>
        <w:left w:w="108" w:type="dxa"/>
        <w:bottom w:w="0" w:type="dxa"/>
        <w:right w:w="108" w:type="dxa"/>
      </w:tblCellMar>
    </w:tblPr>
  </w:style>
  <w:style w:type="paragraph" w:styleId="BalloonText">
    <w:name w:val="Balloon Text"/>
    <w:basedOn w:val="Normal"/>
    <w:semiHidden/>
    <w:rsid w:val="00C006F4"/>
    <w:rPr>
      <w:rFonts w:ascii="Tahoma" w:hAnsi="Tahoma" w:cs="Tahoma"/>
      <w:sz w:val="16"/>
      <w:szCs w:val="16"/>
    </w:rPr>
  </w:style>
  <w:style w:type="character" w:styleId="CommentReference">
    <w:name w:val="annotation reference"/>
    <w:basedOn w:val="DefaultParagraphFont"/>
    <w:semiHidden/>
    <w:rsid w:val="0010604E"/>
    <w:rPr>
      <w:sz w:val="16"/>
      <w:szCs w:val="16"/>
    </w:rPr>
  </w:style>
  <w:style w:type="paragraph" w:styleId="CommentText">
    <w:name w:val="annotation text"/>
    <w:basedOn w:val="Normal"/>
    <w:semiHidden/>
    <w:rsid w:val="0010604E"/>
    <w:rPr>
      <w:sz w:val="20"/>
      <w:szCs w:val="20"/>
    </w:rPr>
  </w:style>
  <w:style w:type="paragraph" w:styleId="CommentSubject">
    <w:name w:val="annotation subject"/>
    <w:basedOn w:val="CommentText"/>
    <w:next w:val="CommentText"/>
    <w:semiHidden/>
    <w:rsid w:val="0010604E"/>
    <w:rPr>
      <w:b/>
      <w:bCs/>
    </w:rPr>
  </w:style>
  <w:style w:type="character" w:customStyle="1" w:styleId="NormalArialChar">
    <w:name w:val="Normal+Arial Char"/>
    <w:basedOn w:val="DefaultParagraphFont"/>
    <w:link w:val="NormalArial"/>
    <w:rsid w:val="00B85BD1"/>
    <w:rPr>
      <w:rFonts w:ascii="Arial" w:hAnsi="Arial"/>
      <w:sz w:val="24"/>
      <w:szCs w:val="24"/>
      <w:lang w:val="en-US" w:eastAsia="en-US" w:bidi="ar-SA"/>
    </w:rPr>
  </w:style>
  <w:style w:type="character" w:customStyle="1" w:styleId="BodyTextNumberedChar1">
    <w:name w:val="Body Text Numbered Char1"/>
    <w:basedOn w:val="DefaultParagraphFont"/>
    <w:link w:val="BodyTextNumbered"/>
    <w:rsid w:val="00383223"/>
    <w:rPr>
      <w:iCs/>
      <w:sz w:val="24"/>
    </w:rPr>
  </w:style>
  <w:style w:type="paragraph" w:customStyle="1" w:styleId="BodyTextNumbered">
    <w:name w:val="Body Text Numbered"/>
    <w:basedOn w:val="BodyText"/>
    <w:link w:val="BodyTextNumberedChar1"/>
    <w:rsid w:val="00383223"/>
    <w:pPr>
      <w:ind w:left="720" w:hanging="720"/>
    </w:pPr>
    <w:rPr>
      <w:iCs/>
      <w:szCs w:val="20"/>
    </w:rPr>
  </w:style>
  <w:style w:type="character" w:customStyle="1" w:styleId="H3Char1">
    <w:name w:val="H3 Char1"/>
    <w:basedOn w:val="DefaultParagraphFont"/>
    <w:link w:val="H3"/>
    <w:rsid w:val="009D76F8"/>
    <w:rPr>
      <w:b/>
      <w:bCs/>
      <w:i/>
      <w:sz w:val="24"/>
    </w:rPr>
  </w:style>
  <w:style w:type="character" w:customStyle="1" w:styleId="H3Char">
    <w:name w:val="H3 Char"/>
    <w:locked/>
    <w:rsid w:val="00604288"/>
    <w:rPr>
      <w:b/>
      <w:bCs/>
      <w:i/>
      <w:sz w:val="24"/>
    </w:rPr>
  </w:style>
  <w:style w:type="character" w:customStyle="1" w:styleId="ListChar">
    <w:name w:val="List Char"/>
    <w:link w:val="List"/>
    <w:rsid w:val="00604288"/>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levine@ercot.com" TargetMode="External"/><Relationship Id="rId3" Type="http://schemas.openxmlformats.org/officeDocument/2006/relationships/settings" Target="settings.xml"/><Relationship Id="rId7" Type="http://schemas.openxmlformats.org/officeDocument/2006/relationships/hyperlink" Target="mailto:igonzalez@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1256</Words>
  <Characters>7165</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8405</CharactersWithSpaces>
  <SharedDoc>false</SharedDoc>
  <HLinks>
    <vt:vector size="12" baseType="variant">
      <vt:variant>
        <vt:i4>1900578</vt:i4>
      </vt:variant>
      <vt:variant>
        <vt:i4>3</vt:i4>
      </vt:variant>
      <vt:variant>
        <vt:i4>0</vt:i4>
      </vt:variant>
      <vt:variant>
        <vt:i4>5</vt:i4>
      </vt:variant>
      <vt:variant>
        <vt:lpwstr>mailto:jlevine@ercot.com</vt:lpwstr>
      </vt:variant>
      <vt:variant>
        <vt:lpwstr/>
      </vt:variant>
      <vt:variant>
        <vt:i4>7602267</vt:i4>
      </vt:variant>
      <vt:variant>
        <vt:i4>0</vt:i4>
      </vt:variant>
      <vt:variant>
        <vt:i4>0</vt:i4>
      </vt:variant>
      <vt:variant>
        <vt:i4>5</vt:i4>
      </vt:variant>
      <vt:variant>
        <vt:lpwstr>mailto:igonzalez@ercot.com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2004-09-29T14:26:00Z</cp:lastPrinted>
  <dcterms:created xsi:type="dcterms:W3CDTF">2011-04-29T19:22:00Z</dcterms:created>
  <dcterms:modified xsi:type="dcterms:W3CDTF">2011-04-29T19:22:00Z</dcterms:modified>
</cp:coreProperties>
</file>