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word/comments.xml" ContentType="application/vnd.openxmlformats-officedocument.wordprocessingml.comment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260"/>
        <w:gridCol w:w="900"/>
        <w:gridCol w:w="1980"/>
        <w:gridCol w:w="4680"/>
      </w:tblGrid>
      <w:tr w:rsidR="00004403" w:rsidTr="00C062E5">
        <w:tblPrEx>
          <w:tblCellMar>
            <w:top w:w="0" w:type="dxa"/>
            <w:bottom w:w="0" w:type="dxa"/>
          </w:tblCellMar>
        </w:tblPrEx>
        <w:trPr>
          <w:trHeight w:val="512"/>
        </w:trPr>
        <w:tc>
          <w:tcPr>
            <w:tcW w:w="1620" w:type="dxa"/>
            <w:tcBorders>
              <w:bottom w:val="single" w:sz="4" w:space="0" w:color="auto"/>
            </w:tcBorders>
            <w:shd w:val="clear" w:color="auto" w:fill="FFFFFF"/>
            <w:vAlign w:val="center"/>
          </w:tcPr>
          <w:p w:rsidR="00004403" w:rsidRDefault="00004403" w:rsidP="00C062E5">
            <w:pPr>
              <w:pStyle w:val="Header"/>
            </w:pPr>
            <w:r>
              <w:t>NPRR Number</w:t>
            </w:r>
          </w:p>
        </w:tc>
        <w:tc>
          <w:tcPr>
            <w:tcW w:w="1260" w:type="dxa"/>
            <w:tcBorders>
              <w:bottom w:val="single" w:sz="4" w:space="0" w:color="auto"/>
            </w:tcBorders>
            <w:vAlign w:val="center"/>
          </w:tcPr>
          <w:p w:rsidR="00004403" w:rsidRDefault="00101E91" w:rsidP="00C062E5">
            <w:pPr>
              <w:pStyle w:val="Header"/>
            </w:pPr>
            <w:r>
              <w:t>347</w:t>
            </w:r>
          </w:p>
        </w:tc>
        <w:tc>
          <w:tcPr>
            <w:tcW w:w="900" w:type="dxa"/>
            <w:tcBorders>
              <w:bottom w:val="single" w:sz="4" w:space="0" w:color="auto"/>
            </w:tcBorders>
            <w:shd w:val="clear" w:color="auto" w:fill="FFFFFF"/>
            <w:vAlign w:val="center"/>
          </w:tcPr>
          <w:p w:rsidR="00004403" w:rsidRDefault="00004403" w:rsidP="00C062E5">
            <w:pPr>
              <w:pStyle w:val="Header"/>
            </w:pPr>
            <w:r>
              <w:t>NPRR Title</w:t>
            </w:r>
          </w:p>
        </w:tc>
        <w:tc>
          <w:tcPr>
            <w:tcW w:w="6660" w:type="dxa"/>
            <w:gridSpan w:val="2"/>
            <w:tcBorders>
              <w:bottom w:val="single" w:sz="4" w:space="0" w:color="auto"/>
            </w:tcBorders>
            <w:vAlign w:val="center"/>
          </w:tcPr>
          <w:p w:rsidR="00004403" w:rsidRDefault="00101E91" w:rsidP="00B314E3">
            <w:pPr>
              <w:pStyle w:val="Header"/>
            </w:pPr>
            <w:r>
              <w:t xml:space="preserve">Single Daily Settlement Invoice </w:t>
            </w:r>
            <w:r w:rsidR="00C5793B">
              <w:t>(f</w:t>
            </w:r>
            <w:r>
              <w:t xml:space="preserve">ormerly </w:t>
            </w:r>
            <w:r w:rsidR="00C5793B">
              <w:t>“</w:t>
            </w:r>
            <w:r>
              <w:t>Counter-Party Invoice and Single Daily Settlement Invoice</w:t>
            </w:r>
            <w:r w:rsidR="00C5793B">
              <w:t>”)</w:t>
            </w:r>
            <w:r>
              <w:t xml:space="preserve"> </w:t>
            </w:r>
          </w:p>
        </w:tc>
      </w:tr>
      <w:tr w:rsidR="00004403" w:rsidTr="00C062E5">
        <w:tblPrEx>
          <w:tblCellMar>
            <w:top w:w="0" w:type="dxa"/>
            <w:bottom w:w="0" w:type="dxa"/>
          </w:tblCellMar>
        </w:tblPrEx>
        <w:trPr>
          <w:cantSplit/>
          <w:trHeight w:val="512"/>
        </w:trPr>
        <w:tc>
          <w:tcPr>
            <w:tcW w:w="1620" w:type="dxa"/>
            <w:tcBorders>
              <w:bottom w:val="single" w:sz="4" w:space="0" w:color="auto"/>
            </w:tcBorders>
            <w:shd w:val="clear" w:color="auto" w:fill="FFFFFF"/>
            <w:vAlign w:val="center"/>
          </w:tcPr>
          <w:p w:rsidR="00004403" w:rsidRPr="00F573FE" w:rsidRDefault="00004403" w:rsidP="00C062E5">
            <w:pPr>
              <w:pStyle w:val="Header"/>
            </w:pPr>
            <w:r>
              <w:t>Timeline</w:t>
            </w:r>
          </w:p>
        </w:tc>
        <w:tc>
          <w:tcPr>
            <w:tcW w:w="1260" w:type="dxa"/>
            <w:tcBorders>
              <w:bottom w:val="single" w:sz="4" w:space="0" w:color="auto"/>
            </w:tcBorders>
            <w:vAlign w:val="center"/>
          </w:tcPr>
          <w:p w:rsidR="00004403" w:rsidRDefault="00004403" w:rsidP="00C062E5">
            <w:pPr>
              <w:pStyle w:val="Header"/>
              <w:rPr>
                <w:b w:val="0"/>
                <w:bCs w:val="0"/>
              </w:rPr>
            </w:pPr>
            <w:smartTag w:uri="urn:schemas-microsoft-com:office:smarttags" w:element="City">
              <w:smartTag w:uri="urn:schemas-microsoft-com:office:smarttags" w:element="place">
                <w:r>
                  <w:rPr>
                    <w:b w:val="0"/>
                    <w:bCs w:val="0"/>
                  </w:rPr>
                  <w:t>Normal</w:t>
                </w:r>
              </w:smartTag>
            </w:smartTag>
          </w:p>
        </w:tc>
        <w:tc>
          <w:tcPr>
            <w:tcW w:w="2880" w:type="dxa"/>
            <w:gridSpan w:val="2"/>
            <w:tcBorders>
              <w:bottom w:val="single" w:sz="4" w:space="0" w:color="auto"/>
            </w:tcBorders>
            <w:shd w:val="clear" w:color="auto" w:fill="FFFFFF"/>
            <w:vAlign w:val="center"/>
          </w:tcPr>
          <w:p w:rsidR="00004403" w:rsidRDefault="00004403" w:rsidP="00C062E5">
            <w:pPr>
              <w:pStyle w:val="Header"/>
            </w:pPr>
            <w:r>
              <w:t>Action</w:t>
            </w:r>
          </w:p>
        </w:tc>
        <w:tc>
          <w:tcPr>
            <w:tcW w:w="4680" w:type="dxa"/>
            <w:tcBorders>
              <w:bottom w:val="single" w:sz="4" w:space="0" w:color="auto"/>
            </w:tcBorders>
            <w:shd w:val="clear" w:color="auto" w:fill="FFFFFF"/>
            <w:vAlign w:val="center"/>
          </w:tcPr>
          <w:p w:rsidR="00004403" w:rsidRPr="00BD786A" w:rsidRDefault="00004403" w:rsidP="00C062E5">
            <w:pPr>
              <w:pStyle w:val="Header"/>
              <w:rPr>
                <w:b w:val="0"/>
              </w:rPr>
            </w:pPr>
            <w:r>
              <w:rPr>
                <w:b w:val="0"/>
              </w:rPr>
              <w:t>Recommended Approval</w:t>
            </w:r>
          </w:p>
        </w:tc>
      </w:tr>
      <w:tr w:rsidR="00004403" w:rsidTr="00C062E5">
        <w:tblPrEx>
          <w:tblCellMar>
            <w:top w:w="0" w:type="dxa"/>
            <w:bottom w:w="0" w:type="dxa"/>
          </w:tblCellMar>
        </w:tblPrEx>
        <w:trPr>
          <w:trHeight w:val="467"/>
        </w:trPr>
        <w:tc>
          <w:tcPr>
            <w:tcW w:w="2880" w:type="dxa"/>
            <w:gridSpan w:val="2"/>
            <w:tcBorders>
              <w:top w:val="single" w:sz="4" w:space="0" w:color="auto"/>
              <w:bottom w:val="single" w:sz="4" w:space="0" w:color="auto"/>
            </w:tcBorders>
            <w:shd w:val="clear" w:color="auto" w:fill="FFFFFF"/>
            <w:vAlign w:val="center"/>
          </w:tcPr>
          <w:p w:rsidR="00004403" w:rsidRDefault="00004403" w:rsidP="00C062E5">
            <w:pPr>
              <w:pStyle w:val="Header"/>
            </w:pPr>
            <w:r>
              <w:t>Date of Decision</w:t>
            </w:r>
          </w:p>
        </w:tc>
        <w:tc>
          <w:tcPr>
            <w:tcW w:w="7560" w:type="dxa"/>
            <w:gridSpan w:val="3"/>
            <w:tcBorders>
              <w:top w:val="single" w:sz="4" w:space="0" w:color="auto"/>
            </w:tcBorders>
            <w:vAlign w:val="center"/>
          </w:tcPr>
          <w:p w:rsidR="00004403" w:rsidRDefault="00604582" w:rsidP="00C062E5">
            <w:pPr>
              <w:pStyle w:val="NormalArial"/>
            </w:pPr>
            <w:r>
              <w:t>April 21</w:t>
            </w:r>
            <w:r w:rsidR="00FE2889">
              <w:t>, 2011</w:t>
            </w:r>
          </w:p>
        </w:tc>
      </w:tr>
      <w:tr w:rsidR="00004403" w:rsidTr="00C062E5">
        <w:tblPrEx>
          <w:tblCellMar>
            <w:top w:w="0" w:type="dxa"/>
            <w:bottom w:w="0" w:type="dxa"/>
          </w:tblCellMar>
        </w:tblPrEx>
        <w:trPr>
          <w:trHeight w:val="647"/>
        </w:trPr>
        <w:tc>
          <w:tcPr>
            <w:tcW w:w="2880" w:type="dxa"/>
            <w:gridSpan w:val="2"/>
            <w:tcBorders>
              <w:bottom w:val="single" w:sz="4" w:space="0" w:color="auto"/>
            </w:tcBorders>
            <w:shd w:val="clear" w:color="auto" w:fill="FFFFFF"/>
            <w:vAlign w:val="center"/>
          </w:tcPr>
          <w:p w:rsidR="00004403" w:rsidRDefault="00004403" w:rsidP="00C062E5">
            <w:pPr>
              <w:pStyle w:val="Header"/>
            </w:pPr>
            <w:r>
              <w:t>Proposed Effective Date</w:t>
            </w:r>
          </w:p>
        </w:tc>
        <w:tc>
          <w:tcPr>
            <w:tcW w:w="7560" w:type="dxa"/>
            <w:gridSpan w:val="3"/>
            <w:vAlign w:val="center"/>
          </w:tcPr>
          <w:p w:rsidR="00B314E3" w:rsidRDefault="00101E91" w:rsidP="00C062E5">
            <w:pPr>
              <w:pStyle w:val="NormalArial"/>
            </w:pPr>
            <w:r>
              <w:t xml:space="preserve">To be determined. </w:t>
            </w:r>
          </w:p>
        </w:tc>
      </w:tr>
      <w:tr w:rsidR="00004403" w:rsidTr="00C062E5">
        <w:tblPrEx>
          <w:tblCellMar>
            <w:top w:w="0" w:type="dxa"/>
            <w:bottom w:w="0" w:type="dxa"/>
          </w:tblCellMar>
        </w:tblPrEx>
        <w:trPr>
          <w:trHeight w:val="710"/>
        </w:trPr>
        <w:tc>
          <w:tcPr>
            <w:tcW w:w="2880" w:type="dxa"/>
            <w:gridSpan w:val="2"/>
            <w:tcBorders>
              <w:bottom w:val="single" w:sz="4" w:space="0" w:color="auto"/>
            </w:tcBorders>
            <w:shd w:val="clear" w:color="auto" w:fill="FFFFFF"/>
            <w:vAlign w:val="center"/>
          </w:tcPr>
          <w:p w:rsidR="00004403" w:rsidRDefault="00004403" w:rsidP="00C062E5">
            <w:pPr>
              <w:pStyle w:val="Header"/>
            </w:pPr>
            <w:r>
              <w:t>Priority and Rank Assigned</w:t>
            </w:r>
          </w:p>
        </w:tc>
        <w:tc>
          <w:tcPr>
            <w:tcW w:w="7560" w:type="dxa"/>
            <w:gridSpan w:val="3"/>
            <w:vAlign w:val="center"/>
          </w:tcPr>
          <w:p w:rsidR="00004403" w:rsidRDefault="00101E91" w:rsidP="00101E91">
            <w:pPr>
              <w:pStyle w:val="NormalArial"/>
            </w:pPr>
            <w:r>
              <w:t xml:space="preserve">To be determined. </w:t>
            </w:r>
          </w:p>
        </w:tc>
      </w:tr>
      <w:tr w:rsidR="00B314E3" w:rsidTr="00C062E5">
        <w:tblPrEx>
          <w:tblCellMar>
            <w:top w:w="0" w:type="dxa"/>
            <w:bottom w:w="0" w:type="dxa"/>
          </w:tblCellMar>
        </w:tblPrEx>
        <w:trPr>
          <w:trHeight w:val="710"/>
        </w:trPr>
        <w:tc>
          <w:tcPr>
            <w:tcW w:w="2880" w:type="dxa"/>
            <w:gridSpan w:val="2"/>
            <w:tcBorders>
              <w:top w:val="single" w:sz="4" w:space="0" w:color="auto"/>
              <w:bottom w:val="single" w:sz="4" w:space="0" w:color="auto"/>
            </w:tcBorders>
            <w:shd w:val="clear" w:color="auto" w:fill="FFFFFF"/>
            <w:vAlign w:val="center"/>
          </w:tcPr>
          <w:p w:rsidR="00B314E3" w:rsidRDefault="00B314E3" w:rsidP="005F0857">
            <w:pPr>
              <w:pStyle w:val="Header"/>
            </w:pPr>
            <w:r>
              <w:t>Nodal Protocol Section</w:t>
            </w:r>
            <w:r w:rsidR="00942955">
              <w:t>s</w:t>
            </w:r>
            <w:r>
              <w:t xml:space="preserve"> Requiring Revision</w:t>
            </w:r>
          </w:p>
        </w:tc>
        <w:tc>
          <w:tcPr>
            <w:tcW w:w="7560" w:type="dxa"/>
            <w:gridSpan w:val="3"/>
            <w:tcBorders>
              <w:top w:val="single" w:sz="4" w:space="0" w:color="auto"/>
            </w:tcBorders>
            <w:vAlign w:val="center"/>
          </w:tcPr>
          <w:p w:rsidR="00101E91" w:rsidRDefault="00101E91" w:rsidP="00101E91">
            <w:pPr>
              <w:rPr>
                <w:rFonts w:ascii="Arial" w:hAnsi="Arial" w:cs="Arial"/>
              </w:rPr>
            </w:pPr>
            <w:r>
              <w:rPr>
                <w:rFonts w:ascii="Arial" w:hAnsi="Arial" w:cs="Arial"/>
              </w:rPr>
              <w:t>2.1, Definitions</w:t>
            </w:r>
          </w:p>
          <w:p w:rsidR="00101E91" w:rsidRDefault="00101E91" w:rsidP="00101E91">
            <w:pPr>
              <w:rPr>
                <w:rFonts w:ascii="Arial" w:hAnsi="Arial" w:cs="Arial"/>
              </w:rPr>
            </w:pPr>
            <w:r>
              <w:rPr>
                <w:rFonts w:ascii="Arial" w:hAnsi="Arial" w:cs="Arial"/>
              </w:rPr>
              <w:t>9.1.2, Settlement Calendar</w:t>
            </w:r>
          </w:p>
          <w:p w:rsidR="00101E91" w:rsidRPr="00C5012A" w:rsidRDefault="00101E91" w:rsidP="00101E91">
            <w:pPr>
              <w:rPr>
                <w:rFonts w:ascii="Arial" w:hAnsi="Arial" w:cs="Arial"/>
              </w:rPr>
            </w:pPr>
            <w:r>
              <w:rPr>
                <w:rFonts w:ascii="Arial" w:hAnsi="Arial" w:cs="Arial"/>
              </w:rPr>
              <w:t>9.3, Settlement Invoices for the DAM (delete)</w:t>
            </w:r>
          </w:p>
          <w:p w:rsidR="00101E91" w:rsidRDefault="00101E91" w:rsidP="00101E91">
            <w:pPr>
              <w:rPr>
                <w:rFonts w:ascii="Arial" w:hAnsi="Arial" w:cs="Arial"/>
              </w:rPr>
            </w:pPr>
            <w:r>
              <w:rPr>
                <w:rFonts w:ascii="Arial" w:hAnsi="Arial" w:cs="Arial"/>
              </w:rPr>
              <w:t>9.4, Payment Process for the DAM (delete)</w:t>
            </w:r>
          </w:p>
          <w:p w:rsidR="00101E91" w:rsidRDefault="00101E91" w:rsidP="00101E91">
            <w:pPr>
              <w:rPr>
                <w:rFonts w:ascii="Arial" w:hAnsi="Arial" w:cs="Arial"/>
              </w:rPr>
            </w:pPr>
            <w:r>
              <w:rPr>
                <w:rFonts w:ascii="Arial" w:hAnsi="Arial" w:cs="Arial"/>
              </w:rPr>
              <w:t>9.4.1, Invoice Recipient Payment to ERCOT for the DAM (delete)</w:t>
            </w:r>
          </w:p>
          <w:p w:rsidR="00101E91" w:rsidRDefault="00101E91" w:rsidP="00101E91">
            <w:pPr>
              <w:rPr>
                <w:rFonts w:ascii="Arial" w:hAnsi="Arial" w:cs="Arial"/>
              </w:rPr>
            </w:pPr>
            <w:r>
              <w:rPr>
                <w:rFonts w:ascii="Arial" w:hAnsi="Arial" w:cs="Arial"/>
              </w:rPr>
              <w:t>9.4.2, ERCOT Payment to Invoice Recipients for the DAM (delete)</w:t>
            </w:r>
          </w:p>
          <w:p w:rsidR="00101E91" w:rsidRDefault="00101E91" w:rsidP="00101E91">
            <w:pPr>
              <w:rPr>
                <w:rFonts w:ascii="Arial" w:hAnsi="Arial" w:cs="Arial"/>
              </w:rPr>
            </w:pPr>
            <w:r>
              <w:rPr>
                <w:rFonts w:ascii="Arial" w:hAnsi="Arial" w:cs="Arial"/>
              </w:rPr>
              <w:t>9.4.4, Enforcing the Security of a Short-Paying Invoice Recipient (delete)</w:t>
            </w:r>
          </w:p>
          <w:p w:rsidR="00101E91" w:rsidRDefault="00101E91" w:rsidP="00101E91">
            <w:pPr>
              <w:rPr>
                <w:rFonts w:ascii="Arial" w:hAnsi="Arial" w:cs="Arial"/>
              </w:rPr>
            </w:pPr>
            <w:r>
              <w:rPr>
                <w:rFonts w:ascii="Arial" w:hAnsi="Arial" w:cs="Arial"/>
              </w:rPr>
              <w:t>9.4.5, Late Fees and Late Fee Invoices for the DAM (delete)</w:t>
            </w:r>
          </w:p>
          <w:p w:rsidR="00101E91" w:rsidRDefault="00101E91" w:rsidP="00101E91">
            <w:pPr>
              <w:rPr>
                <w:rFonts w:ascii="Arial" w:hAnsi="Arial" w:cs="Arial"/>
              </w:rPr>
            </w:pPr>
            <w:r>
              <w:rPr>
                <w:rFonts w:ascii="Arial" w:hAnsi="Arial" w:cs="Arial"/>
              </w:rPr>
              <w:t>9.5.6, RTM Resettlement Statement</w:t>
            </w:r>
          </w:p>
          <w:p w:rsidR="00101E91" w:rsidRDefault="00101E91" w:rsidP="00101E91">
            <w:pPr>
              <w:rPr>
                <w:rFonts w:ascii="Arial" w:hAnsi="Arial" w:cs="Arial"/>
              </w:rPr>
            </w:pPr>
            <w:r>
              <w:rPr>
                <w:rFonts w:ascii="Arial" w:hAnsi="Arial" w:cs="Arial"/>
              </w:rPr>
              <w:t>9.6, Settlement Invoices for the Real-Time Market</w:t>
            </w:r>
          </w:p>
          <w:p w:rsidR="00101E91" w:rsidRDefault="00101E91" w:rsidP="00101E91">
            <w:pPr>
              <w:rPr>
                <w:rFonts w:ascii="Arial" w:hAnsi="Arial" w:cs="Arial"/>
              </w:rPr>
            </w:pPr>
            <w:r>
              <w:rPr>
                <w:rFonts w:ascii="Arial" w:hAnsi="Arial" w:cs="Arial"/>
              </w:rPr>
              <w:t>9.7, Payment Process for the RTM</w:t>
            </w:r>
          </w:p>
          <w:p w:rsidR="00101E91" w:rsidRDefault="00101E91" w:rsidP="00101E91">
            <w:pPr>
              <w:rPr>
                <w:rFonts w:ascii="Arial" w:hAnsi="Arial" w:cs="Arial"/>
              </w:rPr>
            </w:pPr>
            <w:r>
              <w:rPr>
                <w:rFonts w:ascii="Arial" w:hAnsi="Arial" w:cs="Arial"/>
              </w:rPr>
              <w:t>9.7.1, Invoice Recipient Payment to ERCOT for the RTM</w:t>
            </w:r>
          </w:p>
          <w:p w:rsidR="00101E91" w:rsidRDefault="00101E91" w:rsidP="00101E91">
            <w:pPr>
              <w:rPr>
                <w:rFonts w:ascii="Arial" w:hAnsi="Arial" w:cs="Arial"/>
              </w:rPr>
            </w:pPr>
            <w:r>
              <w:rPr>
                <w:rFonts w:ascii="Arial" w:hAnsi="Arial" w:cs="Arial"/>
              </w:rPr>
              <w:t>9.7.2, ERCOT Payment to Invoice Recipients for the Real-Time Market</w:t>
            </w:r>
          </w:p>
          <w:p w:rsidR="00101E91" w:rsidRDefault="00101E91" w:rsidP="00101E91">
            <w:pPr>
              <w:rPr>
                <w:rFonts w:ascii="Arial" w:hAnsi="Arial" w:cs="Arial"/>
              </w:rPr>
            </w:pPr>
            <w:r>
              <w:rPr>
                <w:rFonts w:ascii="Arial" w:hAnsi="Arial" w:cs="Arial"/>
              </w:rPr>
              <w:t>9.7.4, Late Fees and Late Fee Invoices for the RTM</w:t>
            </w:r>
          </w:p>
          <w:p w:rsidR="00101E91" w:rsidRDefault="00101E91" w:rsidP="00101E91">
            <w:pPr>
              <w:rPr>
                <w:rFonts w:ascii="Arial" w:hAnsi="Arial" w:cs="Arial"/>
              </w:rPr>
            </w:pPr>
            <w:r>
              <w:rPr>
                <w:rFonts w:ascii="Arial" w:hAnsi="Arial" w:cs="Arial"/>
              </w:rPr>
              <w:t>9.8, CRR Auction Award Invoices</w:t>
            </w:r>
          </w:p>
          <w:p w:rsidR="00101E91" w:rsidRDefault="00101E91" w:rsidP="00101E91">
            <w:pPr>
              <w:rPr>
                <w:rFonts w:ascii="Arial" w:hAnsi="Arial" w:cs="Arial"/>
              </w:rPr>
            </w:pPr>
            <w:r>
              <w:rPr>
                <w:rFonts w:ascii="Arial" w:hAnsi="Arial" w:cs="Arial"/>
              </w:rPr>
              <w:t>9.10, CRR Auction Revenue Distribution Invoices</w:t>
            </w:r>
          </w:p>
          <w:p w:rsidR="00101E91" w:rsidRDefault="00101E91" w:rsidP="00101E91">
            <w:pPr>
              <w:rPr>
                <w:rFonts w:ascii="Arial" w:hAnsi="Arial" w:cs="Arial"/>
              </w:rPr>
            </w:pPr>
            <w:r>
              <w:rPr>
                <w:rFonts w:ascii="Arial" w:hAnsi="Arial" w:cs="Arial"/>
              </w:rPr>
              <w:t>9.12, CRR Balancing Account Invoices</w:t>
            </w:r>
          </w:p>
          <w:p w:rsidR="00101E91" w:rsidRDefault="00101E91" w:rsidP="00101E91">
            <w:pPr>
              <w:rPr>
                <w:rFonts w:ascii="Arial" w:hAnsi="Arial" w:cs="Arial"/>
              </w:rPr>
            </w:pPr>
            <w:r>
              <w:rPr>
                <w:rFonts w:ascii="Arial" w:hAnsi="Arial" w:cs="Arial"/>
              </w:rPr>
              <w:t>9.13, Payment Process for the CRR Balancing Account</w:t>
            </w:r>
          </w:p>
          <w:p w:rsidR="00101E91" w:rsidRDefault="00101E91" w:rsidP="00101E91">
            <w:pPr>
              <w:rPr>
                <w:rFonts w:ascii="Arial" w:hAnsi="Arial" w:cs="Arial"/>
              </w:rPr>
            </w:pPr>
            <w:r>
              <w:rPr>
                <w:rFonts w:ascii="Arial" w:hAnsi="Arial" w:cs="Arial"/>
              </w:rPr>
              <w:t>9.14.2, Notice of Dispute</w:t>
            </w:r>
          </w:p>
          <w:p w:rsidR="00101E91" w:rsidRDefault="00101E91" w:rsidP="00101E91">
            <w:pPr>
              <w:rPr>
                <w:rFonts w:ascii="Arial" w:hAnsi="Arial" w:cs="Arial"/>
              </w:rPr>
            </w:pPr>
            <w:r>
              <w:rPr>
                <w:rFonts w:ascii="Arial" w:hAnsi="Arial" w:cs="Arial"/>
              </w:rPr>
              <w:t>9.19, Partial Payments by Invoice Recipients</w:t>
            </w:r>
          </w:p>
          <w:p w:rsidR="00101E91" w:rsidRDefault="00101E91" w:rsidP="00101E91">
            <w:pPr>
              <w:rPr>
                <w:rFonts w:ascii="Arial" w:hAnsi="Arial" w:cs="Arial"/>
              </w:rPr>
            </w:pPr>
            <w:r>
              <w:rPr>
                <w:rFonts w:ascii="Arial" w:hAnsi="Arial" w:cs="Arial"/>
              </w:rPr>
              <w:t>9.19.1, Default Uplift Invoices</w:t>
            </w:r>
          </w:p>
          <w:p w:rsidR="00101E91" w:rsidRDefault="00101E91" w:rsidP="00101E91">
            <w:pPr>
              <w:rPr>
                <w:rFonts w:ascii="Arial" w:hAnsi="Arial" w:cs="Arial"/>
              </w:rPr>
            </w:pPr>
            <w:r>
              <w:rPr>
                <w:rFonts w:ascii="Arial" w:hAnsi="Arial" w:cs="Arial"/>
              </w:rPr>
              <w:t>9.19.2.2, ERCOT Payment to Invoice Recipients for Default Uplift</w:t>
            </w:r>
          </w:p>
          <w:p w:rsidR="00101E91" w:rsidRDefault="00101E91" w:rsidP="00101E91">
            <w:pPr>
              <w:rPr>
                <w:rFonts w:ascii="Arial" w:hAnsi="Arial" w:cs="Arial"/>
              </w:rPr>
            </w:pPr>
            <w:r>
              <w:rPr>
                <w:rFonts w:ascii="Arial" w:hAnsi="Arial" w:cs="Arial"/>
              </w:rPr>
              <w:t xml:space="preserve">16.11.4.1, </w:t>
            </w:r>
            <w:r w:rsidRPr="00686337">
              <w:rPr>
                <w:rFonts w:ascii="Arial" w:hAnsi="Arial" w:cs="Arial"/>
              </w:rPr>
              <w:t>Determination of Total Potential Exposure for a Counter-Party</w:t>
            </w:r>
          </w:p>
          <w:p w:rsidR="00101E91" w:rsidRPr="00686337" w:rsidRDefault="00101E91" w:rsidP="00101E91">
            <w:pPr>
              <w:rPr>
                <w:rFonts w:ascii="Arial" w:hAnsi="Arial" w:cs="Arial"/>
              </w:rPr>
            </w:pPr>
            <w:r>
              <w:rPr>
                <w:rFonts w:ascii="Arial" w:hAnsi="Arial" w:cs="Arial"/>
              </w:rPr>
              <w:t xml:space="preserve">16.11.4.3, </w:t>
            </w:r>
            <w:r w:rsidRPr="00686337">
              <w:rPr>
                <w:rFonts w:ascii="Arial" w:hAnsi="Arial" w:cs="Arial"/>
              </w:rPr>
              <w:t>Determination of Counter-Party Estimated Aggregate Liability</w:t>
            </w:r>
          </w:p>
          <w:p w:rsidR="00101E91" w:rsidRDefault="00101E91" w:rsidP="00101E91">
            <w:pPr>
              <w:rPr>
                <w:rFonts w:ascii="Arial" w:hAnsi="Arial" w:cs="Arial"/>
              </w:rPr>
            </w:pPr>
            <w:r w:rsidRPr="00686337">
              <w:rPr>
                <w:rFonts w:ascii="Arial" w:hAnsi="Arial" w:cs="Arial"/>
              </w:rPr>
              <w:t>16.11.4.4</w:t>
            </w:r>
            <w:r>
              <w:rPr>
                <w:rFonts w:ascii="Arial" w:hAnsi="Arial" w:cs="Arial"/>
              </w:rPr>
              <w:t xml:space="preserve">, </w:t>
            </w:r>
            <w:r w:rsidRPr="00686337">
              <w:rPr>
                <w:rFonts w:ascii="Arial" w:hAnsi="Arial" w:cs="Arial"/>
              </w:rPr>
              <w:t>Determination of Counter-Party Aggregate Incremental Liability</w:t>
            </w:r>
          </w:p>
          <w:p w:rsidR="00B314E3" w:rsidRDefault="00101E91" w:rsidP="00101E91">
            <w:pPr>
              <w:pStyle w:val="NormalArial"/>
            </w:pPr>
            <w:r w:rsidRPr="00686337">
              <w:rPr>
                <w:rFonts w:cs="Arial"/>
              </w:rPr>
              <w:t>16.11.4.7</w:t>
            </w:r>
            <w:r>
              <w:rPr>
                <w:rFonts w:cs="Arial"/>
              </w:rPr>
              <w:t xml:space="preserve">, </w:t>
            </w:r>
            <w:r w:rsidRPr="00686337">
              <w:rPr>
                <w:rFonts w:cs="Arial"/>
              </w:rPr>
              <w:t>Credit Monitoring and Management Reports</w:t>
            </w:r>
          </w:p>
        </w:tc>
      </w:tr>
      <w:tr w:rsidR="00470790" w:rsidTr="00C062E5">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470790" w:rsidRDefault="00470790" w:rsidP="00C062E5">
            <w:pPr>
              <w:pStyle w:val="Header"/>
            </w:pPr>
            <w:r>
              <w:t>Revision Description</w:t>
            </w:r>
          </w:p>
        </w:tc>
        <w:tc>
          <w:tcPr>
            <w:tcW w:w="7560" w:type="dxa"/>
            <w:gridSpan w:val="3"/>
            <w:tcBorders>
              <w:bottom w:val="single" w:sz="4" w:space="0" w:color="auto"/>
            </w:tcBorders>
            <w:vAlign w:val="center"/>
          </w:tcPr>
          <w:p w:rsidR="00470790" w:rsidRDefault="00470790" w:rsidP="002560C8">
            <w:pPr>
              <w:pStyle w:val="NormalArial"/>
            </w:pPr>
            <w:r w:rsidRPr="003A0483">
              <w:t xml:space="preserve">This </w:t>
            </w:r>
            <w:r>
              <w:t>Nodal Protocol Revision Request (</w:t>
            </w:r>
            <w:r w:rsidRPr="003A0483">
              <w:t>NPRR</w:t>
            </w:r>
            <w:r>
              <w:t>)</w:t>
            </w:r>
            <w:r w:rsidRPr="003A0483">
              <w:t xml:space="preserve"> combines the </w:t>
            </w:r>
            <w:r>
              <w:t>Day-Ahead Market (</w:t>
            </w:r>
            <w:r w:rsidRPr="003A0483">
              <w:t>DAM</w:t>
            </w:r>
            <w:r>
              <w:t>)</w:t>
            </w:r>
            <w:r w:rsidRPr="003A0483">
              <w:t xml:space="preserve"> and the </w:t>
            </w:r>
            <w:r>
              <w:t>Real-Time Market</w:t>
            </w:r>
            <w:r w:rsidRPr="003A0483">
              <w:t xml:space="preserve"> </w:t>
            </w:r>
            <w:r>
              <w:t>(</w:t>
            </w:r>
            <w:r w:rsidRPr="003A0483">
              <w:t>RTM</w:t>
            </w:r>
            <w:r>
              <w:t>)</w:t>
            </w:r>
            <w:r w:rsidRPr="003A0483">
              <w:t xml:space="preserve"> Invoices into a single daily Settlement Invoice for these activities</w:t>
            </w:r>
            <w:r>
              <w:t xml:space="preserve"> for each Qualified Scheduling Entity (QSE) and Congest Revenue Right</w:t>
            </w:r>
            <w:r w:rsidR="00C5793B">
              <w:t xml:space="preserve"> (CRR)</w:t>
            </w:r>
            <w:r>
              <w:t xml:space="preserve"> Account Holder</w:t>
            </w:r>
            <w:r w:rsidRPr="003A0483">
              <w:t xml:space="preserve">.  The Settlement Invoice posting on a </w:t>
            </w:r>
            <w:r w:rsidRPr="003A0483">
              <w:lastRenderedPageBreak/>
              <w:t xml:space="preserve">Business Day includes Operating Days for which a DAM Statement or RTM Statement is posting on the same Business Day.  The Settlement Invoice due date is three Bank Business Days after the Settlement </w:t>
            </w:r>
            <w:r>
              <w:t>I</w:t>
            </w:r>
            <w:r w:rsidRPr="003A0483">
              <w:t xml:space="preserve">nvoice posts.  </w:t>
            </w:r>
          </w:p>
          <w:p w:rsidR="00470790" w:rsidRPr="003A0483" w:rsidRDefault="00470790" w:rsidP="002560C8">
            <w:pPr>
              <w:pStyle w:val="NormalArial"/>
            </w:pPr>
          </w:p>
          <w:p w:rsidR="00470790" w:rsidRPr="00903627" w:rsidRDefault="00470790" w:rsidP="002560C8">
            <w:pPr>
              <w:pStyle w:val="NormalArial"/>
              <w:rPr>
                <w:rFonts w:cs="Arial"/>
              </w:rPr>
            </w:pPr>
            <w:r w:rsidRPr="003A0483">
              <w:t xml:space="preserve">To align with the concept of a single daily Settlement Invoice, this </w:t>
            </w:r>
            <w:r>
              <w:t>NPRR</w:t>
            </w:r>
            <w:r w:rsidRPr="003A0483">
              <w:t xml:space="preserve"> also requires</w:t>
            </w:r>
            <w:r>
              <w:t>:</w:t>
            </w:r>
            <w:r w:rsidRPr="003A0483">
              <w:t xml:space="preserve"> </w:t>
            </w:r>
            <w:r>
              <w:t xml:space="preserve">(a) </w:t>
            </w:r>
            <w:r w:rsidRPr="003A0483">
              <w:t>adaptation of the language for partial payments and late fees</w:t>
            </w:r>
            <w:r>
              <w:t xml:space="preserve">; (b) </w:t>
            </w:r>
            <w:r w:rsidRPr="003A0483">
              <w:t xml:space="preserve">adaptation of the language for the </w:t>
            </w:r>
            <w:r>
              <w:t>D</w:t>
            </w:r>
            <w:r w:rsidRPr="003A0483">
              <w:t xml:space="preserve">efault </w:t>
            </w:r>
            <w:r>
              <w:t>U</w:t>
            </w:r>
            <w:r w:rsidRPr="003A0483">
              <w:t>plift Invoice</w:t>
            </w:r>
            <w:r>
              <w:t xml:space="preserve">; (c) </w:t>
            </w:r>
            <w:r w:rsidRPr="003A0483">
              <w:t>changes to related credit formulas</w:t>
            </w:r>
            <w:r>
              <w:t xml:space="preserve">; and (d) </w:t>
            </w:r>
            <w:r w:rsidRPr="003A0483">
              <w:t xml:space="preserve">automation of the minimum collateral calculation given an </w:t>
            </w:r>
            <w:r w:rsidRPr="00903627">
              <w:rPr>
                <w:rFonts w:cs="Arial"/>
              </w:rPr>
              <w:t xml:space="preserve">increase in the frequency of the calculation. </w:t>
            </w:r>
          </w:p>
          <w:p w:rsidR="00470790" w:rsidRPr="00903627" w:rsidRDefault="00470790" w:rsidP="002560C8">
            <w:pPr>
              <w:pStyle w:val="NormalArial"/>
              <w:rPr>
                <w:rFonts w:cs="Arial"/>
              </w:rPr>
            </w:pPr>
          </w:p>
          <w:p w:rsidR="00470790" w:rsidRPr="00903627" w:rsidRDefault="00470790" w:rsidP="002560C8">
            <w:pPr>
              <w:shd w:val="clear" w:color="auto" w:fill="FFFFFF"/>
              <w:rPr>
                <w:rFonts w:ascii="Arial" w:hAnsi="Arial" w:cs="Arial"/>
              </w:rPr>
            </w:pPr>
            <w:r w:rsidRPr="00903627">
              <w:rPr>
                <w:rFonts w:ascii="Arial" w:hAnsi="Arial" w:cs="Arial"/>
              </w:rPr>
              <w:t>Also, since with this change, Real-Time Settlement Statements will generally be invoiced between three to ten days sooner, this NPRR also proposes reducing the average daily transaction extrapolated</w:t>
            </w:r>
          </w:p>
          <w:p w:rsidR="00470790" w:rsidRPr="003A0483" w:rsidRDefault="00470790" w:rsidP="002560C8">
            <w:pPr>
              <w:pStyle w:val="NormalArial"/>
            </w:pPr>
            <w:r w:rsidRPr="00903627">
              <w:rPr>
                <w:rFonts w:cs="Arial"/>
              </w:rPr>
              <w:t xml:space="preserve">multiplier from 40 days to 35 days based on the median reduction in exposure of approximately five days. </w:t>
            </w:r>
          </w:p>
        </w:tc>
      </w:tr>
      <w:tr w:rsidR="00470790" w:rsidTr="00C062E5">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470790" w:rsidRDefault="00470790" w:rsidP="00C062E5">
            <w:pPr>
              <w:pStyle w:val="Header"/>
            </w:pPr>
            <w:r>
              <w:lastRenderedPageBreak/>
              <w:t>Reason for Revision</w:t>
            </w:r>
          </w:p>
        </w:tc>
        <w:tc>
          <w:tcPr>
            <w:tcW w:w="7560" w:type="dxa"/>
            <w:gridSpan w:val="3"/>
            <w:tcBorders>
              <w:bottom w:val="single" w:sz="4" w:space="0" w:color="auto"/>
            </w:tcBorders>
            <w:vAlign w:val="center"/>
          </w:tcPr>
          <w:p w:rsidR="00470790" w:rsidRPr="003A0483" w:rsidRDefault="00470790" w:rsidP="002560C8">
            <w:pPr>
              <w:pStyle w:val="NormalArial"/>
            </w:pPr>
            <w:r w:rsidRPr="003A0483">
              <w:t>This NPRR reduces the timeframe for cash clearing for an Operating Day and correspondingly reduces required collateral</w:t>
            </w:r>
            <w:r>
              <w:t>.  Entities that</w:t>
            </w:r>
            <w:r w:rsidRPr="003A0483">
              <w:t xml:space="preserve"> participate in only one market may see no reduction</w:t>
            </w:r>
            <w:r>
              <w:t>, or may see</w:t>
            </w:r>
            <w:r w:rsidRPr="003A0483">
              <w:t xml:space="preserve"> an increase in transaction volume.</w:t>
            </w:r>
          </w:p>
        </w:tc>
      </w:tr>
      <w:tr w:rsidR="00470790" w:rsidTr="00C062E5">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470790" w:rsidRDefault="00470790" w:rsidP="00C062E5">
            <w:pPr>
              <w:pStyle w:val="Header"/>
            </w:pPr>
            <w:r>
              <w:t>Overall Market Benefit</w:t>
            </w:r>
          </w:p>
        </w:tc>
        <w:tc>
          <w:tcPr>
            <w:tcW w:w="7560" w:type="dxa"/>
            <w:gridSpan w:val="3"/>
            <w:tcBorders>
              <w:bottom w:val="single" w:sz="4" w:space="0" w:color="auto"/>
            </w:tcBorders>
            <w:vAlign w:val="center"/>
          </w:tcPr>
          <w:p w:rsidR="00470790" w:rsidRPr="003A0483" w:rsidRDefault="00470790" w:rsidP="002560C8">
            <w:pPr>
              <w:pStyle w:val="NormalArial"/>
            </w:pPr>
            <w:r w:rsidRPr="003A0483">
              <w:t>This NPRR provides the following efficiencies:</w:t>
            </w:r>
          </w:p>
          <w:p w:rsidR="00470790" w:rsidRPr="003A0483" w:rsidRDefault="00470790" w:rsidP="002560C8">
            <w:pPr>
              <w:pStyle w:val="NormalArial"/>
              <w:numPr>
                <w:ilvl w:val="0"/>
                <w:numId w:val="19"/>
              </w:numPr>
            </w:pPr>
            <w:r w:rsidRPr="003A0483">
              <w:t>Approximately 35% reduction in RTM cash clearing time</w:t>
            </w:r>
            <w:r>
              <w:t>.</w:t>
            </w:r>
          </w:p>
          <w:p w:rsidR="00470790" w:rsidRPr="003A0483" w:rsidRDefault="00470790" w:rsidP="002560C8">
            <w:pPr>
              <w:pStyle w:val="NormalArial"/>
              <w:numPr>
                <w:ilvl w:val="0"/>
                <w:numId w:val="19"/>
              </w:numPr>
            </w:pPr>
            <w:r w:rsidRPr="003A0483">
              <w:t>Approximatel</w:t>
            </w:r>
            <w:r>
              <w:t>y 50 % reduction in volume of I</w:t>
            </w:r>
            <w:r w:rsidRPr="003A0483">
              <w:t xml:space="preserve">nvoices per month market-wide (while </w:t>
            </w:r>
            <w:r>
              <w:t>some Market Participants</w:t>
            </w:r>
            <w:r w:rsidRPr="003A0483">
              <w:t xml:space="preserve">  will see reduced volume, some may see increased volume)</w:t>
            </w:r>
          </w:p>
          <w:p w:rsidR="00470790" w:rsidRPr="003A0483" w:rsidRDefault="00470790" w:rsidP="002560C8">
            <w:pPr>
              <w:pStyle w:val="NormalArial"/>
              <w:numPr>
                <w:ilvl w:val="0"/>
                <w:numId w:val="19"/>
              </w:numPr>
            </w:pPr>
            <w:r w:rsidRPr="003A0483">
              <w:t xml:space="preserve">Reduction in working capital needed for </w:t>
            </w:r>
            <w:r>
              <w:t>S</w:t>
            </w:r>
            <w:r w:rsidRPr="003A0483">
              <w:t xml:space="preserve">ettlements due to netting of activity on </w:t>
            </w:r>
            <w:r>
              <w:t>I</w:t>
            </w:r>
            <w:r w:rsidRPr="003A0483">
              <w:t>nvoices</w:t>
            </w:r>
            <w:r>
              <w:t xml:space="preserve">. </w:t>
            </w:r>
          </w:p>
          <w:p w:rsidR="00470790" w:rsidRPr="003A0483" w:rsidRDefault="00470790" w:rsidP="002560C8">
            <w:pPr>
              <w:pStyle w:val="NormalArial"/>
              <w:numPr>
                <w:ilvl w:val="0"/>
                <w:numId w:val="19"/>
              </w:numPr>
            </w:pPr>
            <w:r>
              <w:t>Possible r</w:t>
            </w:r>
            <w:r w:rsidRPr="003A0483">
              <w:t xml:space="preserve">eduction in wire costs for both ERCOT and </w:t>
            </w:r>
            <w:r>
              <w:t>M</w:t>
            </w:r>
            <w:r w:rsidRPr="003A0483">
              <w:t xml:space="preserve">arket </w:t>
            </w:r>
            <w:r>
              <w:t>P</w:t>
            </w:r>
            <w:r w:rsidRPr="003A0483">
              <w:t xml:space="preserve">articipants due to fewer </w:t>
            </w:r>
            <w:r>
              <w:t>I</w:t>
            </w:r>
            <w:r w:rsidRPr="003A0483">
              <w:t>nvoices</w:t>
            </w:r>
            <w:r>
              <w:t>.</w:t>
            </w:r>
            <w:r w:rsidRPr="003A0483">
              <w:t xml:space="preserve"> </w:t>
            </w:r>
          </w:p>
          <w:p w:rsidR="00470790" w:rsidRPr="003A0483" w:rsidRDefault="00470790" w:rsidP="002560C8">
            <w:pPr>
              <w:pStyle w:val="NormalArial"/>
              <w:numPr>
                <w:ilvl w:val="0"/>
                <w:numId w:val="19"/>
              </w:numPr>
            </w:pPr>
            <w:r w:rsidRPr="003A0483">
              <w:t xml:space="preserve">Reduction in credit exposure for historical activity from more </w:t>
            </w:r>
            <w:r>
              <w:t>t</w:t>
            </w:r>
            <w:r w:rsidRPr="003A0483">
              <w:t>imely clearing which translates to a reduction in collateral requirements</w:t>
            </w:r>
            <w:r>
              <w:t xml:space="preserve">. </w:t>
            </w:r>
          </w:p>
        </w:tc>
      </w:tr>
      <w:tr w:rsidR="00470790" w:rsidTr="00C062E5">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470790" w:rsidRDefault="00470790" w:rsidP="00C062E5">
            <w:pPr>
              <w:pStyle w:val="Header"/>
            </w:pPr>
            <w:r>
              <w:t>Overall Market Impact</w:t>
            </w:r>
          </w:p>
        </w:tc>
        <w:tc>
          <w:tcPr>
            <w:tcW w:w="7560" w:type="dxa"/>
            <w:gridSpan w:val="3"/>
            <w:tcBorders>
              <w:bottom w:val="single" w:sz="4" w:space="0" w:color="auto"/>
            </w:tcBorders>
            <w:vAlign w:val="center"/>
          </w:tcPr>
          <w:p w:rsidR="00470790" w:rsidRDefault="00470790" w:rsidP="002560C8">
            <w:pPr>
              <w:pStyle w:val="NormalArial"/>
            </w:pPr>
            <w:r>
              <w:t xml:space="preserve">QSEs, </w:t>
            </w:r>
            <w:r w:rsidRPr="003A0483">
              <w:t>CRR</w:t>
            </w:r>
            <w:r>
              <w:t xml:space="preserve"> </w:t>
            </w:r>
            <w:r w:rsidR="00C5793B">
              <w:t>Account Holder</w:t>
            </w:r>
            <w:r w:rsidR="00C5793B" w:rsidRPr="003A0483">
              <w:t>s</w:t>
            </w:r>
            <w:r>
              <w:t xml:space="preserve">, and/or Counter-Parties may have to modify their internal business processes for processing Invoices and calculating credit exposure.  </w:t>
            </w:r>
          </w:p>
          <w:p w:rsidR="00470790" w:rsidRDefault="00470790" w:rsidP="002560C8">
            <w:pPr>
              <w:pStyle w:val="NormalArial"/>
            </w:pPr>
          </w:p>
          <w:p w:rsidR="00470790" w:rsidRDefault="00470790" w:rsidP="002560C8">
            <w:pPr>
              <w:pStyle w:val="NormalArial"/>
            </w:pPr>
            <w:r>
              <w:t xml:space="preserve">Additionally, Market Participants may need to modify systems to consume modified Invoices and to shadow revisions in credit calculations. </w:t>
            </w:r>
          </w:p>
        </w:tc>
      </w:tr>
      <w:tr w:rsidR="00470790" w:rsidTr="00C062E5">
        <w:tblPrEx>
          <w:tblCellMar>
            <w:top w:w="0" w:type="dxa"/>
            <w:bottom w:w="0" w:type="dxa"/>
          </w:tblCellMar>
        </w:tblPrEx>
        <w:trPr>
          <w:trHeight w:val="512"/>
        </w:trPr>
        <w:tc>
          <w:tcPr>
            <w:tcW w:w="2880" w:type="dxa"/>
            <w:gridSpan w:val="2"/>
            <w:shd w:val="clear" w:color="auto" w:fill="FFFFFF"/>
            <w:vAlign w:val="center"/>
          </w:tcPr>
          <w:p w:rsidR="00470790" w:rsidRDefault="00470790" w:rsidP="00C062E5">
            <w:pPr>
              <w:pStyle w:val="Header"/>
            </w:pPr>
            <w:r>
              <w:t>Consumer Impact</w:t>
            </w:r>
          </w:p>
        </w:tc>
        <w:tc>
          <w:tcPr>
            <w:tcW w:w="7560" w:type="dxa"/>
            <w:gridSpan w:val="3"/>
            <w:vAlign w:val="center"/>
          </w:tcPr>
          <w:p w:rsidR="00470790" w:rsidRDefault="00470790" w:rsidP="002560C8">
            <w:pPr>
              <w:pStyle w:val="NormalArial"/>
            </w:pPr>
            <w:r>
              <w:t>Unknown.</w:t>
            </w:r>
          </w:p>
        </w:tc>
      </w:tr>
      <w:tr w:rsidR="00470790" w:rsidTr="00C062E5">
        <w:tblPrEx>
          <w:tblCellMar>
            <w:top w:w="0" w:type="dxa"/>
            <w:bottom w:w="0" w:type="dxa"/>
          </w:tblCellMar>
        </w:tblPrEx>
        <w:trPr>
          <w:trHeight w:val="1160"/>
        </w:trPr>
        <w:tc>
          <w:tcPr>
            <w:tcW w:w="2880" w:type="dxa"/>
            <w:gridSpan w:val="2"/>
            <w:shd w:val="clear" w:color="auto" w:fill="FFFFFF"/>
            <w:vAlign w:val="center"/>
          </w:tcPr>
          <w:p w:rsidR="00470790" w:rsidRDefault="00470790" w:rsidP="00C062E5">
            <w:pPr>
              <w:pStyle w:val="Header"/>
            </w:pPr>
            <w:r>
              <w:t>Credit Impacts</w:t>
            </w:r>
          </w:p>
        </w:tc>
        <w:tc>
          <w:tcPr>
            <w:tcW w:w="7560" w:type="dxa"/>
            <w:gridSpan w:val="3"/>
            <w:vAlign w:val="center"/>
          </w:tcPr>
          <w:p w:rsidR="00470790" w:rsidRDefault="00C5793B" w:rsidP="002560C8">
            <w:pPr>
              <w:pStyle w:val="NormalArial"/>
            </w:pPr>
            <w:r>
              <w:t>To be determined.</w:t>
            </w:r>
            <w:r w:rsidR="00470790">
              <w:t xml:space="preserve"> </w:t>
            </w:r>
          </w:p>
        </w:tc>
      </w:tr>
      <w:tr w:rsidR="00470790" w:rsidTr="00C062E5">
        <w:tblPrEx>
          <w:tblCellMar>
            <w:top w:w="0" w:type="dxa"/>
            <w:bottom w:w="0" w:type="dxa"/>
          </w:tblCellMar>
        </w:tblPrEx>
        <w:trPr>
          <w:trHeight w:val="458"/>
        </w:trPr>
        <w:tc>
          <w:tcPr>
            <w:tcW w:w="2880" w:type="dxa"/>
            <w:gridSpan w:val="2"/>
            <w:shd w:val="clear" w:color="auto" w:fill="FFFFFF"/>
            <w:vAlign w:val="center"/>
          </w:tcPr>
          <w:p w:rsidR="00470790" w:rsidRDefault="00470790" w:rsidP="00C062E5">
            <w:pPr>
              <w:pStyle w:val="Header"/>
            </w:pPr>
            <w:r>
              <w:lastRenderedPageBreak/>
              <w:t>Procedural History</w:t>
            </w:r>
          </w:p>
        </w:tc>
        <w:tc>
          <w:tcPr>
            <w:tcW w:w="7560" w:type="dxa"/>
            <w:gridSpan w:val="3"/>
            <w:vAlign w:val="center"/>
          </w:tcPr>
          <w:p w:rsidR="00470790" w:rsidRDefault="00470790" w:rsidP="00B314E3">
            <w:pPr>
              <w:pStyle w:val="NormalArial"/>
              <w:numPr>
                <w:ilvl w:val="0"/>
                <w:numId w:val="18"/>
              </w:numPr>
              <w:tabs>
                <w:tab w:val="clear" w:pos="720"/>
                <w:tab w:val="num" w:pos="432"/>
              </w:tabs>
              <w:ind w:left="432"/>
            </w:pPr>
            <w:r>
              <w:t>On 4/</w:t>
            </w:r>
            <w:r w:rsidR="00C5793B">
              <w:t>6</w:t>
            </w:r>
            <w:r>
              <w:t>/11, NPRR347 and the associated preliminary Impact Analysis were posted.</w:t>
            </w:r>
          </w:p>
          <w:p w:rsidR="00CD7C41" w:rsidRDefault="00CD7C41" w:rsidP="00B314E3">
            <w:pPr>
              <w:pStyle w:val="NormalArial"/>
              <w:numPr>
                <w:ilvl w:val="0"/>
                <w:numId w:val="18"/>
              </w:numPr>
              <w:tabs>
                <w:tab w:val="clear" w:pos="720"/>
                <w:tab w:val="num" w:pos="432"/>
              </w:tabs>
              <w:ind w:left="432"/>
            </w:pPr>
            <w:r>
              <w:t>On 4</w:t>
            </w:r>
            <w:r w:rsidR="00C5793B">
              <w:t>/18/11, the Settlements and Extracts Working Group (SEWG) comments were posted.</w:t>
            </w:r>
          </w:p>
          <w:p w:rsidR="00470790" w:rsidRDefault="00470790" w:rsidP="00101E91">
            <w:pPr>
              <w:pStyle w:val="NormalArial"/>
              <w:numPr>
                <w:ilvl w:val="0"/>
                <w:numId w:val="18"/>
              </w:numPr>
              <w:tabs>
                <w:tab w:val="clear" w:pos="720"/>
                <w:tab w:val="num" w:pos="432"/>
              </w:tabs>
              <w:ind w:left="432"/>
            </w:pPr>
            <w:r>
              <w:t>On 4/21/11, PRS considered NPRR347.</w:t>
            </w:r>
          </w:p>
        </w:tc>
      </w:tr>
      <w:tr w:rsidR="00470790" w:rsidTr="00C062E5">
        <w:tblPrEx>
          <w:tblCellMar>
            <w:top w:w="0" w:type="dxa"/>
            <w:bottom w:w="0" w:type="dxa"/>
          </w:tblCellMar>
        </w:tblPrEx>
        <w:trPr>
          <w:trHeight w:val="503"/>
        </w:trPr>
        <w:tc>
          <w:tcPr>
            <w:tcW w:w="2880" w:type="dxa"/>
            <w:gridSpan w:val="2"/>
            <w:shd w:val="clear" w:color="auto" w:fill="FFFFFF"/>
            <w:vAlign w:val="center"/>
          </w:tcPr>
          <w:p w:rsidR="00470790" w:rsidRDefault="00470790" w:rsidP="00C062E5">
            <w:pPr>
              <w:pStyle w:val="Header"/>
            </w:pPr>
            <w:smartTag w:uri="urn:schemas-microsoft-com:office:smarttags" w:element="PersonName">
              <w:smartTag w:uri="urn:schemas-microsoft-com:office:smarttags" w:element="place">
                <w:r>
                  <w:t>PRS</w:t>
                </w:r>
              </w:smartTag>
            </w:smartTag>
            <w:r>
              <w:t xml:space="preserve"> Decision </w:t>
            </w:r>
          </w:p>
        </w:tc>
        <w:tc>
          <w:tcPr>
            <w:tcW w:w="7560" w:type="dxa"/>
            <w:gridSpan w:val="3"/>
            <w:vAlign w:val="center"/>
          </w:tcPr>
          <w:p w:rsidR="00470790" w:rsidRDefault="00470790" w:rsidP="00604582">
            <w:pPr>
              <w:pStyle w:val="NormalArial"/>
            </w:pPr>
            <w:r>
              <w:t xml:space="preserve">On 4/21/11, </w:t>
            </w:r>
            <w:smartTag w:uri="urn:schemas-microsoft-com:office:smarttags" w:element="PersonName">
              <w:r>
                <w:t>PRS</w:t>
              </w:r>
            </w:smartTag>
            <w:r>
              <w:t xml:space="preserve"> unanimously voted to recommend approval of NPRR347 as amended by </w:t>
            </w:r>
            <w:r w:rsidR="00C5793B">
              <w:t xml:space="preserve">the 4/18/11 </w:t>
            </w:r>
            <w:r>
              <w:t>SEWG comments and as revised by PRS.  All Market Segments were present for the vote.</w:t>
            </w:r>
          </w:p>
        </w:tc>
      </w:tr>
      <w:tr w:rsidR="00470790" w:rsidTr="00C062E5">
        <w:tblPrEx>
          <w:tblCellMar>
            <w:top w:w="0" w:type="dxa"/>
            <w:bottom w:w="0" w:type="dxa"/>
          </w:tblCellMar>
        </w:tblPrEx>
        <w:trPr>
          <w:trHeight w:val="557"/>
        </w:trPr>
        <w:tc>
          <w:tcPr>
            <w:tcW w:w="2880" w:type="dxa"/>
            <w:gridSpan w:val="2"/>
            <w:shd w:val="clear" w:color="auto" w:fill="FFFFFF"/>
            <w:vAlign w:val="center"/>
          </w:tcPr>
          <w:p w:rsidR="00470790" w:rsidRDefault="00470790" w:rsidP="00C062E5">
            <w:pPr>
              <w:pStyle w:val="Header"/>
            </w:pPr>
            <w:r>
              <w:t xml:space="preserve">Summary of </w:t>
            </w:r>
            <w:smartTag w:uri="urn:schemas-microsoft-com:office:smarttags" w:element="PersonName">
              <w:smartTag w:uri="urn:schemas-microsoft-com:office:smarttags" w:element="place">
                <w:r>
                  <w:t>PRS</w:t>
                </w:r>
              </w:smartTag>
            </w:smartTag>
            <w:r>
              <w:t xml:space="preserve"> Discussion</w:t>
            </w:r>
          </w:p>
        </w:tc>
        <w:tc>
          <w:tcPr>
            <w:tcW w:w="7560" w:type="dxa"/>
            <w:gridSpan w:val="3"/>
            <w:vAlign w:val="center"/>
          </w:tcPr>
          <w:p w:rsidR="00470790" w:rsidRPr="00604582" w:rsidRDefault="00470790" w:rsidP="00026616">
            <w:pPr>
              <w:tabs>
                <w:tab w:val="left" w:pos="2160"/>
              </w:tabs>
              <w:rPr>
                <w:rFonts w:ascii="Arial" w:hAnsi="Arial" w:cs="Arial"/>
              </w:rPr>
            </w:pPr>
            <w:r w:rsidRPr="00604582">
              <w:rPr>
                <w:rFonts w:ascii="Arial" w:hAnsi="Arial" w:cs="Arial"/>
              </w:rPr>
              <w:t xml:space="preserve">On 4/21/11, </w:t>
            </w:r>
            <w:r w:rsidR="00C5793B">
              <w:rPr>
                <w:rFonts w:ascii="Arial" w:hAnsi="Arial" w:cs="Arial"/>
              </w:rPr>
              <w:t xml:space="preserve">it was </w:t>
            </w:r>
            <w:r w:rsidR="00CD7C41">
              <w:rPr>
                <w:rFonts w:ascii="Arial" w:hAnsi="Arial" w:cs="Arial"/>
              </w:rPr>
              <w:t xml:space="preserve">explained that the concerns </w:t>
            </w:r>
            <w:r w:rsidR="00026616">
              <w:rPr>
                <w:rFonts w:ascii="Arial" w:hAnsi="Arial" w:cs="Arial"/>
              </w:rPr>
              <w:t xml:space="preserve">of </w:t>
            </w:r>
            <w:r w:rsidR="00CD7C41">
              <w:rPr>
                <w:rFonts w:ascii="Arial" w:hAnsi="Arial" w:cs="Arial"/>
              </w:rPr>
              <w:t>confidentially</w:t>
            </w:r>
            <w:r w:rsidR="00C5793B">
              <w:rPr>
                <w:rFonts w:ascii="Arial" w:hAnsi="Arial" w:cs="Arial"/>
              </w:rPr>
              <w:t xml:space="preserve"> </w:t>
            </w:r>
            <w:r w:rsidR="00026616">
              <w:rPr>
                <w:rFonts w:ascii="Arial" w:hAnsi="Arial" w:cs="Arial"/>
              </w:rPr>
              <w:t>related to Counter-Party invoicing</w:t>
            </w:r>
            <w:r w:rsidR="00CD7C41">
              <w:rPr>
                <w:rFonts w:ascii="Arial" w:hAnsi="Arial" w:cs="Arial"/>
              </w:rPr>
              <w:t xml:space="preserve"> were addressed </w:t>
            </w:r>
            <w:r w:rsidR="00C5793B">
              <w:rPr>
                <w:rFonts w:ascii="Arial" w:hAnsi="Arial" w:cs="Arial"/>
              </w:rPr>
              <w:t xml:space="preserve">in the 4/18/11 </w:t>
            </w:r>
            <w:r w:rsidR="00CD7C41">
              <w:rPr>
                <w:rFonts w:ascii="Arial" w:hAnsi="Arial" w:cs="Arial"/>
              </w:rPr>
              <w:t>SEWG comments.</w:t>
            </w:r>
            <w:r w:rsidR="00026616">
              <w:rPr>
                <w:rFonts w:ascii="Arial" w:hAnsi="Arial" w:cs="Arial"/>
              </w:rPr>
              <w:t xml:space="preserve">  It was clarified that the option to reject single invoicing was not available through NPRR347.  </w:t>
            </w:r>
            <w:r w:rsidR="00CD7C41">
              <w:rPr>
                <w:rFonts w:ascii="Arial" w:hAnsi="Arial" w:cs="Arial"/>
              </w:rPr>
              <w:t xml:space="preserve"> </w:t>
            </w:r>
          </w:p>
        </w:tc>
      </w:tr>
    </w:tbl>
    <w:p w:rsidR="00004403" w:rsidRDefault="00004403"/>
    <w:tbl>
      <w:tblPr>
        <w:tblW w:w="10447"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
        <w:gridCol w:w="1800"/>
        <w:gridCol w:w="360"/>
        <w:gridCol w:w="3600"/>
        <w:gridCol w:w="4673"/>
        <w:gridCol w:w="7"/>
      </w:tblGrid>
      <w:tr w:rsidR="009A3772" w:rsidTr="00DF31CB">
        <w:tblPrEx>
          <w:tblCellMar>
            <w:top w:w="0" w:type="dxa"/>
            <w:bottom w:w="0" w:type="dxa"/>
          </w:tblCellMar>
        </w:tblPrEx>
        <w:trPr>
          <w:gridBefore w:val="1"/>
          <w:wBefore w:w="7" w:type="dxa"/>
          <w:trHeight w:val="350"/>
        </w:trPr>
        <w:tc>
          <w:tcPr>
            <w:tcW w:w="10440" w:type="dxa"/>
            <w:gridSpan w:val="5"/>
            <w:tcBorders>
              <w:bottom w:val="single" w:sz="4" w:space="0" w:color="auto"/>
            </w:tcBorders>
            <w:shd w:val="clear" w:color="auto" w:fill="FFFFFF"/>
            <w:vAlign w:val="center"/>
          </w:tcPr>
          <w:p w:rsidR="009A3772" w:rsidRDefault="009A3772">
            <w:pPr>
              <w:pStyle w:val="Header"/>
              <w:jc w:val="center"/>
            </w:pPr>
            <w:r>
              <w:br w:type="page"/>
              <w:t>Quantitative Impacts and Benefits</w:t>
            </w:r>
          </w:p>
        </w:tc>
      </w:tr>
      <w:tr w:rsidR="009C601F" w:rsidRPr="00AC6C3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9C601F" w:rsidRPr="00E41BCF" w:rsidRDefault="009C601F" w:rsidP="009C601F">
            <w:pPr>
              <w:pStyle w:val="Header"/>
            </w:pPr>
            <w:r w:rsidRPr="00E41BCF">
              <w:t>Assumptions</w:t>
            </w:r>
          </w:p>
        </w:tc>
        <w:tc>
          <w:tcPr>
            <w:tcW w:w="360" w:type="dxa"/>
            <w:tcBorders>
              <w:top w:val="single" w:sz="12" w:space="0" w:color="auto"/>
              <w:bottom w:val="single" w:sz="8" w:space="0" w:color="auto"/>
            </w:tcBorders>
            <w:vAlign w:val="center"/>
          </w:tcPr>
          <w:p w:rsidR="009C601F" w:rsidRPr="00BD6AA7" w:rsidRDefault="009C601F" w:rsidP="009C601F">
            <w:pPr>
              <w:pStyle w:val="Header"/>
              <w:jc w:val="center"/>
              <w:rPr>
                <w:b w:val="0"/>
                <w:sz w:val="20"/>
                <w:szCs w:val="20"/>
              </w:rPr>
            </w:pPr>
            <w:r w:rsidRPr="00BD6AA7">
              <w:rPr>
                <w:b w:val="0"/>
                <w:sz w:val="20"/>
                <w:szCs w:val="20"/>
              </w:rPr>
              <w:t>1</w:t>
            </w:r>
          </w:p>
        </w:tc>
        <w:tc>
          <w:tcPr>
            <w:tcW w:w="8273" w:type="dxa"/>
            <w:gridSpan w:val="2"/>
            <w:tcBorders>
              <w:top w:val="single" w:sz="12" w:space="0" w:color="auto"/>
              <w:bottom w:val="single" w:sz="8" w:space="0" w:color="auto"/>
            </w:tcBorders>
            <w:vAlign w:val="center"/>
          </w:tcPr>
          <w:p w:rsidR="009C601F" w:rsidRPr="00AC6C37" w:rsidRDefault="009C601F" w:rsidP="009C601F">
            <w:pPr>
              <w:pStyle w:val="Header"/>
              <w:rPr>
                <w:b w:val="0"/>
                <w:i/>
                <w:sz w:val="20"/>
                <w:szCs w:val="20"/>
              </w:rPr>
            </w:pPr>
          </w:p>
        </w:tc>
      </w:tr>
      <w:tr w:rsidR="009C601F" w:rsidRPr="00AC6C3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C601F" w:rsidRPr="00E41BCF" w:rsidRDefault="009C601F">
            <w:pPr>
              <w:pStyle w:val="Header"/>
            </w:pPr>
          </w:p>
        </w:tc>
        <w:tc>
          <w:tcPr>
            <w:tcW w:w="360" w:type="dxa"/>
            <w:tcBorders>
              <w:top w:val="single" w:sz="8" w:space="0" w:color="auto"/>
            </w:tcBorders>
            <w:vAlign w:val="center"/>
          </w:tcPr>
          <w:p w:rsidR="009C601F" w:rsidRPr="00864358" w:rsidRDefault="009C601F">
            <w:pPr>
              <w:pStyle w:val="Header"/>
              <w:jc w:val="center"/>
              <w:rPr>
                <w:b w:val="0"/>
                <w:sz w:val="20"/>
                <w:szCs w:val="20"/>
              </w:rPr>
            </w:pPr>
            <w:r w:rsidRPr="00864358">
              <w:rPr>
                <w:b w:val="0"/>
                <w:sz w:val="20"/>
                <w:szCs w:val="20"/>
              </w:rPr>
              <w:t>2</w:t>
            </w:r>
          </w:p>
        </w:tc>
        <w:tc>
          <w:tcPr>
            <w:tcW w:w="8273" w:type="dxa"/>
            <w:gridSpan w:val="2"/>
            <w:tcBorders>
              <w:top w:val="single" w:sz="8" w:space="0" w:color="auto"/>
            </w:tcBorders>
            <w:vAlign w:val="center"/>
          </w:tcPr>
          <w:p w:rsidR="009C601F" w:rsidRPr="00AC6C37" w:rsidRDefault="009C601F">
            <w:pPr>
              <w:pStyle w:val="Header"/>
              <w:rPr>
                <w:b w:val="0"/>
                <w:i/>
                <w:sz w:val="20"/>
                <w:szCs w:val="20"/>
              </w:rPr>
            </w:pPr>
          </w:p>
        </w:tc>
      </w:tr>
      <w:tr w:rsidR="009C601F" w:rsidRPr="00AC6C3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C601F" w:rsidRPr="00E41BCF" w:rsidRDefault="009C601F">
            <w:pPr>
              <w:pStyle w:val="Header"/>
            </w:pPr>
          </w:p>
        </w:tc>
        <w:tc>
          <w:tcPr>
            <w:tcW w:w="360" w:type="dxa"/>
            <w:vAlign w:val="center"/>
          </w:tcPr>
          <w:p w:rsidR="009C601F" w:rsidRPr="00864358" w:rsidRDefault="009C601F">
            <w:pPr>
              <w:pStyle w:val="Header"/>
              <w:jc w:val="center"/>
              <w:rPr>
                <w:b w:val="0"/>
                <w:sz w:val="20"/>
                <w:szCs w:val="20"/>
              </w:rPr>
            </w:pPr>
            <w:r w:rsidRPr="00864358">
              <w:rPr>
                <w:b w:val="0"/>
                <w:sz w:val="20"/>
                <w:szCs w:val="20"/>
              </w:rPr>
              <w:t>3</w:t>
            </w:r>
          </w:p>
        </w:tc>
        <w:tc>
          <w:tcPr>
            <w:tcW w:w="8273" w:type="dxa"/>
            <w:gridSpan w:val="2"/>
            <w:vAlign w:val="center"/>
          </w:tcPr>
          <w:p w:rsidR="009C601F" w:rsidRPr="00AC6C37" w:rsidRDefault="009C601F">
            <w:pPr>
              <w:pStyle w:val="Header"/>
              <w:rPr>
                <w:b w:val="0"/>
                <w:i/>
                <w:sz w:val="20"/>
                <w:szCs w:val="20"/>
              </w:rPr>
            </w:pPr>
          </w:p>
        </w:tc>
      </w:tr>
      <w:tr w:rsidR="009C601F" w:rsidRPr="00AC6C3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C601F" w:rsidRPr="00E41BCF" w:rsidRDefault="009C601F">
            <w:pPr>
              <w:pStyle w:val="Header"/>
            </w:pPr>
          </w:p>
        </w:tc>
        <w:tc>
          <w:tcPr>
            <w:tcW w:w="360" w:type="dxa"/>
            <w:tcBorders>
              <w:bottom w:val="single" w:sz="12" w:space="0" w:color="auto"/>
            </w:tcBorders>
            <w:vAlign w:val="center"/>
          </w:tcPr>
          <w:p w:rsidR="009C601F" w:rsidRPr="00864358" w:rsidRDefault="009C601F">
            <w:pPr>
              <w:pStyle w:val="Header"/>
              <w:jc w:val="center"/>
              <w:rPr>
                <w:b w:val="0"/>
                <w:sz w:val="20"/>
                <w:szCs w:val="20"/>
              </w:rPr>
            </w:pPr>
            <w:r w:rsidRPr="00864358">
              <w:rPr>
                <w:b w:val="0"/>
                <w:sz w:val="20"/>
                <w:szCs w:val="20"/>
              </w:rPr>
              <w:t>4</w:t>
            </w:r>
          </w:p>
        </w:tc>
        <w:tc>
          <w:tcPr>
            <w:tcW w:w="8273" w:type="dxa"/>
            <w:gridSpan w:val="2"/>
            <w:tcBorders>
              <w:bottom w:val="single" w:sz="12" w:space="0" w:color="auto"/>
            </w:tcBorders>
            <w:vAlign w:val="center"/>
          </w:tcPr>
          <w:p w:rsidR="009C601F" w:rsidRPr="00AC6C37" w:rsidRDefault="009C601F">
            <w:pPr>
              <w:pStyle w:val="Header"/>
              <w:rPr>
                <w:b w:val="0"/>
                <w:i/>
                <w:sz w:val="20"/>
                <w:szCs w:val="20"/>
              </w:rPr>
            </w:pPr>
          </w:p>
        </w:tc>
      </w:tr>
      <w:tr w:rsidR="009C601F" w:rsidRPr="000C3592"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9C601F" w:rsidRPr="00E41BCF" w:rsidRDefault="009C601F" w:rsidP="009C601F">
            <w:pPr>
              <w:pStyle w:val="Header"/>
              <w:jc w:val="center"/>
            </w:pPr>
            <w:r w:rsidRPr="00E41BCF">
              <w:t>Market Cost</w:t>
            </w:r>
          </w:p>
        </w:tc>
        <w:tc>
          <w:tcPr>
            <w:tcW w:w="360" w:type="dxa"/>
            <w:tcBorders>
              <w:top w:val="single" w:sz="12" w:space="0" w:color="auto"/>
              <w:left w:val="single" w:sz="4" w:space="0" w:color="auto"/>
              <w:bottom w:val="single" w:sz="8" w:space="0" w:color="auto"/>
            </w:tcBorders>
            <w:shd w:val="clear" w:color="auto" w:fill="auto"/>
            <w:vAlign w:val="center"/>
          </w:tcPr>
          <w:p w:rsidR="009C601F" w:rsidRDefault="009C601F" w:rsidP="009C601F">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9C601F" w:rsidRPr="000C3592" w:rsidRDefault="009C601F" w:rsidP="009C601F">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9C601F" w:rsidRPr="00E41BCF" w:rsidRDefault="009C601F" w:rsidP="009C601F">
            <w:pPr>
              <w:pStyle w:val="Header"/>
              <w:jc w:val="center"/>
            </w:pPr>
            <w:r w:rsidRPr="00E41BCF">
              <w:t>Market Cost</w:t>
            </w:r>
          </w:p>
        </w:tc>
      </w:tr>
      <w:tr w:rsidR="00B314E3"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B314E3" w:rsidRPr="00E41BCF" w:rsidRDefault="00B314E3">
            <w:pPr>
              <w:pStyle w:val="Header"/>
              <w:jc w:val="center"/>
            </w:pPr>
          </w:p>
        </w:tc>
        <w:tc>
          <w:tcPr>
            <w:tcW w:w="360" w:type="dxa"/>
            <w:tcBorders>
              <w:top w:val="single" w:sz="8" w:space="0" w:color="auto"/>
              <w:bottom w:val="single" w:sz="8" w:space="0" w:color="auto"/>
            </w:tcBorders>
            <w:vAlign w:val="center"/>
          </w:tcPr>
          <w:p w:rsidR="00B314E3" w:rsidRDefault="00B314E3">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B314E3" w:rsidRPr="00C90F7E" w:rsidRDefault="00942955" w:rsidP="00942955">
            <w:pPr>
              <w:pStyle w:val="NormalArial"/>
              <w:rPr>
                <w:i/>
                <w:sz w:val="20"/>
              </w:rPr>
            </w:pPr>
            <w:r w:rsidRPr="00942955">
              <w:rPr>
                <w:i/>
                <w:sz w:val="20"/>
              </w:rPr>
              <w:t>QSEs, CRR Account Holders, and/or Counter-Parties may have to modify their internal business processes for processing Invoices and calculating credit exposure.</w:t>
            </w:r>
          </w:p>
        </w:tc>
        <w:tc>
          <w:tcPr>
            <w:tcW w:w="4673" w:type="dxa"/>
            <w:tcBorders>
              <w:top w:val="single" w:sz="8" w:space="0" w:color="auto"/>
              <w:bottom w:val="single" w:sz="8" w:space="0" w:color="auto"/>
            </w:tcBorders>
            <w:vAlign w:val="center"/>
          </w:tcPr>
          <w:p w:rsidR="00B314E3" w:rsidRPr="00C90F7E" w:rsidRDefault="00942955" w:rsidP="00F27A5C">
            <w:pPr>
              <w:pStyle w:val="NormalArial"/>
              <w:rPr>
                <w:i/>
                <w:sz w:val="20"/>
              </w:rPr>
            </w:pPr>
            <w:r>
              <w:rPr>
                <w:i/>
                <w:sz w:val="20"/>
              </w:rPr>
              <w:t>Unknown.</w:t>
            </w:r>
          </w:p>
        </w:tc>
      </w:tr>
      <w:tr w:rsidR="00B314E3"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B314E3" w:rsidRPr="00E41BCF" w:rsidRDefault="00B314E3">
            <w:pPr>
              <w:pStyle w:val="Header"/>
              <w:jc w:val="center"/>
            </w:pPr>
          </w:p>
        </w:tc>
        <w:tc>
          <w:tcPr>
            <w:tcW w:w="360" w:type="dxa"/>
            <w:tcBorders>
              <w:top w:val="single" w:sz="8" w:space="0" w:color="auto"/>
              <w:bottom w:val="single" w:sz="8" w:space="0" w:color="auto"/>
            </w:tcBorders>
            <w:shd w:val="clear" w:color="auto" w:fill="auto"/>
            <w:vAlign w:val="center"/>
          </w:tcPr>
          <w:p w:rsidR="00B314E3" w:rsidRDefault="00B314E3">
            <w:pPr>
              <w:pStyle w:val="NormalArial"/>
              <w:jc w:val="center"/>
              <w:rPr>
                <w:sz w:val="20"/>
              </w:rPr>
            </w:pPr>
            <w:r>
              <w:rPr>
                <w:sz w:val="20"/>
              </w:rPr>
              <w:t>2</w:t>
            </w:r>
          </w:p>
        </w:tc>
        <w:tc>
          <w:tcPr>
            <w:tcW w:w="3600" w:type="dxa"/>
            <w:tcBorders>
              <w:top w:val="single" w:sz="8" w:space="0" w:color="auto"/>
              <w:bottom w:val="single" w:sz="8" w:space="0" w:color="auto"/>
            </w:tcBorders>
            <w:shd w:val="clear" w:color="auto" w:fill="auto"/>
            <w:vAlign w:val="center"/>
          </w:tcPr>
          <w:p w:rsidR="00B314E3" w:rsidRPr="00C90F7E" w:rsidRDefault="00942955" w:rsidP="00F27A5C">
            <w:pPr>
              <w:pStyle w:val="NormalArial"/>
              <w:rPr>
                <w:i/>
                <w:sz w:val="20"/>
              </w:rPr>
            </w:pPr>
            <w:r w:rsidRPr="00942955">
              <w:rPr>
                <w:i/>
                <w:sz w:val="20"/>
              </w:rPr>
              <w:t>Market Participants may need to modify systems to consume modified Invoices and to shadow revisions in credit calculations.</w:t>
            </w:r>
          </w:p>
        </w:tc>
        <w:tc>
          <w:tcPr>
            <w:tcW w:w="4673" w:type="dxa"/>
            <w:tcBorders>
              <w:top w:val="single" w:sz="8" w:space="0" w:color="auto"/>
              <w:bottom w:val="single" w:sz="8" w:space="0" w:color="auto"/>
            </w:tcBorders>
            <w:shd w:val="clear" w:color="auto" w:fill="auto"/>
            <w:vAlign w:val="center"/>
          </w:tcPr>
          <w:p w:rsidR="00B314E3" w:rsidRPr="00C90F7E" w:rsidRDefault="00942955" w:rsidP="00F27A5C">
            <w:pPr>
              <w:pStyle w:val="NormalArial"/>
              <w:rPr>
                <w:i/>
                <w:sz w:val="20"/>
              </w:rPr>
            </w:pPr>
            <w:r>
              <w:rPr>
                <w:i/>
                <w:sz w:val="20"/>
              </w:rPr>
              <w:t>Unknown.</w:t>
            </w:r>
          </w:p>
        </w:tc>
      </w:tr>
      <w:tr w:rsidR="00B314E3"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B314E3" w:rsidRPr="00E41BCF" w:rsidRDefault="00B314E3">
            <w:pPr>
              <w:pStyle w:val="Header"/>
              <w:jc w:val="center"/>
            </w:pPr>
          </w:p>
        </w:tc>
        <w:tc>
          <w:tcPr>
            <w:tcW w:w="360" w:type="dxa"/>
            <w:tcBorders>
              <w:top w:val="single" w:sz="8" w:space="0" w:color="auto"/>
              <w:bottom w:val="single" w:sz="8" w:space="0" w:color="auto"/>
            </w:tcBorders>
            <w:vAlign w:val="center"/>
          </w:tcPr>
          <w:p w:rsidR="00B314E3" w:rsidRDefault="00B314E3">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B314E3" w:rsidRPr="00C90F7E" w:rsidRDefault="00B314E3" w:rsidP="00F27A5C">
            <w:pPr>
              <w:pStyle w:val="NormalArial"/>
              <w:rPr>
                <w:i/>
                <w:sz w:val="20"/>
              </w:rPr>
            </w:pPr>
          </w:p>
        </w:tc>
        <w:tc>
          <w:tcPr>
            <w:tcW w:w="4673" w:type="dxa"/>
            <w:tcBorders>
              <w:top w:val="single" w:sz="8" w:space="0" w:color="auto"/>
              <w:bottom w:val="single" w:sz="8" w:space="0" w:color="auto"/>
            </w:tcBorders>
            <w:vAlign w:val="center"/>
          </w:tcPr>
          <w:p w:rsidR="00B314E3" w:rsidRPr="00C90F7E" w:rsidRDefault="00B314E3" w:rsidP="00F27A5C">
            <w:pPr>
              <w:pStyle w:val="NormalArial"/>
              <w:rPr>
                <w:i/>
                <w:sz w:val="20"/>
              </w:rPr>
            </w:pPr>
          </w:p>
        </w:tc>
      </w:tr>
      <w:tr w:rsidR="00B314E3"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B314E3" w:rsidRPr="00E41BCF" w:rsidRDefault="00B314E3">
            <w:pPr>
              <w:pStyle w:val="Header"/>
              <w:jc w:val="center"/>
            </w:pPr>
          </w:p>
        </w:tc>
        <w:tc>
          <w:tcPr>
            <w:tcW w:w="360" w:type="dxa"/>
            <w:tcBorders>
              <w:top w:val="single" w:sz="8" w:space="0" w:color="auto"/>
              <w:bottom w:val="single" w:sz="12" w:space="0" w:color="auto"/>
            </w:tcBorders>
            <w:vAlign w:val="center"/>
          </w:tcPr>
          <w:p w:rsidR="00B314E3" w:rsidRDefault="00B314E3">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B314E3" w:rsidRPr="00C90F7E" w:rsidRDefault="00B314E3" w:rsidP="00F27A5C">
            <w:pPr>
              <w:pStyle w:val="NormalArial"/>
              <w:rPr>
                <w:i/>
                <w:sz w:val="20"/>
              </w:rPr>
            </w:pPr>
          </w:p>
        </w:tc>
        <w:tc>
          <w:tcPr>
            <w:tcW w:w="4673" w:type="dxa"/>
            <w:tcBorders>
              <w:top w:val="single" w:sz="8" w:space="0" w:color="auto"/>
              <w:bottom w:val="single" w:sz="12" w:space="0" w:color="auto"/>
            </w:tcBorders>
            <w:vAlign w:val="center"/>
          </w:tcPr>
          <w:p w:rsidR="00B314E3" w:rsidRPr="00C90F7E" w:rsidRDefault="00B314E3" w:rsidP="00F27A5C">
            <w:pPr>
              <w:pStyle w:val="NormalArial"/>
              <w:rPr>
                <w:i/>
                <w:sz w:val="20"/>
              </w:rPr>
            </w:pPr>
          </w:p>
        </w:tc>
      </w:tr>
      <w:tr w:rsidR="00B314E3" w:rsidRPr="000C3592"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B314E3" w:rsidRPr="00E41BCF" w:rsidRDefault="00B314E3" w:rsidP="009C601F">
            <w:pPr>
              <w:pStyle w:val="Header"/>
              <w:jc w:val="center"/>
            </w:pPr>
            <w:r w:rsidRPr="00E41BCF">
              <w:t>Market Benefit</w:t>
            </w:r>
          </w:p>
        </w:tc>
        <w:tc>
          <w:tcPr>
            <w:tcW w:w="360" w:type="dxa"/>
            <w:tcBorders>
              <w:top w:val="single" w:sz="12" w:space="0" w:color="auto"/>
              <w:left w:val="single" w:sz="4" w:space="0" w:color="auto"/>
              <w:bottom w:val="single" w:sz="8" w:space="0" w:color="auto"/>
            </w:tcBorders>
            <w:shd w:val="clear" w:color="auto" w:fill="auto"/>
            <w:vAlign w:val="center"/>
          </w:tcPr>
          <w:p w:rsidR="00B314E3" w:rsidRDefault="00B314E3" w:rsidP="009C601F">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B314E3" w:rsidRPr="000C3592" w:rsidRDefault="00B314E3" w:rsidP="00F27A5C">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B314E3" w:rsidRPr="000C3592" w:rsidRDefault="00B314E3" w:rsidP="00F27A5C">
            <w:pPr>
              <w:pStyle w:val="NormalArial"/>
              <w:jc w:val="center"/>
              <w:rPr>
                <w:b/>
                <w:sz w:val="20"/>
              </w:rPr>
            </w:pPr>
            <w:r>
              <w:rPr>
                <w:b/>
                <w:sz w:val="20"/>
              </w:rPr>
              <w:t>Monetary Impact</w:t>
            </w:r>
          </w:p>
        </w:tc>
      </w:tr>
      <w:tr w:rsidR="00B314E3"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B314E3" w:rsidRPr="00E41BCF" w:rsidRDefault="00B314E3">
            <w:pPr>
              <w:pStyle w:val="Header"/>
              <w:jc w:val="center"/>
            </w:pPr>
          </w:p>
        </w:tc>
        <w:tc>
          <w:tcPr>
            <w:tcW w:w="360" w:type="dxa"/>
            <w:tcBorders>
              <w:top w:val="single" w:sz="8" w:space="0" w:color="auto"/>
              <w:bottom w:val="single" w:sz="8" w:space="0" w:color="auto"/>
            </w:tcBorders>
            <w:vAlign w:val="center"/>
          </w:tcPr>
          <w:p w:rsidR="00B314E3" w:rsidRDefault="00B314E3">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B314E3" w:rsidRPr="00C90F7E" w:rsidRDefault="00101E91" w:rsidP="00F27A5C">
            <w:pPr>
              <w:pStyle w:val="NormalArial"/>
              <w:rPr>
                <w:i/>
                <w:sz w:val="20"/>
              </w:rPr>
            </w:pPr>
            <w:r>
              <w:rPr>
                <w:i/>
                <w:sz w:val="20"/>
              </w:rPr>
              <w:t>Increases Settlement efficiency; reduces working capital needed for Settlements; reduces Settlement costs for Market Participants; and reduces credit exposure.</w:t>
            </w:r>
          </w:p>
        </w:tc>
        <w:tc>
          <w:tcPr>
            <w:tcW w:w="4673" w:type="dxa"/>
            <w:tcBorders>
              <w:top w:val="single" w:sz="8" w:space="0" w:color="auto"/>
              <w:bottom w:val="single" w:sz="8" w:space="0" w:color="auto"/>
            </w:tcBorders>
            <w:vAlign w:val="center"/>
          </w:tcPr>
          <w:p w:rsidR="00B314E3" w:rsidRPr="00C90F7E" w:rsidRDefault="00942955" w:rsidP="00F27A5C">
            <w:pPr>
              <w:pStyle w:val="NormalArial"/>
              <w:rPr>
                <w:i/>
                <w:sz w:val="20"/>
              </w:rPr>
            </w:pPr>
            <w:r>
              <w:rPr>
                <w:i/>
                <w:sz w:val="20"/>
              </w:rPr>
              <w:t>Unknown.</w:t>
            </w:r>
          </w:p>
        </w:tc>
      </w:tr>
      <w:tr w:rsidR="00B314E3"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B314E3" w:rsidRPr="00E41BCF" w:rsidRDefault="00B314E3">
            <w:pPr>
              <w:pStyle w:val="Header"/>
              <w:jc w:val="center"/>
            </w:pPr>
          </w:p>
        </w:tc>
        <w:tc>
          <w:tcPr>
            <w:tcW w:w="360" w:type="dxa"/>
            <w:tcBorders>
              <w:top w:val="single" w:sz="8" w:space="0" w:color="auto"/>
              <w:bottom w:val="single" w:sz="8" w:space="0" w:color="auto"/>
            </w:tcBorders>
            <w:vAlign w:val="center"/>
          </w:tcPr>
          <w:p w:rsidR="00B314E3" w:rsidRDefault="00B314E3">
            <w:pPr>
              <w:pStyle w:val="NormalArial"/>
              <w:jc w:val="center"/>
              <w:rPr>
                <w:sz w:val="20"/>
              </w:rPr>
            </w:pPr>
            <w:r>
              <w:rPr>
                <w:sz w:val="20"/>
              </w:rPr>
              <w:t>2</w:t>
            </w:r>
          </w:p>
        </w:tc>
        <w:tc>
          <w:tcPr>
            <w:tcW w:w="3600" w:type="dxa"/>
            <w:tcBorders>
              <w:top w:val="single" w:sz="8" w:space="0" w:color="auto"/>
              <w:bottom w:val="single" w:sz="8" w:space="0" w:color="auto"/>
            </w:tcBorders>
            <w:vAlign w:val="center"/>
          </w:tcPr>
          <w:p w:rsidR="00B314E3" w:rsidRPr="00C90F7E" w:rsidRDefault="00B314E3" w:rsidP="00F27A5C">
            <w:pPr>
              <w:pStyle w:val="NormalArial"/>
              <w:rPr>
                <w:i/>
                <w:sz w:val="20"/>
              </w:rPr>
            </w:pPr>
          </w:p>
        </w:tc>
        <w:tc>
          <w:tcPr>
            <w:tcW w:w="4673" w:type="dxa"/>
            <w:tcBorders>
              <w:top w:val="single" w:sz="8" w:space="0" w:color="auto"/>
              <w:bottom w:val="single" w:sz="8" w:space="0" w:color="auto"/>
            </w:tcBorders>
            <w:vAlign w:val="center"/>
          </w:tcPr>
          <w:p w:rsidR="00B314E3" w:rsidRPr="00C90F7E" w:rsidRDefault="00B314E3" w:rsidP="00F27A5C">
            <w:pPr>
              <w:pStyle w:val="NormalArial"/>
              <w:rPr>
                <w:i/>
                <w:sz w:val="20"/>
              </w:rPr>
            </w:pPr>
          </w:p>
        </w:tc>
      </w:tr>
      <w:tr w:rsidR="00B314E3"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B314E3" w:rsidRPr="00E41BCF" w:rsidRDefault="00B314E3">
            <w:pPr>
              <w:pStyle w:val="Header"/>
              <w:jc w:val="center"/>
            </w:pPr>
          </w:p>
        </w:tc>
        <w:tc>
          <w:tcPr>
            <w:tcW w:w="360" w:type="dxa"/>
            <w:tcBorders>
              <w:top w:val="single" w:sz="8" w:space="0" w:color="auto"/>
              <w:bottom w:val="single" w:sz="8" w:space="0" w:color="auto"/>
            </w:tcBorders>
            <w:vAlign w:val="center"/>
          </w:tcPr>
          <w:p w:rsidR="00B314E3" w:rsidRDefault="00B314E3">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B314E3" w:rsidRPr="00C90F7E" w:rsidRDefault="00B314E3">
            <w:pPr>
              <w:pStyle w:val="NormalArial"/>
              <w:rPr>
                <w:i/>
                <w:sz w:val="20"/>
              </w:rPr>
            </w:pPr>
          </w:p>
        </w:tc>
        <w:tc>
          <w:tcPr>
            <w:tcW w:w="4673" w:type="dxa"/>
            <w:tcBorders>
              <w:top w:val="single" w:sz="8" w:space="0" w:color="auto"/>
              <w:bottom w:val="single" w:sz="8" w:space="0" w:color="auto"/>
            </w:tcBorders>
            <w:vAlign w:val="center"/>
          </w:tcPr>
          <w:p w:rsidR="00B314E3" w:rsidRPr="00E41BCF" w:rsidRDefault="00B314E3" w:rsidP="009C601F">
            <w:pPr>
              <w:pStyle w:val="Header"/>
              <w:jc w:val="center"/>
            </w:pPr>
          </w:p>
        </w:tc>
      </w:tr>
      <w:tr w:rsidR="00B314E3"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B314E3" w:rsidRPr="00E41BCF" w:rsidRDefault="00B314E3">
            <w:pPr>
              <w:pStyle w:val="Header"/>
              <w:jc w:val="center"/>
            </w:pPr>
          </w:p>
        </w:tc>
        <w:tc>
          <w:tcPr>
            <w:tcW w:w="360" w:type="dxa"/>
            <w:tcBorders>
              <w:top w:val="single" w:sz="8" w:space="0" w:color="auto"/>
              <w:bottom w:val="single" w:sz="12" w:space="0" w:color="auto"/>
            </w:tcBorders>
            <w:vAlign w:val="center"/>
          </w:tcPr>
          <w:p w:rsidR="00B314E3" w:rsidRDefault="00B314E3">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B314E3" w:rsidRPr="00C90F7E" w:rsidRDefault="00B314E3">
            <w:pPr>
              <w:pStyle w:val="NormalArial"/>
              <w:rPr>
                <w:i/>
                <w:sz w:val="20"/>
              </w:rPr>
            </w:pPr>
          </w:p>
        </w:tc>
        <w:tc>
          <w:tcPr>
            <w:tcW w:w="4673" w:type="dxa"/>
            <w:tcBorders>
              <w:top w:val="single" w:sz="8" w:space="0" w:color="auto"/>
              <w:bottom w:val="single" w:sz="12" w:space="0" w:color="auto"/>
            </w:tcBorders>
            <w:vAlign w:val="center"/>
          </w:tcPr>
          <w:p w:rsidR="00B314E3" w:rsidRPr="00E41BCF" w:rsidRDefault="00B314E3" w:rsidP="009C601F">
            <w:pPr>
              <w:pStyle w:val="Header"/>
              <w:jc w:val="center"/>
            </w:pPr>
          </w:p>
        </w:tc>
      </w:tr>
      <w:tr w:rsidR="00B314E3" w:rsidRPr="00B40AA6"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B314E3" w:rsidRPr="00E41BCF" w:rsidRDefault="00B314E3" w:rsidP="009C601F">
            <w:pPr>
              <w:pStyle w:val="Header"/>
            </w:pPr>
            <w:r w:rsidRPr="00E41BCF">
              <w:t>Additional Qualitative Information</w:t>
            </w:r>
          </w:p>
        </w:tc>
        <w:tc>
          <w:tcPr>
            <w:tcW w:w="360" w:type="dxa"/>
            <w:tcBorders>
              <w:top w:val="single" w:sz="12" w:space="0" w:color="auto"/>
              <w:bottom w:val="single" w:sz="8" w:space="0" w:color="auto"/>
            </w:tcBorders>
            <w:vAlign w:val="center"/>
          </w:tcPr>
          <w:p w:rsidR="00B314E3" w:rsidRDefault="00B314E3" w:rsidP="009C601F">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B314E3" w:rsidRPr="00B40AA6" w:rsidRDefault="00B314E3" w:rsidP="009C601F">
            <w:pPr>
              <w:pStyle w:val="NormalArial"/>
              <w:rPr>
                <w:i/>
                <w:sz w:val="20"/>
              </w:rPr>
            </w:pPr>
          </w:p>
        </w:tc>
      </w:tr>
      <w:tr w:rsidR="00B314E3" w:rsidRPr="00B40AA6"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B314E3" w:rsidRPr="00E41BCF" w:rsidRDefault="00B314E3">
            <w:pPr>
              <w:pStyle w:val="Header"/>
              <w:jc w:val="center"/>
            </w:pPr>
          </w:p>
        </w:tc>
        <w:tc>
          <w:tcPr>
            <w:tcW w:w="360" w:type="dxa"/>
            <w:tcBorders>
              <w:top w:val="single" w:sz="8" w:space="0" w:color="auto"/>
              <w:bottom w:val="single" w:sz="8" w:space="0" w:color="auto"/>
            </w:tcBorders>
            <w:vAlign w:val="center"/>
          </w:tcPr>
          <w:p w:rsidR="00B314E3" w:rsidRDefault="00B314E3">
            <w:pPr>
              <w:pStyle w:val="NormalArial"/>
              <w:jc w:val="center"/>
              <w:rPr>
                <w:sz w:val="20"/>
              </w:rPr>
            </w:pPr>
            <w:r>
              <w:rPr>
                <w:sz w:val="20"/>
              </w:rPr>
              <w:t>2</w:t>
            </w:r>
          </w:p>
        </w:tc>
        <w:tc>
          <w:tcPr>
            <w:tcW w:w="8273" w:type="dxa"/>
            <w:gridSpan w:val="2"/>
            <w:tcBorders>
              <w:top w:val="single" w:sz="8" w:space="0" w:color="auto"/>
              <w:bottom w:val="single" w:sz="8" w:space="0" w:color="auto"/>
            </w:tcBorders>
            <w:vAlign w:val="center"/>
          </w:tcPr>
          <w:p w:rsidR="00B314E3" w:rsidRPr="00B40AA6" w:rsidRDefault="00B314E3">
            <w:pPr>
              <w:pStyle w:val="NormalArial"/>
              <w:rPr>
                <w:i/>
                <w:sz w:val="20"/>
              </w:rPr>
            </w:pPr>
          </w:p>
        </w:tc>
      </w:tr>
      <w:tr w:rsidR="00B314E3" w:rsidRPr="00B40AA6"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B314E3" w:rsidRPr="00E41BCF" w:rsidRDefault="00B314E3">
            <w:pPr>
              <w:pStyle w:val="Header"/>
            </w:pPr>
          </w:p>
        </w:tc>
        <w:tc>
          <w:tcPr>
            <w:tcW w:w="360" w:type="dxa"/>
            <w:tcBorders>
              <w:top w:val="single" w:sz="8" w:space="0" w:color="auto"/>
              <w:bottom w:val="single" w:sz="8" w:space="0" w:color="auto"/>
            </w:tcBorders>
            <w:vAlign w:val="center"/>
          </w:tcPr>
          <w:p w:rsidR="00B314E3" w:rsidRDefault="00B314E3">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B314E3" w:rsidRPr="00B40AA6" w:rsidRDefault="00B314E3">
            <w:pPr>
              <w:pStyle w:val="NormalArial"/>
              <w:rPr>
                <w:i/>
                <w:sz w:val="20"/>
              </w:rPr>
            </w:pPr>
          </w:p>
        </w:tc>
      </w:tr>
      <w:tr w:rsidR="00B314E3" w:rsidRPr="00B40AA6"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B314E3" w:rsidRPr="00E41BCF" w:rsidRDefault="00B314E3">
            <w:pPr>
              <w:pStyle w:val="Header"/>
            </w:pPr>
          </w:p>
        </w:tc>
        <w:tc>
          <w:tcPr>
            <w:tcW w:w="360" w:type="dxa"/>
            <w:tcBorders>
              <w:top w:val="single" w:sz="8" w:space="0" w:color="auto"/>
              <w:bottom w:val="single" w:sz="12" w:space="0" w:color="auto"/>
            </w:tcBorders>
            <w:vAlign w:val="center"/>
          </w:tcPr>
          <w:p w:rsidR="00B314E3" w:rsidRDefault="00B314E3">
            <w:pPr>
              <w:pStyle w:val="NormalArial"/>
              <w:jc w:val="center"/>
              <w:rPr>
                <w:sz w:val="20"/>
              </w:rPr>
            </w:pPr>
            <w:r>
              <w:rPr>
                <w:sz w:val="20"/>
              </w:rPr>
              <w:t>4</w:t>
            </w:r>
          </w:p>
        </w:tc>
        <w:tc>
          <w:tcPr>
            <w:tcW w:w="8273" w:type="dxa"/>
            <w:gridSpan w:val="2"/>
            <w:tcBorders>
              <w:top w:val="single" w:sz="8" w:space="0" w:color="auto"/>
              <w:bottom w:val="single" w:sz="12" w:space="0" w:color="auto"/>
            </w:tcBorders>
            <w:vAlign w:val="center"/>
          </w:tcPr>
          <w:p w:rsidR="00B314E3" w:rsidRPr="00B40AA6" w:rsidRDefault="00B314E3">
            <w:pPr>
              <w:pStyle w:val="NormalArial"/>
              <w:rPr>
                <w:i/>
                <w:sz w:val="20"/>
              </w:rPr>
            </w:pPr>
          </w:p>
        </w:tc>
      </w:tr>
      <w:tr w:rsidR="00B314E3" w:rsidRPr="00E966F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B314E3" w:rsidRPr="00E41BCF" w:rsidRDefault="00B314E3" w:rsidP="009C601F">
            <w:pPr>
              <w:pStyle w:val="Header"/>
              <w:jc w:val="center"/>
            </w:pPr>
            <w:r w:rsidRPr="00E41BCF">
              <w:t>Other Comments</w:t>
            </w:r>
          </w:p>
        </w:tc>
        <w:tc>
          <w:tcPr>
            <w:tcW w:w="360" w:type="dxa"/>
            <w:tcBorders>
              <w:top w:val="single" w:sz="12" w:space="0" w:color="auto"/>
              <w:bottom w:val="single" w:sz="8" w:space="0" w:color="auto"/>
            </w:tcBorders>
            <w:vAlign w:val="center"/>
          </w:tcPr>
          <w:p w:rsidR="00B314E3" w:rsidRDefault="00B314E3" w:rsidP="009C601F">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B314E3" w:rsidRPr="00E966F7" w:rsidRDefault="00B314E3" w:rsidP="009C601F">
            <w:pPr>
              <w:pStyle w:val="NormalArial"/>
              <w:rPr>
                <w:i/>
                <w:sz w:val="20"/>
              </w:rPr>
            </w:pPr>
          </w:p>
        </w:tc>
      </w:tr>
      <w:tr w:rsidR="00B314E3" w:rsidRPr="00E966F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B314E3" w:rsidRPr="00E966F7" w:rsidRDefault="00B314E3">
            <w:pPr>
              <w:pStyle w:val="Header"/>
              <w:jc w:val="center"/>
              <w:rPr>
                <w:sz w:val="20"/>
                <w:szCs w:val="20"/>
              </w:rPr>
            </w:pPr>
          </w:p>
        </w:tc>
        <w:tc>
          <w:tcPr>
            <w:tcW w:w="360" w:type="dxa"/>
            <w:tcBorders>
              <w:top w:val="single" w:sz="8" w:space="0" w:color="auto"/>
            </w:tcBorders>
            <w:vAlign w:val="center"/>
          </w:tcPr>
          <w:p w:rsidR="00B314E3" w:rsidRDefault="00B314E3">
            <w:pPr>
              <w:pStyle w:val="NormalArial"/>
              <w:jc w:val="center"/>
              <w:rPr>
                <w:sz w:val="20"/>
              </w:rPr>
            </w:pPr>
            <w:r>
              <w:rPr>
                <w:sz w:val="20"/>
              </w:rPr>
              <w:t>2</w:t>
            </w:r>
          </w:p>
        </w:tc>
        <w:tc>
          <w:tcPr>
            <w:tcW w:w="8273" w:type="dxa"/>
            <w:gridSpan w:val="2"/>
            <w:tcBorders>
              <w:top w:val="single" w:sz="8" w:space="0" w:color="auto"/>
            </w:tcBorders>
            <w:vAlign w:val="center"/>
          </w:tcPr>
          <w:p w:rsidR="00B314E3" w:rsidRPr="00E966F7" w:rsidRDefault="00B314E3">
            <w:pPr>
              <w:pStyle w:val="NormalArial"/>
              <w:rPr>
                <w:i/>
                <w:sz w:val="20"/>
              </w:rPr>
            </w:pPr>
          </w:p>
        </w:tc>
      </w:tr>
      <w:tr w:rsidR="00B314E3" w:rsidRPr="00E966F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B314E3" w:rsidRPr="00E966F7" w:rsidRDefault="00B314E3">
            <w:pPr>
              <w:pStyle w:val="Header"/>
            </w:pPr>
          </w:p>
        </w:tc>
        <w:tc>
          <w:tcPr>
            <w:tcW w:w="360" w:type="dxa"/>
            <w:tcBorders>
              <w:top w:val="single" w:sz="8" w:space="0" w:color="auto"/>
              <w:bottom w:val="single" w:sz="8" w:space="0" w:color="auto"/>
            </w:tcBorders>
            <w:vAlign w:val="center"/>
          </w:tcPr>
          <w:p w:rsidR="00B314E3" w:rsidRDefault="00B314E3">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B314E3" w:rsidRPr="00E966F7" w:rsidRDefault="00B314E3">
            <w:pPr>
              <w:pStyle w:val="NormalArial"/>
              <w:rPr>
                <w:i/>
                <w:sz w:val="20"/>
              </w:rPr>
            </w:pPr>
          </w:p>
        </w:tc>
      </w:tr>
      <w:tr w:rsidR="00B314E3" w:rsidRPr="00E966F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8" w:space="0" w:color="auto"/>
            </w:tcBorders>
            <w:vAlign w:val="center"/>
          </w:tcPr>
          <w:p w:rsidR="00B314E3" w:rsidRPr="00E966F7" w:rsidRDefault="00B314E3">
            <w:pPr>
              <w:pStyle w:val="Header"/>
            </w:pPr>
          </w:p>
        </w:tc>
        <w:tc>
          <w:tcPr>
            <w:tcW w:w="360" w:type="dxa"/>
            <w:tcBorders>
              <w:top w:val="single" w:sz="8" w:space="0" w:color="auto"/>
              <w:bottom w:val="single" w:sz="8" w:space="0" w:color="auto"/>
            </w:tcBorders>
            <w:vAlign w:val="center"/>
          </w:tcPr>
          <w:p w:rsidR="00B314E3" w:rsidRDefault="00B314E3">
            <w:pPr>
              <w:pStyle w:val="NormalArial"/>
              <w:jc w:val="center"/>
              <w:rPr>
                <w:sz w:val="20"/>
              </w:rPr>
            </w:pPr>
            <w:r>
              <w:rPr>
                <w:sz w:val="20"/>
              </w:rPr>
              <w:t>4</w:t>
            </w:r>
          </w:p>
        </w:tc>
        <w:tc>
          <w:tcPr>
            <w:tcW w:w="8273" w:type="dxa"/>
            <w:gridSpan w:val="2"/>
            <w:tcBorders>
              <w:top w:val="single" w:sz="8" w:space="0" w:color="auto"/>
              <w:bottom w:val="single" w:sz="8" w:space="0" w:color="auto"/>
            </w:tcBorders>
            <w:vAlign w:val="center"/>
          </w:tcPr>
          <w:p w:rsidR="00B314E3" w:rsidRPr="00E966F7" w:rsidRDefault="00B314E3">
            <w:pPr>
              <w:pStyle w:val="NormalArial"/>
              <w:rPr>
                <w:i/>
                <w:sz w:val="20"/>
              </w:rPr>
            </w:pPr>
          </w:p>
        </w:tc>
      </w:tr>
    </w:tbl>
    <w:p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9A3772" w:rsidTr="00BC2D06">
        <w:tblPrEx>
          <w:tblCellMar>
            <w:top w:w="0" w:type="dxa"/>
            <w:bottom w:w="0" w:type="dxa"/>
          </w:tblCellMar>
        </w:tblPrEx>
        <w:trPr>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lastRenderedPageBreak/>
              <w:t>Sponsor</w:t>
            </w:r>
          </w:p>
        </w:tc>
      </w:tr>
      <w:tr w:rsidR="00101E91" w:rsidTr="00BC2D06">
        <w:tblPrEx>
          <w:tblCellMar>
            <w:top w:w="0" w:type="dxa"/>
            <w:bottom w:w="0" w:type="dxa"/>
          </w:tblCellMar>
        </w:tblPrEx>
        <w:trPr>
          <w:trHeight w:val="432"/>
        </w:trPr>
        <w:tc>
          <w:tcPr>
            <w:tcW w:w="2880" w:type="dxa"/>
            <w:shd w:val="clear" w:color="auto" w:fill="FFFFFF"/>
            <w:vAlign w:val="center"/>
          </w:tcPr>
          <w:p w:rsidR="00101E91" w:rsidRPr="00B93CA0" w:rsidRDefault="00101E91">
            <w:pPr>
              <w:pStyle w:val="Header"/>
              <w:rPr>
                <w:bCs w:val="0"/>
              </w:rPr>
            </w:pPr>
            <w:r w:rsidRPr="00B93CA0">
              <w:rPr>
                <w:bCs w:val="0"/>
              </w:rPr>
              <w:t>Name</w:t>
            </w:r>
          </w:p>
        </w:tc>
        <w:tc>
          <w:tcPr>
            <w:tcW w:w="7560" w:type="dxa"/>
            <w:vAlign w:val="center"/>
          </w:tcPr>
          <w:p w:rsidR="00101E91" w:rsidRDefault="00101E91" w:rsidP="00101E91">
            <w:pPr>
              <w:pStyle w:val="NormalArial"/>
            </w:pPr>
            <w:r>
              <w:t>Mandy Bauld / Cheryl Yager</w:t>
            </w:r>
          </w:p>
        </w:tc>
      </w:tr>
      <w:tr w:rsidR="00101E91" w:rsidTr="00BC2D06">
        <w:tblPrEx>
          <w:tblCellMar>
            <w:top w:w="0" w:type="dxa"/>
            <w:bottom w:w="0" w:type="dxa"/>
          </w:tblCellMar>
        </w:tblPrEx>
        <w:trPr>
          <w:trHeight w:val="432"/>
        </w:trPr>
        <w:tc>
          <w:tcPr>
            <w:tcW w:w="2880" w:type="dxa"/>
            <w:shd w:val="clear" w:color="auto" w:fill="FFFFFF"/>
            <w:vAlign w:val="center"/>
          </w:tcPr>
          <w:p w:rsidR="00101E91" w:rsidRPr="00B93CA0" w:rsidRDefault="00101E91">
            <w:pPr>
              <w:pStyle w:val="Header"/>
              <w:rPr>
                <w:bCs w:val="0"/>
              </w:rPr>
            </w:pPr>
            <w:r w:rsidRPr="00B93CA0">
              <w:rPr>
                <w:bCs w:val="0"/>
              </w:rPr>
              <w:t>E-mail Address</w:t>
            </w:r>
          </w:p>
        </w:tc>
        <w:tc>
          <w:tcPr>
            <w:tcW w:w="7560" w:type="dxa"/>
            <w:vAlign w:val="center"/>
          </w:tcPr>
          <w:p w:rsidR="00101E91" w:rsidRDefault="00101E91" w:rsidP="00101E91">
            <w:pPr>
              <w:pStyle w:val="NormalArial"/>
            </w:pPr>
            <w:hyperlink r:id="rId7" w:history="1">
              <w:r>
                <w:rPr>
                  <w:rStyle w:val="Hyperlink"/>
                </w:rPr>
                <w:t>abauld@ercot.com</w:t>
              </w:r>
            </w:hyperlink>
            <w:r>
              <w:t xml:space="preserve"> / </w:t>
            </w:r>
            <w:hyperlink r:id="rId8" w:history="1">
              <w:r w:rsidRPr="004E45FD">
                <w:rPr>
                  <w:rStyle w:val="Hyperlink"/>
                </w:rPr>
                <w:t>cyager@ercot.com</w:t>
              </w:r>
            </w:hyperlink>
            <w:r>
              <w:t xml:space="preserve"> </w:t>
            </w:r>
          </w:p>
        </w:tc>
      </w:tr>
      <w:tr w:rsidR="00101E91" w:rsidTr="00BC2D06">
        <w:tblPrEx>
          <w:tblCellMar>
            <w:top w:w="0" w:type="dxa"/>
            <w:bottom w:w="0" w:type="dxa"/>
          </w:tblCellMar>
        </w:tblPrEx>
        <w:trPr>
          <w:trHeight w:val="432"/>
        </w:trPr>
        <w:tc>
          <w:tcPr>
            <w:tcW w:w="2880" w:type="dxa"/>
            <w:shd w:val="clear" w:color="auto" w:fill="FFFFFF"/>
            <w:vAlign w:val="center"/>
          </w:tcPr>
          <w:p w:rsidR="00101E91" w:rsidRPr="00B93CA0" w:rsidRDefault="00101E91">
            <w:pPr>
              <w:pStyle w:val="Header"/>
              <w:rPr>
                <w:bCs w:val="0"/>
              </w:rPr>
            </w:pPr>
            <w:r w:rsidRPr="00B93CA0">
              <w:rPr>
                <w:bCs w:val="0"/>
              </w:rPr>
              <w:t>Company</w:t>
            </w:r>
          </w:p>
        </w:tc>
        <w:tc>
          <w:tcPr>
            <w:tcW w:w="7560" w:type="dxa"/>
            <w:vAlign w:val="center"/>
          </w:tcPr>
          <w:p w:rsidR="00101E91" w:rsidRDefault="00101E91" w:rsidP="00101E91">
            <w:pPr>
              <w:pStyle w:val="NormalArial"/>
            </w:pPr>
            <w:r>
              <w:t>ERCOT</w:t>
            </w:r>
          </w:p>
        </w:tc>
      </w:tr>
      <w:tr w:rsidR="00101E91" w:rsidTr="00BC2D06">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101E91" w:rsidRPr="00B93CA0" w:rsidRDefault="00101E91">
            <w:pPr>
              <w:pStyle w:val="Header"/>
              <w:rPr>
                <w:bCs w:val="0"/>
              </w:rPr>
            </w:pPr>
            <w:r w:rsidRPr="00B93CA0">
              <w:rPr>
                <w:bCs w:val="0"/>
              </w:rPr>
              <w:t>Phone Number</w:t>
            </w:r>
          </w:p>
        </w:tc>
        <w:tc>
          <w:tcPr>
            <w:tcW w:w="7560" w:type="dxa"/>
            <w:tcBorders>
              <w:bottom w:val="single" w:sz="4" w:space="0" w:color="auto"/>
            </w:tcBorders>
            <w:vAlign w:val="center"/>
          </w:tcPr>
          <w:p w:rsidR="00101E91" w:rsidRDefault="00101E91" w:rsidP="00101E91">
            <w:pPr>
              <w:pStyle w:val="NormalArial"/>
            </w:pPr>
            <w:r>
              <w:t>512-248-6455 / 512-248-7029</w:t>
            </w:r>
          </w:p>
        </w:tc>
      </w:tr>
      <w:tr w:rsidR="00101E91" w:rsidTr="00BC2D06">
        <w:tblPrEx>
          <w:tblCellMar>
            <w:top w:w="0" w:type="dxa"/>
            <w:bottom w:w="0" w:type="dxa"/>
          </w:tblCellMar>
        </w:tblPrEx>
        <w:trPr>
          <w:trHeight w:val="432"/>
        </w:trPr>
        <w:tc>
          <w:tcPr>
            <w:tcW w:w="2880" w:type="dxa"/>
            <w:shd w:val="clear" w:color="auto" w:fill="FFFFFF"/>
            <w:vAlign w:val="center"/>
          </w:tcPr>
          <w:p w:rsidR="00101E91" w:rsidRPr="00B93CA0" w:rsidRDefault="00101E91">
            <w:pPr>
              <w:pStyle w:val="Header"/>
              <w:rPr>
                <w:bCs w:val="0"/>
              </w:rPr>
            </w:pPr>
            <w:r>
              <w:rPr>
                <w:bCs w:val="0"/>
              </w:rPr>
              <w:t>Cell</w:t>
            </w:r>
            <w:r w:rsidRPr="00B93CA0">
              <w:rPr>
                <w:bCs w:val="0"/>
              </w:rPr>
              <w:t xml:space="preserve"> Number</w:t>
            </w:r>
          </w:p>
        </w:tc>
        <w:tc>
          <w:tcPr>
            <w:tcW w:w="7560" w:type="dxa"/>
            <w:vAlign w:val="center"/>
          </w:tcPr>
          <w:p w:rsidR="00101E91" w:rsidRDefault="00101E91" w:rsidP="00101E91">
            <w:pPr>
              <w:pStyle w:val="NormalArial"/>
            </w:pPr>
          </w:p>
        </w:tc>
      </w:tr>
      <w:tr w:rsidR="00101E91" w:rsidTr="00BC2D06">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101E91" w:rsidRPr="00B93CA0" w:rsidRDefault="00101E91">
            <w:pPr>
              <w:pStyle w:val="Header"/>
              <w:rPr>
                <w:bCs w:val="0"/>
              </w:rPr>
            </w:pPr>
            <w:r>
              <w:rPr>
                <w:bCs w:val="0"/>
              </w:rPr>
              <w:t>Market Segment</w:t>
            </w:r>
          </w:p>
        </w:tc>
        <w:tc>
          <w:tcPr>
            <w:tcW w:w="7560" w:type="dxa"/>
            <w:tcBorders>
              <w:bottom w:val="single" w:sz="4" w:space="0" w:color="auto"/>
            </w:tcBorders>
            <w:vAlign w:val="center"/>
          </w:tcPr>
          <w:p w:rsidR="00101E91" w:rsidRDefault="00101E91" w:rsidP="00101E91">
            <w:pPr>
              <w:pStyle w:val="NormalArial"/>
            </w:pPr>
            <w:r>
              <w:t xml:space="preserve">N/A </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560"/>
      </w:tblGrid>
      <w:tr w:rsidR="009A3772" w:rsidRPr="00D56D61" w:rsidTr="00A05F04">
        <w:trPr>
          <w:trHeight w:val="432"/>
        </w:trPr>
        <w:tc>
          <w:tcPr>
            <w:tcW w:w="10440" w:type="dxa"/>
            <w:gridSpan w:val="2"/>
            <w:vAlign w:val="center"/>
          </w:tcPr>
          <w:p w:rsidR="009A3772" w:rsidRPr="00A05F04" w:rsidRDefault="009A3772" w:rsidP="00A05F04">
            <w:pPr>
              <w:pStyle w:val="NormalArial"/>
              <w:jc w:val="center"/>
              <w:rPr>
                <w:b/>
              </w:rPr>
            </w:pPr>
            <w:r w:rsidRPr="00A05F04">
              <w:rPr>
                <w:b/>
              </w:rPr>
              <w:t>Market Rules Staff Contact</w:t>
            </w:r>
          </w:p>
        </w:tc>
      </w:tr>
      <w:tr w:rsidR="009C601F" w:rsidRPr="00D56D61" w:rsidTr="00A05F04">
        <w:trPr>
          <w:trHeight w:val="432"/>
        </w:trPr>
        <w:tc>
          <w:tcPr>
            <w:tcW w:w="2880" w:type="dxa"/>
            <w:vAlign w:val="center"/>
          </w:tcPr>
          <w:p w:rsidR="009C601F" w:rsidRPr="00A05F04" w:rsidRDefault="009C601F">
            <w:pPr>
              <w:pStyle w:val="NormalArial"/>
              <w:rPr>
                <w:b/>
              </w:rPr>
            </w:pPr>
            <w:r w:rsidRPr="00A05F04">
              <w:rPr>
                <w:b/>
              </w:rPr>
              <w:t>Name</w:t>
            </w:r>
          </w:p>
        </w:tc>
        <w:tc>
          <w:tcPr>
            <w:tcW w:w="7560" w:type="dxa"/>
            <w:vAlign w:val="center"/>
          </w:tcPr>
          <w:p w:rsidR="009C601F" w:rsidRPr="00D56D61" w:rsidRDefault="009C601F" w:rsidP="009C601F">
            <w:pPr>
              <w:pStyle w:val="NormalArial"/>
            </w:pPr>
            <w:r>
              <w:t xml:space="preserve">Sonja B. Mingo </w:t>
            </w:r>
          </w:p>
        </w:tc>
      </w:tr>
      <w:tr w:rsidR="009C601F" w:rsidRPr="00D56D61" w:rsidTr="00A05F04">
        <w:trPr>
          <w:trHeight w:val="432"/>
        </w:trPr>
        <w:tc>
          <w:tcPr>
            <w:tcW w:w="2880" w:type="dxa"/>
            <w:vAlign w:val="center"/>
          </w:tcPr>
          <w:p w:rsidR="009C601F" w:rsidRPr="00A05F04" w:rsidRDefault="009C601F">
            <w:pPr>
              <w:pStyle w:val="NormalArial"/>
              <w:rPr>
                <w:b/>
              </w:rPr>
            </w:pPr>
            <w:r w:rsidRPr="00A05F04">
              <w:rPr>
                <w:b/>
              </w:rPr>
              <w:t>E-Mail Address</w:t>
            </w:r>
          </w:p>
        </w:tc>
        <w:tc>
          <w:tcPr>
            <w:tcW w:w="7560" w:type="dxa"/>
            <w:vAlign w:val="center"/>
          </w:tcPr>
          <w:p w:rsidR="009C601F" w:rsidRPr="00D56D61" w:rsidRDefault="009C601F" w:rsidP="009C601F">
            <w:pPr>
              <w:pStyle w:val="NormalArial"/>
            </w:pPr>
            <w:hyperlink r:id="rId9" w:history="1">
              <w:r w:rsidRPr="002B0CAA">
                <w:rPr>
                  <w:rStyle w:val="Hyperlink"/>
                </w:rPr>
                <w:t>smingo@ercot.com</w:t>
              </w:r>
            </w:hyperlink>
            <w:r>
              <w:t xml:space="preserve"> </w:t>
            </w:r>
          </w:p>
        </w:tc>
      </w:tr>
      <w:tr w:rsidR="009C601F" w:rsidRPr="005370B5" w:rsidTr="00A05F04">
        <w:trPr>
          <w:trHeight w:val="432"/>
        </w:trPr>
        <w:tc>
          <w:tcPr>
            <w:tcW w:w="2880" w:type="dxa"/>
            <w:vAlign w:val="center"/>
          </w:tcPr>
          <w:p w:rsidR="009C601F" w:rsidRPr="00A05F04" w:rsidRDefault="009C601F">
            <w:pPr>
              <w:pStyle w:val="NormalArial"/>
              <w:rPr>
                <w:b/>
              </w:rPr>
            </w:pPr>
            <w:r w:rsidRPr="00A05F04">
              <w:rPr>
                <w:b/>
              </w:rPr>
              <w:t>Phone Number</w:t>
            </w:r>
          </w:p>
        </w:tc>
        <w:tc>
          <w:tcPr>
            <w:tcW w:w="7560" w:type="dxa"/>
            <w:vAlign w:val="center"/>
          </w:tcPr>
          <w:p w:rsidR="009C601F" w:rsidRDefault="009C601F" w:rsidP="009C601F">
            <w:pPr>
              <w:pStyle w:val="NormalArial"/>
            </w:pPr>
            <w:r>
              <w:t>512-248-6463</w:t>
            </w:r>
          </w:p>
        </w:tc>
      </w:tr>
    </w:tbl>
    <w:p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C062E5" w:rsidTr="00C062E5">
        <w:tblPrEx>
          <w:tblCellMar>
            <w:top w:w="0" w:type="dxa"/>
            <w:bottom w:w="0" w:type="dxa"/>
          </w:tblCellMar>
        </w:tblPrEx>
        <w:tc>
          <w:tcPr>
            <w:tcW w:w="10440" w:type="dxa"/>
            <w:gridSpan w:val="2"/>
            <w:shd w:val="clear" w:color="auto" w:fill="FFFFFF"/>
            <w:vAlign w:val="center"/>
          </w:tcPr>
          <w:p w:rsidR="00C062E5" w:rsidRPr="00895AB9" w:rsidRDefault="00C062E5" w:rsidP="00C062E5">
            <w:pPr>
              <w:pStyle w:val="NormalArial"/>
              <w:jc w:val="center"/>
              <w:rPr>
                <w:b/>
              </w:rPr>
            </w:pPr>
            <w:r w:rsidRPr="00895AB9">
              <w:rPr>
                <w:b/>
              </w:rPr>
              <w:t xml:space="preserve">Comments </w:t>
            </w:r>
            <w:r>
              <w:rPr>
                <w:b/>
              </w:rPr>
              <w:t>Received</w:t>
            </w:r>
          </w:p>
        </w:tc>
      </w:tr>
      <w:tr w:rsidR="00C062E5" w:rsidTr="00C062E5">
        <w:tblPrEx>
          <w:tblCellMar>
            <w:top w:w="0" w:type="dxa"/>
            <w:bottom w:w="0" w:type="dxa"/>
          </w:tblCellMar>
        </w:tblPrEx>
        <w:tc>
          <w:tcPr>
            <w:tcW w:w="2880" w:type="dxa"/>
            <w:shd w:val="clear" w:color="auto" w:fill="FFFFFF"/>
            <w:vAlign w:val="center"/>
          </w:tcPr>
          <w:p w:rsidR="00C062E5" w:rsidRPr="00895AB9" w:rsidRDefault="00C062E5" w:rsidP="00C062E5">
            <w:pPr>
              <w:pStyle w:val="Header"/>
              <w:rPr>
                <w:bCs w:val="0"/>
              </w:rPr>
            </w:pPr>
            <w:r w:rsidRPr="00895AB9">
              <w:rPr>
                <w:bCs w:val="0"/>
              </w:rPr>
              <w:t>Comment Author</w:t>
            </w:r>
          </w:p>
        </w:tc>
        <w:tc>
          <w:tcPr>
            <w:tcW w:w="7560" w:type="dxa"/>
            <w:vAlign w:val="center"/>
          </w:tcPr>
          <w:p w:rsidR="00C062E5" w:rsidRPr="00895AB9" w:rsidRDefault="00C062E5" w:rsidP="00C062E5">
            <w:pPr>
              <w:pStyle w:val="NormalArial"/>
              <w:rPr>
                <w:b/>
              </w:rPr>
            </w:pPr>
            <w:r w:rsidRPr="00895AB9">
              <w:rPr>
                <w:b/>
              </w:rPr>
              <w:t xml:space="preserve">Comment </w:t>
            </w:r>
            <w:r>
              <w:rPr>
                <w:b/>
              </w:rPr>
              <w:t>Summary</w:t>
            </w:r>
          </w:p>
        </w:tc>
      </w:tr>
      <w:tr w:rsidR="00CD072A" w:rsidTr="00C062E5">
        <w:tblPrEx>
          <w:tblCellMar>
            <w:top w:w="0" w:type="dxa"/>
            <w:bottom w:w="0" w:type="dxa"/>
          </w:tblCellMar>
        </w:tblPrEx>
        <w:tc>
          <w:tcPr>
            <w:tcW w:w="2880" w:type="dxa"/>
            <w:shd w:val="clear" w:color="auto" w:fill="FFFFFF"/>
            <w:vAlign w:val="center"/>
          </w:tcPr>
          <w:p w:rsidR="00CD072A" w:rsidRDefault="00101E91" w:rsidP="000A7FDB">
            <w:pPr>
              <w:pStyle w:val="Header"/>
              <w:rPr>
                <w:b w:val="0"/>
                <w:bCs w:val="0"/>
              </w:rPr>
            </w:pPr>
            <w:r>
              <w:rPr>
                <w:b w:val="0"/>
                <w:bCs w:val="0"/>
              </w:rPr>
              <w:t>SEWG 041811</w:t>
            </w:r>
          </w:p>
        </w:tc>
        <w:tc>
          <w:tcPr>
            <w:tcW w:w="7560" w:type="dxa"/>
            <w:vAlign w:val="center"/>
          </w:tcPr>
          <w:p w:rsidR="00CD072A" w:rsidRDefault="00101E91" w:rsidP="00026616">
            <w:pPr>
              <w:pStyle w:val="NormalArial"/>
            </w:pPr>
            <w:r>
              <w:t xml:space="preserve">Returned the concept of </w:t>
            </w:r>
            <w:r w:rsidR="00026616">
              <w:t>NPRR347</w:t>
            </w:r>
            <w:r>
              <w:t xml:space="preserve"> back to the Market Participant level rather than the Counter</w:t>
            </w:r>
            <w:r w:rsidR="00026616">
              <w:t>-</w:t>
            </w:r>
            <w:r>
              <w:t>Party level</w:t>
            </w:r>
            <w:r w:rsidR="00026616">
              <w:t xml:space="preserve"> due to confidentiality concerns</w:t>
            </w:r>
            <w:r>
              <w:t>.</w:t>
            </w:r>
          </w:p>
        </w:tc>
      </w:tr>
    </w:tbl>
    <w:p w:rsidR="00C062E5" w:rsidRDefault="00C062E5">
      <w:pPr>
        <w:tabs>
          <w:tab w:val="num" w:pos="0"/>
        </w:tabs>
        <w:rPr>
          <w:rFonts w:ascii="Arial" w:hAnsi="Arial" w:cs="Arial"/>
        </w:rPr>
      </w:pPr>
    </w:p>
    <w:p w:rsidR="009971EC" w:rsidRDefault="009971EC" w:rsidP="009971E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9971EC" w:rsidTr="001C6E4E">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9971EC" w:rsidRDefault="009971EC" w:rsidP="001C6E4E">
            <w:pPr>
              <w:pStyle w:val="Header"/>
              <w:jc w:val="center"/>
            </w:pPr>
            <w:r>
              <w:br w:type="page"/>
              <w:t>Comments</w:t>
            </w:r>
          </w:p>
        </w:tc>
      </w:tr>
    </w:tbl>
    <w:p w:rsidR="009971EC" w:rsidRDefault="009971EC" w:rsidP="009971EC">
      <w:pPr>
        <w:pStyle w:val="NormalArial"/>
      </w:pPr>
    </w:p>
    <w:p w:rsidR="009971EC" w:rsidRPr="004A54A6" w:rsidRDefault="009971EC" w:rsidP="009971EC">
      <w:pPr>
        <w:rPr>
          <w:rFonts w:ascii="Arial" w:hAnsi="Arial" w:cs="Arial"/>
        </w:rPr>
      </w:pPr>
      <w:r w:rsidRPr="004A54A6">
        <w:rPr>
          <w:rFonts w:ascii="Arial" w:hAnsi="Arial" w:cs="Arial"/>
        </w:rPr>
        <w:t xml:space="preserve">Please </w:t>
      </w:r>
      <w:r>
        <w:rPr>
          <w:rFonts w:ascii="Arial" w:hAnsi="Arial" w:cs="Arial"/>
        </w:rPr>
        <w:t xml:space="preserve">also </w:t>
      </w:r>
      <w:r w:rsidRPr="004A54A6">
        <w:rPr>
          <w:rFonts w:ascii="Arial" w:hAnsi="Arial" w:cs="Arial"/>
        </w:rPr>
        <w:t>note that the following NPRR</w:t>
      </w:r>
      <w:r>
        <w:rPr>
          <w:rFonts w:ascii="Arial" w:hAnsi="Arial" w:cs="Arial"/>
        </w:rPr>
        <w:t>s</w:t>
      </w:r>
      <w:r w:rsidRPr="004A54A6">
        <w:rPr>
          <w:rFonts w:ascii="Arial" w:hAnsi="Arial" w:cs="Arial"/>
        </w:rPr>
        <w:t xml:space="preserve"> also propose revisions to the following section</w:t>
      </w:r>
      <w:r>
        <w:rPr>
          <w:rFonts w:ascii="Arial" w:hAnsi="Arial" w:cs="Arial"/>
        </w:rPr>
        <w:t>s</w:t>
      </w:r>
      <w:r w:rsidRPr="004A54A6">
        <w:rPr>
          <w:rFonts w:ascii="Arial" w:hAnsi="Arial" w:cs="Arial"/>
        </w:rPr>
        <w:t xml:space="preserve"> </w:t>
      </w:r>
      <w:r>
        <w:rPr>
          <w:rFonts w:ascii="Arial" w:hAnsi="Arial" w:cs="Arial"/>
        </w:rPr>
        <w:t>that are</w:t>
      </w:r>
      <w:r w:rsidRPr="004A54A6">
        <w:rPr>
          <w:rFonts w:ascii="Arial" w:hAnsi="Arial" w:cs="Arial"/>
        </w:rPr>
        <w:t xml:space="preserve"> included within this NPRR:</w:t>
      </w:r>
    </w:p>
    <w:p w:rsidR="009971EC" w:rsidRPr="004A54A6" w:rsidRDefault="009971EC" w:rsidP="009971EC">
      <w:pPr>
        <w:rPr>
          <w:rFonts w:ascii="Arial" w:hAnsi="Arial" w:cs="Arial"/>
        </w:rPr>
      </w:pPr>
    </w:p>
    <w:p w:rsidR="009971EC" w:rsidRDefault="009971EC" w:rsidP="009971EC">
      <w:pPr>
        <w:numPr>
          <w:ilvl w:val="0"/>
          <w:numId w:val="26"/>
        </w:numPr>
        <w:ind w:hanging="630"/>
        <w:rPr>
          <w:rFonts w:ascii="Arial" w:hAnsi="Arial" w:cs="Arial"/>
        </w:rPr>
      </w:pPr>
      <w:r>
        <w:rPr>
          <w:rFonts w:ascii="Arial" w:hAnsi="Arial" w:cs="Arial"/>
        </w:rPr>
        <w:t xml:space="preserve">NPRR300, </w:t>
      </w:r>
      <w:r w:rsidRPr="009971EC">
        <w:rPr>
          <w:rFonts w:ascii="Arial" w:hAnsi="Arial" w:cs="Arial"/>
        </w:rPr>
        <w:t>Municipal Owned Utility Addition to Determination of Total Potential Exposure for a Counter-Party</w:t>
      </w:r>
    </w:p>
    <w:p w:rsidR="009971EC" w:rsidRDefault="009971EC" w:rsidP="009971EC">
      <w:pPr>
        <w:numPr>
          <w:ilvl w:val="1"/>
          <w:numId w:val="26"/>
        </w:numPr>
        <w:ind w:hanging="720"/>
        <w:rPr>
          <w:rFonts w:ascii="Arial" w:hAnsi="Arial" w:cs="Arial"/>
        </w:rPr>
      </w:pPr>
      <w:r>
        <w:rPr>
          <w:rFonts w:ascii="Arial" w:hAnsi="Arial" w:cs="Arial"/>
        </w:rPr>
        <w:t>Section 16.11.4.1</w:t>
      </w:r>
    </w:p>
    <w:p w:rsidR="009971EC" w:rsidRDefault="009971EC" w:rsidP="009971EC">
      <w:pPr>
        <w:ind w:left="1440"/>
        <w:rPr>
          <w:rFonts w:ascii="Arial" w:hAnsi="Arial" w:cs="Arial"/>
        </w:rPr>
      </w:pPr>
    </w:p>
    <w:p w:rsidR="009971EC" w:rsidRDefault="009971EC" w:rsidP="009971EC">
      <w:pPr>
        <w:numPr>
          <w:ilvl w:val="0"/>
          <w:numId w:val="26"/>
        </w:numPr>
        <w:ind w:hanging="630"/>
        <w:rPr>
          <w:rFonts w:ascii="Arial" w:hAnsi="Arial" w:cs="Arial"/>
        </w:rPr>
      </w:pPr>
      <w:r>
        <w:rPr>
          <w:rFonts w:ascii="Arial" w:hAnsi="Arial" w:cs="Arial"/>
        </w:rPr>
        <w:t xml:space="preserve">NPRR338, </w:t>
      </w:r>
      <w:r w:rsidRPr="009971EC">
        <w:rPr>
          <w:rFonts w:ascii="Arial" w:hAnsi="Arial" w:cs="Arial"/>
        </w:rPr>
        <w:t>Modifications to Support Revenue Neutrality</w:t>
      </w:r>
    </w:p>
    <w:p w:rsidR="009971EC" w:rsidRDefault="009971EC" w:rsidP="009971EC">
      <w:pPr>
        <w:numPr>
          <w:ilvl w:val="1"/>
          <w:numId w:val="26"/>
        </w:numPr>
        <w:ind w:hanging="720"/>
        <w:rPr>
          <w:rFonts w:ascii="Arial" w:hAnsi="Arial" w:cs="Arial"/>
        </w:rPr>
      </w:pPr>
      <w:r>
        <w:rPr>
          <w:rFonts w:ascii="Arial" w:hAnsi="Arial" w:cs="Arial"/>
        </w:rPr>
        <w:t>Section 9.19</w:t>
      </w:r>
    </w:p>
    <w:p w:rsidR="009971EC" w:rsidRDefault="009971EC" w:rsidP="009971EC">
      <w:pPr>
        <w:ind w:left="1440"/>
        <w:rPr>
          <w:rFonts w:ascii="Arial" w:hAnsi="Arial" w:cs="Arial"/>
        </w:rPr>
      </w:pPr>
    </w:p>
    <w:p w:rsidR="009971EC" w:rsidRDefault="009971EC" w:rsidP="009971EC">
      <w:pPr>
        <w:numPr>
          <w:ilvl w:val="0"/>
          <w:numId w:val="26"/>
        </w:numPr>
        <w:ind w:hanging="630"/>
        <w:rPr>
          <w:rFonts w:ascii="Arial" w:hAnsi="Arial" w:cs="Arial"/>
        </w:rPr>
      </w:pPr>
      <w:r>
        <w:rPr>
          <w:rFonts w:ascii="Arial" w:hAnsi="Arial" w:cs="Arial"/>
        </w:rPr>
        <w:t xml:space="preserve">NPRR320, </w:t>
      </w:r>
      <w:r w:rsidRPr="009971EC">
        <w:rPr>
          <w:rFonts w:ascii="Arial" w:hAnsi="Arial" w:cs="Arial"/>
        </w:rPr>
        <w:t>Minimum PTP Option Bid and Settlement (formerly “Minimum PTP Option Bids and CRR Auction Fees”)</w:t>
      </w:r>
    </w:p>
    <w:p w:rsidR="009971EC" w:rsidRDefault="009971EC" w:rsidP="009971EC">
      <w:pPr>
        <w:numPr>
          <w:ilvl w:val="1"/>
          <w:numId w:val="26"/>
        </w:numPr>
        <w:ind w:hanging="720"/>
      </w:pPr>
      <w:r>
        <w:rPr>
          <w:rFonts w:ascii="Arial" w:hAnsi="Arial" w:cs="Arial"/>
        </w:rPr>
        <w:t>Section 9.8</w:t>
      </w:r>
    </w:p>
    <w:p w:rsidR="009971EC" w:rsidRPr="00F573FE" w:rsidRDefault="009971EC" w:rsidP="009971EC">
      <w:pPr>
        <w:pStyle w:val="NormalArial"/>
        <w:rPr>
          <w:rFonts w:cs="Arial"/>
        </w:rPr>
      </w:pPr>
    </w:p>
    <w:p w:rsidR="00026616" w:rsidRPr="00D56D61" w:rsidRDefault="0002661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9A3772">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9A3772" w:rsidRDefault="009A3772" w:rsidP="00BC2D06"/>
    <w:p w:rsidR="00470790" w:rsidDel="00B4228B" w:rsidRDefault="00470790" w:rsidP="00470790">
      <w:pPr>
        <w:rPr>
          <w:del w:id="0" w:author="ERCOT" w:date="2011-03-29T08:02:00Z"/>
          <w:rFonts w:ascii="Arial" w:hAnsi="Arial" w:cs="Arial"/>
          <w:b/>
          <w:color w:val="FF0000"/>
        </w:rPr>
      </w:pPr>
    </w:p>
    <w:p w:rsidR="00470790" w:rsidRDefault="00470790" w:rsidP="00470790">
      <w:pPr>
        <w:pStyle w:val="H2"/>
      </w:pPr>
      <w:bookmarkStart w:id="1" w:name="_Toc265495961"/>
      <w:r>
        <w:t>2.1 DEFINITIONS</w:t>
      </w:r>
    </w:p>
    <w:p w:rsidR="00470790" w:rsidRDefault="00470790" w:rsidP="00470790">
      <w:pPr>
        <w:pStyle w:val="H2"/>
      </w:pPr>
      <w:r>
        <w:t>Invoice Recipient</w:t>
      </w:r>
    </w:p>
    <w:p w:rsidR="00470790" w:rsidRDefault="00470790" w:rsidP="00470790">
      <w:pPr>
        <w:spacing w:after="240"/>
      </w:pPr>
      <w:r>
        <w:t xml:space="preserve">A </w:t>
      </w:r>
      <w:del w:id="2" w:author="ERCOT" w:date="2011-03-29T08:02:00Z">
        <w:r w:rsidDel="00B4228B">
          <w:delText>Market Participant</w:delText>
        </w:r>
      </w:del>
      <w:ins w:id="3" w:author="ERCOT" w:date="2011-03-29T08:02:00Z">
        <w:del w:id="4" w:author="SEWG_0418" w:date="2011-04-18T11:51:00Z">
          <w:r w:rsidDel="00124FF2">
            <w:delText>Counter-Party</w:delText>
          </w:r>
        </w:del>
      </w:ins>
      <w:ins w:id="5" w:author="SEWG_0418" w:date="2011-04-18T11:51:00Z">
        <w:r>
          <w:t>Market Participant</w:t>
        </w:r>
      </w:ins>
      <w:r>
        <w:t xml:space="preserve"> that receives an Invoice from ERCOT.</w:t>
      </w:r>
    </w:p>
    <w:p w:rsidR="00470790" w:rsidRPr="00B4228B" w:rsidRDefault="00470790" w:rsidP="00470790">
      <w:pPr>
        <w:pStyle w:val="H3"/>
      </w:pPr>
    </w:p>
    <w:p w:rsidR="00470790" w:rsidRDefault="00470790" w:rsidP="00470790">
      <w:pPr>
        <w:pStyle w:val="H3"/>
      </w:pPr>
      <w:r>
        <w:t>9.1.2</w:t>
      </w:r>
      <w:r>
        <w:tab/>
        <w:t>Settlement Calendar</w:t>
      </w:r>
      <w:bookmarkEnd w:id="1"/>
      <w:r>
        <w:t xml:space="preserve"> </w:t>
      </w:r>
    </w:p>
    <w:p w:rsidR="00470790" w:rsidRDefault="00470790" w:rsidP="00470790">
      <w:pPr>
        <w:pStyle w:val="BodyTextNumbered"/>
      </w:pPr>
      <w:r>
        <w:t>(1)</w:t>
      </w:r>
      <w:r>
        <w:tab/>
        <w:t xml:space="preserve">ERCOT shall post and maintain on the Market Information System (MIS) Public Area a </w:t>
      </w:r>
      <w:del w:id="6" w:author="ERCOT" w:date="2011-04-06T14:15:00Z">
        <w:r w:rsidDel="00013576">
          <w:delText>“</w:delText>
        </w:r>
      </w:del>
      <w:r>
        <w:t>Settlement Calendar</w:t>
      </w:r>
      <w:del w:id="7" w:author="ERCOT" w:date="2011-04-06T14:15:00Z">
        <w:r w:rsidDel="00013576">
          <w:delText>”</w:delText>
        </w:r>
      </w:del>
      <w:r>
        <w:t xml:space="preserve"> to denote, for each Operating Day, when:</w:t>
      </w:r>
    </w:p>
    <w:p w:rsidR="00470790" w:rsidRDefault="00470790" w:rsidP="00470790">
      <w:pPr>
        <w:pStyle w:val="List"/>
        <w:ind w:left="1440"/>
        <w:pPrChange w:id="8" w:author="ERCOT" w:date="2011-04-06T14:12:00Z">
          <w:pPr>
            <w:pStyle w:val="List"/>
          </w:pPr>
        </w:pPrChange>
      </w:pPr>
      <w:r>
        <w:t>(a)</w:t>
      </w:r>
      <w:r>
        <w:tab/>
        <w:t xml:space="preserve">Each scheduled Settlement Statement for the DAM will be issued under Section 9.2.4, DAM Statement, and Section 9.2.5, DAM Resettlement Statement; </w:t>
      </w:r>
    </w:p>
    <w:p w:rsidR="00470790" w:rsidRDefault="00470790" w:rsidP="00470790">
      <w:pPr>
        <w:pStyle w:val="List"/>
        <w:ind w:left="1440"/>
        <w:rPr>
          <w:del w:id="9" w:author="ERCOT" w:date="2011-03-04T17:31:00Z"/>
        </w:rPr>
        <w:pPrChange w:id="10" w:author="ERCOT" w:date="2011-04-06T14:12:00Z">
          <w:pPr>
            <w:pStyle w:val="List"/>
          </w:pPr>
        </w:pPrChange>
      </w:pPr>
      <w:del w:id="11" w:author="ERCOT" w:date="2011-03-04T17:31:00Z">
        <w:r w:rsidDel="00BA718B">
          <w:delText>(b)</w:delText>
        </w:r>
        <w:r w:rsidDel="00BA718B">
          <w:tab/>
          <w:delText xml:space="preserve">Each Settlement Invoice for the DAM will be issued under Section 9.3, Settlement Invoices for the DAM; </w:delText>
        </w:r>
      </w:del>
    </w:p>
    <w:p w:rsidR="00470790" w:rsidRDefault="00470790" w:rsidP="00470790">
      <w:pPr>
        <w:pStyle w:val="List"/>
        <w:ind w:left="1440"/>
        <w:rPr>
          <w:del w:id="12" w:author="ERCOT" w:date="2011-03-04T17:31:00Z"/>
        </w:rPr>
        <w:pPrChange w:id="13" w:author="ERCOT" w:date="2011-04-06T14:12:00Z">
          <w:pPr>
            <w:pStyle w:val="List"/>
          </w:pPr>
        </w:pPrChange>
      </w:pPr>
      <w:del w:id="14" w:author="ERCOT" w:date="2011-03-04T17:31:00Z">
        <w:r w:rsidDel="00BA718B">
          <w:delText>(c)</w:delText>
        </w:r>
        <w:r w:rsidDel="00BA718B">
          <w:tab/>
          <w:delText xml:space="preserve">Payments for the DAM are due under Section 9.4, Payment Process for the DAM; </w:delText>
        </w:r>
      </w:del>
    </w:p>
    <w:p w:rsidR="00470790" w:rsidRDefault="00470790" w:rsidP="00470790">
      <w:pPr>
        <w:pStyle w:val="List"/>
        <w:ind w:left="1440"/>
        <w:rPr>
          <w:del w:id="15" w:author="ERCOT" w:date="2011-01-24T11:05:00Z"/>
        </w:rPr>
        <w:pPrChange w:id="16" w:author="ERCOT" w:date="2011-04-06T14:12:00Z">
          <w:pPr>
            <w:pStyle w:val="List"/>
          </w:pPr>
        </w:pPrChange>
      </w:pPr>
      <w:del w:id="17" w:author="ERCOT" w:date="2011-01-24T11:05:00Z">
        <w:r w:rsidDel="0093642B">
          <w:delText>(d)</w:delText>
        </w:r>
        <w:r w:rsidDel="0093642B">
          <w:tab/>
          <w:delText xml:space="preserve">Each Late Fee Invoice for the DAM will be issued under Section 9.4.5, Late Fees and Late Fee Invoices for the DAM; </w:delText>
        </w:r>
      </w:del>
    </w:p>
    <w:p w:rsidR="00470790" w:rsidRDefault="00470790" w:rsidP="00470790">
      <w:pPr>
        <w:pStyle w:val="List"/>
        <w:ind w:left="1440"/>
        <w:pPrChange w:id="18" w:author="ERCOT" w:date="2011-04-06T14:12:00Z">
          <w:pPr>
            <w:pStyle w:val="List"/>
          </w:pPr>
        </w:pPrChange>
      </w:pPr>
      <w:del w:id="19" w:author="ERCOT" w:date="2011-01-24T11:05:00Z">
        <w:r w:rsidDel="0093642B">
          <w:delText>(e)</w:delText>
        </w:r>
        <w:r w:rsidDel="0093642B">
          <w:tab/>
          <w:delText>Payments for DAM Late Fee Invoices are due under Section 9.4.5;</w:delText>
        </w:r>
      </w:del>
      <w:r>
        <w:t xml:space="preserve"> </w:t>
      </w:r>
    </w:p>
    <w:p w:rsidR="00470790" w:rsidRDefault="00470790" w:rsidP="00470790">
      <w:pPr>
        <w:pStyle w:val="List"/>
        <w:ind w:left="1440"/>
        <w:pPrChange w:id="20" w:author="ERCOT" w:date="2011-04-06T14:12:00Z">
          <w:pPr>
            <w:pStyle w:val="List"/>
          </w:pPr>
        </w:pPrChange>
      </w:pPr>
      <w:r>
        <w:t>(</w:t>
      </w:r>
      <w:ins w:id="21" w:author="ERCOT" w:date="2011-03-07T14:57:00Z">
        <w:r>
          <w:t>b</w:t>
        </w:r>
      </w:ins>
      <w:del w:id="22" w:author="ERCOT" w:date="2011-01-24T11:05:00Z">
        <w:r w:rsidDel="0093642B">
          <w:delText>f</w:delText>
        </w:r>
      </w:del>
      <w:r>
        <w:t>)</w:t>
      </w:r>
      <w:r>
        <w:tab/>
        <w:t xml:space="preserve">Each scheduled Settlement Statement for the Real-Time Market (RTM) will be issued under Section 9.5.4, RTM Initial Statement, Section 9.5.5, RTM Final Statement, Section 9.5.6, RTM Resettlement Statement, and Section 9.5.8, RTM True-Up Statement; </w:t>
      </w:r>
    </w:p>
    <w:p w:rsidR="00470790" w:rsidRDefault="00470790" w:rsidP="00470790">
      <w:pPr>
        <w:pStyle w:val="List"/>
        <w:ind w:left="1440"/>
        <w:pPrChange w:id="23" w:author="ERCOT" w:date="2011-04-06T14:12:00Z">
          <w:pPr>
            <w:pStyle w:val="List"/>
          </w:pPr>
        </w:pPrChange>
      </w:pPr>
      <w:r>
        <w:t>(</w:t>
      </w:r>
      <w:ins w:id="24" w:author="ERCOT" w:date="2011-03-07T14:57:00Z">
        <w:r>
          <w:t>c</w:t>
        </w:r>
      </w:ins>
      <w:del w:id="25" w:author="ERCOT" w:date="2011-01-24T11:05:00Z">
        <w:r w:rsidDel="0093642B">
          <w:delText>g</w:delText>
        </w:r>
      </w:del>
      <w:r>
        <w:t>)</w:t>
      </w:r>
      <w:r>
        <w:tab/>
        <w:t xml:space="preserve">Each Settlement Invoice </w:t>
      </w:r>
      <w:del w:id="26" w:author="ERCOT" w:date="2011-03-04T17:30:00Z">
        <w:r w:rsidDel="00BA718B">
          <w:delText xml:space="preserve">for the RTM </w:delText>
        </w:r>
      </w:del>
      <w:r>
        <w:t xml:space="preserve">will be issued under Section 9.6, Settlement Invoices for the </w:t>
      </w:r>
      <w:ins w:id="27" w:author="ERCOT" w:date="2011-03-24T16:22:00Z">
        <w:r>
          <w:t>D</w:t>
        </w:r>
      </w:ins>
      <w:ins w:id="28" w:author="ERCOT" w:date="2011-04-06T16:35:00Z">
        <w:r>
          <w:t>ay-</w:t>
        </w:r>
      </w:ins>
      <w:ins w:id="29" w:author="ERCOT" w:date="2011-03-24T16:22:00Z">
        <w:r>
          <w:t>A</w:t>
        </w:r>
      </w:ins>
      <w:ins w:id="30" w:author="ERCOT" w:date="2011-04-06T16:35:00Z">
        <w:r>
          <w:t>head</w:t>
        </w:r>
      </w:ins>
      <w:ins w:id="31" w:author="ERCOT" w:date="2011-04-06T14:18:00Z">
        <w:r>
          <w:t xml:space="preserve"> </w:t>
        </w:r>
      </w:ins>
      <w:ins w:id="32" w:author="ERCOT" w:date="2011-03-24T16:22:00Z">
        <w:r>
          <w:t>M</w:t>
        </w:r>
      </w:ins>
      <w:ins w:id="33" w:author="ERCOT" w:date="2011-04-06T16:35:00Z">
        <w:r>
          <w:t>arket</w:t>
        </w:r>
      </w:ins>
      <w:ins w:id="34" w:author="ERCOT" w:date="2011-03-24T16:22:00Z">
        <w:r>
          <w:t xml:space="preserve"> and </w:t>
        </w:r>
      </w:ins>
      <w:r>
        <w:t xml:space="preserve">Real-Time Market; </w:t>
      </w:r>
    </w:p>
    <w:p w:rsidR="00470790" w:rsidRDefault="00470790" w:rsidP="00470790">
      <w:pPr>
        <w:pStyle w:val="List"/>
        <w:ind w:left="1440"/>
        <w:pPrChange w:id="35" w:author="ERCOT" w:date="2011-04-06T14:12:00Z">
          <w:pPr>
            <w:pStyle w:val="List"/>
          </w:pPr>
        </w:pPrChange>
      </w:pPr>
      <w:r>
        <w:t>(</w:t>
      </w:r>
      <w:ins w:id="36" w:author="ERCOT" w:date="2011-03-07T14:57:00Z">
        <w:r>
          <w:t>d</w:t>
        </w:r>
      </w:ins>
      <w:del w:id="37" w:author="ERCOT" w:date="2011-01-24T11:05:00Z">
        <w:r w:rsidDel="0093642B">
          <w:delText>h</w:delText>
        </w:r>
      </w:del>
      <w:r>
        <w:t>)</w:t>
      </w:r>
      <w:r>
        <w:tab/>
        <w:t xml:space="preserve">Payments for the </w:t>
      </w:r>
      <w:del w:id="38" w:author="ERCOT" w:date="2011-03-04T17:32:00Z">
        <w:r w:rsidDel="00BA718B">
          <w:delText xml:space="preserve">RTM </w:delText>
        </w:r>
      </w:del>
      <w:ins w:id="39" w:author="ERCOT" w:date="2011-03-04T17:32:00Z">
        <w:r>
          <w:t xml:space="preserve">Settlement Invoice </w:t>
        </w:r>
      </w:ins>
      <w:r>
        <w:t>are due under Section 9.7, Payment Process for the</w:t>
      </w:r>
      <w:ins w:id="40" w:author="ERCOT" w:date="2011-02-08T12:26:00Z">
        <w:r>
          <w:t xml:space="preserve"> Settlement Invoices</w:t>
        </w:r>
      </w:ins>
      <w:del w:id="41" w:author="ERCOT" w:date="2011-03-04T17:33:00Z">
        <w:r w:rsidDel="00BA718B">
          <w:delText xml:space="preserve"> RTM</w:delText>
        </w:r>
      </w:del>
      <w:r>
        <w:t xml:space="preserve">; </w:t>
      </w:r>
    </w:p>
    <w:p w:rsidR="00470790" w:rsidRDefault="00470790" w:rsidP="00470790">
      <w:pPr>
        <w:pStyle w:val="List"/>
        <w:ind w:left="1440"/>
        <w:pPrChange w:id="42" w:author="ERCOT" w:date="2011-04-06T14:12:00Z">
          <w:pPr>
            <w:pStyle w:val="List"/>
          </w:pPr>
        </w:pPrChange>
      </w:pPr>
      <w:r>
        <w:t>(</w:t>
      </w:r>
      <w:ins w:id="43" w:author="ERCOT" w:date="2011-03-07T14:57:00Z">
        <w:r>
          <w:t>e</w:t>
        </w:r>
      </w:ins>
      <w:del w:id="44" w:author="ERCOT" w:date="2011-01-24T11:05:00Z">
        <w:r w:rsidDel="0093642B">
          <w:delText>i</w:delText>
        </w:r>
      </w:del>
      <w:r>
        <w:t>)</w:t>
      </w:r>
      <w:r>
        <w:tab/>
        <w:t xml:space="preserve">Each Late Fee Invoice </w:t>
      </w:r>
      <w:del w:id="45" w:author="ERCOT" w:date="2011-01-24T11:06:00Z">
        <w:r w:rsidDel="0093642B">
          <w:delText xml:space="preserve">for the RTM </w:delText>
        </w:r>
      </w:del>
      <w:r>
        <w:t>will be issued under Section 9.7.4, Late Fees and Late Fee Invoices</w:t>
      </w:r>
      <w:ins w:id="46" w:author="ERCOT" w:date="2011-02-08T15:13:00Z">
        <w:r>
          <w:t xml:space="preserve"> for Settlement Invoices</w:t>
        </w:r>
      </w:ins>
      <w:del w:id="47" w:author="ERCOT" w:date="2011-01-24T11:06:00Z">
        <w:r w:rsidDel="0093642B">
          <w:delText xml:space="preserve"> for the RTM</w:delText>
        </w:r>
      </w:del>
      <w:r>
        <w:t xml:space="preserve">; </w:t>
      </w:r>
    </w:p>
    <w:p w:rsidR="00470790" w:rsidRDefault="00470790" w:rsidP="00470790">
      <w:pPr>
        <w:pStyle w:val="List"/>
        <w:ind w:left="1440"/>
        <w:pPrChange w:id="48" w:author="ERCOT" w:date="2011-04-06T14:12:00Z">
          <w:pPr>
            <w:pStyle w:val="List"/>
          </w:pPr>
        </w:pPrChange>
      </w:pPr>
      <w:r>
        <w:t>(</w:t>
      </w:r>
      <w:ins w:id="49" w:author="ERCOT" w:date="2011-03-07T14:57:00Z">
        <w:r>
          <w:t>f</w:t>
        </w:r>
      </w:ins>
      <w:del w:id="50" w:author="ERCOT" w:date="2011-01-24T11:06:00Z">
        <w:r w:rsidDel="0093642B">
          <w:delText>j</w:delText>
        </w:r>
      </w:del>
      <w:r>
        <w:t>)</w:t>
      </w:r>
      <w:r>
        <w:tab/>
        <w:t xml:space="preserve">Payments for </w:t>
      </w:r>
      <w:del w:id="51" w:author="ERCOT" w:date="2011-01-24T11:07:00Z">
        <w:r w:rsidDel="0093642B">
          <w:delText xml:space="preserve">RTM </w:delText>
        </w:r>
      </w:del>
      <w:r>
        <w:t>Late Fee Invoices are due under Section 9.7.4;</w:t>
      </w:r>
    </w:p>
    <w:p w:rsidR="00470790" w:rsidRDefault="00470790" w:rsidP="00470790">
      <w:pPr>
        <w:pStyle w:val="List"/>
        <w:ind w:left="1440"/>
        <w:pPrChange w:id="52" w:author="ERCOT" w:date="2011-04-06T14:12:00Z">
          <w:pPr>
            <w:pStyle w:val="List"/>
          </w:pPr>
        </w:pPrChange>
      </w:pPr>
      <w:r>
        <w:t>(</w:t>
      </w:r>
      <w:ins w:id="53" w:author="ERCOT" w:date="2011-03-07T14:57:00Z">
        <w:r>
          <w:t>g</w:t>
        </w:r>
      </w:ins>
      <w:del w:id="54" w:author="ERCOT" w:date="2011-01-24T11:06:00Z">
        <w:r w:rsidDel="0093642B">
          <w:delText>k</w:delText>
        </w:r>
      </w:del>
      <w:r>
        <w:t>)</w:t>
      </w:r>
      <w:r>
        <w:tab/>
        <w:t>Each Default Uplift Invoice will be issued under Section 9.19, Partial Payments by Invoice Recipients;</w:t>
      </w:r>
    </w:p>
    <w:p w:rsidR="00470790" w:rsidRDefault="00470790" w:rsidP="00470790">
      <w:pPr>
        <w:pStyle w:val="List"/>
        <w:ind w:left="1440"/>
        <w:pPrChange w:id="55" w:author="ERCOT" w:date="2011-04-06T14:12:00Z">
          <w:pPr>
            <w:pStyle w:val="List"/>
          </w:pPr>
        </w:pPrChange>
      </w:pPr>
      <w:r>
        <w:lastRenderedPageBreak/>
        <w:t>(</w:t>
      </w:r>
      <w:ins w:id="56" w:author="ERCOT" w:date="2011-03-07T14:57:00Z">
        <w:r>
          <w:t>h</w:t>
        </w:r>
      </w:ins>
      <w:del w:id="57" w:author="ERCOT" w:date="2011-01-24T11:06:00Z">
        <w:r w:rsidDel="0093642B">
          <w:delText>l</w:delText>
        </w:r>
      </w:del>
      <w:r>
        <w:t>)</w:t>
      </w:r>
      <w:r>
        <w:tab/>
        <w:t>Payments for Default Uplift Invoices are due under Section 9.19.1, Default Uplift Invoices;</w:t>
      </w:r>
    </w:p>
    <w:p w:rsidR="00470790" w:rsidRDefault="00470790" w:rsidP="00470790">
      <w:pPr>
        <w:pStyle w:val="List"/>
        <w:tabs>
          <w:tab w:val="left" w:pos="1440"/>
        </w:tabs>
        <w:ind w:left="1440"/>
        <w:pPrChange w:id="58" w:author="ERCOT" w:date="2011-04-06T14:12:00Z">
          <w:pPr>
            <w:pStyle w:val="List"/>
            <w:tabs>
              <w:tab w:val="left" w:pos="1440"/>
            </w:tabs>
          </w:pPr>
        </w:pPrChange>
      </w:pPr>
      <w:r>
        <w:t>(</w:t>
      </w:r>
      <w:ins w:id="59" w:author="ERCOT" w:date="2011-03-07T14:57:00Z">
        <w:r>
          <w:t>i</w:t>
        </w:r>
      </w:ins>
      <w:del w:id="60" w:author="ERCOT" w:date="2011-01-24T11:06:00Z">
        <w:r w:rsidDel="0093642B">
          <w:delText>m</w:delText>
        </w:r>
      </w:del>
      <w:r>
        <w:t>)</w:t>
      </w:r>
      <w:r>
        <w:tab/>
        <w:t xml:space="preserve">Each Congestion Revenue Rights (CRR) Auction Invoice will be issued under Section 9.8, </w:t>
      </w:r>
      <w:smartTag w:uri="urn:schemas-microsoft-com:office:smarttags" w:element="stockticker">
        <w:r>
          <w:t>CRR</w:t>
        </w:r>
      </w:smartTag>
      <w:r>
        <w:t xml:space="preserve"> Auction Award Invoices; </w:t>
      </w:r>
    </w:p>
    <w:p w:rsidR="00470790" w:rsidRDefault="00470790" w:rsidP="00470790">
      <w:pPr>
        <w:pStyle w:val="List"/>
        <w:tabs>
          <w:tab w:val="left" w:pos="1440"/>
        </w:tabs>
        <w:ind w:left="1440"/>
        <w:pPrChange w:id="61" w:author="ERCOT" w:date="2011-04-06T14:12:00Z">
          <w:pPr>
            <w:pStyle w:val="List"/>
            <w:tabs>
              <w:tab w:val="left" w:pos="1440"/>
            </w:tabs>
          </w:pPr>
        </w:pPrChange>
      </w:pPr>
      <w:r>
        <w:t>(</w:t>
      </w:r>
      <w:ins w:id="62" w:author="ERCOT" w:date="2011-04-06T14:16:00Z">
        <w:r>
          <w:t>j</w:t>
        </w:r>
      </w:ins>
      <w:del w:id="63" w:author="ERCOT" w:date="2011-01-24T11:06:00Z">
        <w:r w:rsidDel="0093642B">
          <w:delText>n</w:delText>
        </w:r>
      </w:del>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rsidR="00470790" w:rsidRDefault="00470790" w:rsidP="00470790">
      <w:pPr>
        <w:pStyle w:val="List"/>
        <w:tabs>
          <w:tab w:val="left" w:pos="1440"/>
        </w:tabs>
        <w:ind w:left="1440"/>
        <w:pPrChange w:id="64" w:author="ERCOT" w:date="2011-04-06T14:12:00Z">
          <w:pPr>
            <w:pStyle w:val="List"/>
            <w:tabs>
              <w:tab w:val="left" w:pos="1440"/>
            </w:tabs>
          </w:pPr>
        </w:pPrChange>
      </w:pPr>
      <w:r>
        <w:t>(</w:t>
      </w:r>
      <w:ins w:id="65" w:author="ERCOT" w:date="2011-04-06T14:16:00Z">
        <w:r>
          <w:t>k</w:t>
        </w:r>
      </w:ins>
      <w:del w:id="66" w:author="ERCOT" w:date="2011-01-24T11:06:00Z">
        <w:r w:rsidDel="0093642B">
          <w:delText>o</w:delText>
        </w:r>
      </w:del>
      <w:r>
        <w:t>)</w:t>
      </w:r>
      <w:r>
        <w:tab/>
        <w:t xml:space="preserve">Each </w:t>
      </w:r>
      <w:smartTag w:uri="urn:schemas-microsoft-com:office:smarttags" w:element="stockticker">
        <w:r>
          <w:t>CRR</w:t>
        </w:r>
      </w:smartTag>
      <w:r>
        <w:t xml:space="preserve"> Auction Revenue Distribution Invoice will be issued under Section 9.10, </w:t>
      </w:r>
      <w:smartTag w:uri="urn:schemas-microsoft-com:office:smarttags" w:element="stockticker">
        <w:r>
          <w:t>CRR</w:t>
        </w:r>
      </w:smartTag>
      <w:r>
        <w:t xml:space="preserve"> Auction Revenue Distribution Invoices;</w:t>
      </w:r>
    </w:p>
    <w:p w:rsidR="00470790" w:rsidRDefault="00470790" w:rsidP="00470790">
      <w:pPr>
        <w:pStyle w:val="List"/>
        <w:tabs>
          <w:tab w:val="left" w:pos="1440"/>
        </w:tabs>
        <w:ind w:left="1440"/>
        <w:pPrChange w:id="67" w:author="ERCOT" w:date="2011-04-06T14:12:00Z">
          <w:pPr>
            <w:pStyle w:val="List"/>
            <w:tabs>
              <w:tab w:val="left" w:pos="1440"/>
            </w:tabs>
          </w:pPr>
        </w:pPrChange>
      </w:pPr>
      <w:r>
        <w:t>(</w:t>
      </w:r>
      <w:ins w:id="68" w:author="ERCOT" w:date="2011-04-06T14:16:00Z">
        <w:r>
          <w:t>l</w:t>
        </w:r>
      </w:ins>
      <w:del w:id="69" w:author="ERCOT" w:date="2011-01-24T11:06:00Z">
        <w:r w:rsidDel="0093642B">
          <w:delText>p</w:delText>
        </w:r>
      </w:del>
      <w:r>
        <w:t>)</w:t>
      </w:r>
      <w:r>
        <w:tab/>
        <w:t xml:space="preserve">Payments for </w:t>
      </w:r>
      <w:smartTag w:uri="urn:schemas-microsoft-com:office:smarttags" w:element="stockticker">
        <w:r>
          <w:t>CRR</w:t>
        </w:r>
      </w:smartTag>
      <w:r>
        <w:t xml:space="preserve"> Auction Revenue Distribution Invoices are due under Section 9.11, Payment Process for </w:t>
      </w:r>
      <w:smartTag w:uri="urn:schemas-microsoft-com:office:smarttags" w:element="stockticker">
        <w:r>
          <w:t>CRR</w:t>
        </w:r>
      </w:smartTag>
      <w:r>
        <w:t xml:space="preserve"> Auction Revenue Distribution;</w:t>
      </w:r>
    </w:p>
    <w:p w:rsidR="00470790" w:rsidRDefault="00470790" w:rsidP="00470790">
      <w:pPr>
        <w:pStyle w:val="List"/>
        <w:tabs>
          <w:tab w:val="left" w:pos="1440"/>
        </w:tabs>
        <w:ind w:left="1440"/>
        <w:pPrChange w:id="70" w:author="ERCOT" w:date="2011-04-06T14:12:00Z">
          <w:pPr>
            <w:pStyle w:val="List"/>
            <w:tabs>
              <w:tab w:val="left" w:pos="1440"/>
            </w:tabs>
          </w:pPr>
        </w:pPrChange>
      </w:pPr>
      <w:r>
        <w:t>(</w:t>
      </w:r>
      <w:ins w:id="71" w:author="ERCOT" w:date="2011-04-06T14:16:00Z">
        <w:r>
          <w:t>m</w:t>
        </w:r>
      </w:ins>
      <w:del w:id="72" w:author="ERCOT" w:date="2011-01-24T11:06:00Z">
        <w:r w:rsidDel="0093642B">
          <w:delText>q</w:delText>
        </w:r>
      </w:del>
      <w:r>
        <w:t>)</w:t>
      </w:r>
      <w:r>
        <w:tab/>
        <w:t xml:space="preserve">Each </w:t>
      </w:r>
      <w:smartTag w:uri="urn:schemas-microsoft-com:office:smarttags" w:element="stockticker">
        <w:r>
          <w:t>CRR</w:t>
        </w:r>
      </w:smartTag>
      <w:r>
        <w:t xml:space="preserve"> Balancing Account Invoice will be issued under Section 9.12, </w:t>
      </w:r>
      <w:smartTag w:uri="urn:schemas-microsoft-com:office:smarttags" w:element="stockticker">
        <w:r>
          <w:t>CRR</w:t>
        </w:r>
      </w:smartTag>
      <w:r>
        <w:t xml:space="preserve"> Balancing Account Invoices; </w:t>
      </w:r>
    </w:p>
    <w:p w:rsidR="00470790" w:rsidRDefault="00470790" w:rsidP="00470790">
      <w:pPr>
        <w:pStyle w:val="List"/>
        <w:ind w:left="1440"/>
        <w:pPrChange w:id="73" w:author="ERCOT" w:date="2011-04-06T14:12:00Z">
          <w:pPr>
            <w:pStyle w:val="List"/>
          </w:pPr>
        </w:pPrChange>
      </w:pPr>
      <w:r>
        <w:t>(</w:t>
      </w:r>
      <w:ins w:id="74" w:author="ERCOT" w:date="2011-04-06T14:16:00Z">
        <w:r>
          <w:t>n</w:t>
        </w:r>
      </w:ins>
      <w:del w:id="75" w:author="ERCOT" w:date="2011-01-24T11:06:00Z">
        <w:r w:rsidDel="0093642B">
          <w:delText>r</w:delText>
        </w:r>
      </w:del>
      <w:r>
        <w:t>)</w:t>
      </w:r>
      <w:r>
        <w:tab/>
        <w:t xml:space="preserve">Payments for </w:t>
      </w:r>
      <w:smartTag w:uri="urn:schemas-microsoft-com:office:smarttags" w:element="stockticker">
        <w:r>
          <w:t>CRR</w:t>
        </w:r>
      </w:smartTag>
      <w:r>
        <w:t xml:space="preserve"> Balancing Account Invoices are due under Section 9.13, Payment Process for the </w:t>
      </w:r>
      <w:smartTag w:uri="urn:schemas-microsoft-com:office:smarttags" w:element="stockticker">
        <w:r>
          <w:t>CRR</w:t>
        </w:r>
      </w:smartTag>
      <w:r>
        <w:t xml:space="preserve"> Balancing Account; and</w:t>
      </w:r>
    </w:p>
    <w:p w:rsidR="00470790" w:rsidRDefault="00470790" w:rsidP="00470790">
      <w:pPr>
        <w:pStyle w:val="List"/>
        <w:tabs>
          <w:tab w:val="left" w:pos="2160"/>
        </w:tabs>
        <w:ind w:left="1440"/>
        <w:pPrChange w:id="76" w:author="ERCOT" w:date="2011-04-06T14:12:00Z">
          <w:pPr>
            <w:pStyle w:val="List"/>
            <w:tabs>
              <w:tab w:val="left" w:pos="2160"/>
            </w:tabs>
          </w:pPr>
        </w:pPrChange>
      </w:pPr>
      <w:r>
        <w:t>(</w:t>
      </w:r>
      <w:ins w:id="77" w:author="ERCOT" w:date="2011-04-06T14:16:00Z">
        <w:r>
          <w:t>o</w:t>
        </w:r>
      </w:ins>
      <w:del w:id="78" w:author="ERCOT" w:date="2011-01-24T11:06:00Z">
        <w:r w:rsidDel="0093642B">
          <w:delText>s</w:delText>
        </w:r>
      </w:del>
      <w:r>
        <w:t>)</w:t>
      </w:r>
      <w:r>
        <w:tab/>
        <w:t>Settlement and billing disputes for each scheduled Settlement Statement of an Operating Day and Settlement Invoice must be submitted under Section 9.14, Settlement and Billing Dispute Process.</w:t>
      </w:r>
    </w:p>
    <w:p w:rsidR="00470790" w:rsidRDefault="00470790" w:rsidP="00470790">
      <w:pPr>
        <w:pStyle w:val="BodyTextNumbered"/>
      </w:pPr>
      <w:bookmarkStart w:id="79" w:name="_Toc97371083"/>
      <w:bookmarkStart w:id="80" w:name="_Toc265495975"/>
      <w:r>
        <w:t>(2)</w:t>
      </w:r>
      <w:r>
        <w:tab/>
        <w:t xml:space="preserve">ERCOT shall notify </w:t>
      </w:r>
      <w:r w:rsidRPr="00384E0D">
        <w:t>Market Participants</w:t>
      </w:r>
      <w:r>
        <w:t xml:space="preserve"> if any of the aforementioned data will not be available on the date specified in the Settlement Calendar.</w:t>
      </w:r>
    </w:p>
    <w:p w:rsidR="00470790" w:rsidRDefault="00470790" w:rsidP="00470790">
      <w:pPr>
        <w:pStyle w:val="H2"/>
      </w:pPr>
    </w:p>
    <w:p w:rsidR="00470790" w:rsidRDefault="00470790" w:rsidP="00470790">
      <w:pPr>
        <w:pStyle w:val="H2"/>
      </w:pPr>
      <w:r>
        <w:t>9.3</w:t>
      </w:r>
      <w:r>
        <w:tab/>
      </w:r>
      <w:del w:id="81" w:author="ERCOT" w:date="2011-01-24T11:08:00Z">
        <w:r w:rsidDel="0093642B">
          <w:delText>Settlement Invoices for the DAM</w:delText>
        </w:r>
      </w:del>
      <w:bookmarkEnd w:id="79"/>
      <w:bookmarkEnd w:id="80"/>
      <w:ins w:id="82" w:author="ERCOT" w:date="2011-01-24T11:08:00Z">
        <w:r w:rsidRPr="0093642B">
          <w:rPr>
            <w:i/>
          </w:rPr>
          <w:t>[RESERVED]</w:t>
        </w:r>
      </w:ins>
    </w:p>
    <w:p w:rsidR="00470790" w:rsidDel="0093642B" w:rsidRDefault="00470790" w:rsidP="00470790">
      <w:pPr>
        <w:pStyle w:val="BodyTextNumbered"/>
        <w:rPr>
          <w:del w:id="83" w:author="ERCOT" w:date="2011-01-24T11:09:00Z"/>
        </w:rPr>
      </w:pPr>
      <w:del w:id="84" w:author="ERCOT" w:date="2011-01-24T11:09:00Z">
        <w:r w:rsidDel="0093642B">
          <w:delText>(1)</w:delText>
        </w:r>
        <w:r w:rsidDel="0093642B">
          <w:tab/>
          <w:delText>ERCOT shall issue Invoices for the DAM (DAM Invoice) on the second Business Day after the Operating Day.  For each DAM Invoice, the Market Participant to whom the Invoice is addressed (“Invoice Recipient”) is either a payee or payor.  The Invoice Recipient is responsible for accessing the Invoice on the MIS Certified Area once posted by ERCOT.</w:delText>
        </w:r>
      </w:del>
    </w:p>
    <w:p w:rsidR="00470790" w:rsidDel="0093642B" w:rsidRDefault="00470790" w:rsidP="00470790">
      <w:pPr>
        <w:pStyle w:val="BodyTextNumbered"/>
        <w:rPr>
          <w:del w:id="85" w:author="ERCOT" w:date="2011-01-24T11:09:00Z"/>
        </w:rPr>
      </w:pPr>
      <w:del w:id="86" w:author="ERCOT" w:date="2011-01-24T11:09:00Z">
        <w:r w:rsidDel="0093642B">
          <w:delText>(2)</w:delText>
        </w:r>
        <w:r w:rsidDel="0093642B">
          <w:tab/>
          <w:delText>ERCOT shall issue DAM Invoices that are based on DAM Resettlement Statements on the same Business Day as the day that the DAM Resettlement Statement is posted to the MIS Certified Area.</w:delText>
        </w:r>
      </w:del>
    </w:p>
    <w:p w:rsidR="00470790" w:rsidDel="0093642B" w:rsidRDefault="00470790" w:rsidP="00470790">
      <w:pPr>
        <w:pStyle w:val="BodyTextNumbered"/>
        <w:rPr>
          <w:del w:id="87" w:author="ERCOT" w:date="2011-01-24T11:09:00Z"/>
        </w:rPr>
      </w:pPr>
      <w:del w:id="88" w:author="ERCOT" w:date="2011-01-24T11:09:00Z">
        <w:r w:rsidDel="0093642B">
          <w:delText>(3)</w:delText>
        </w:r>
        <w:r w:rsidDel="0093642B">
          <w:tab/>
          <w:delText>Each DAM Invoice must contain:</w:delText>
        </w:r>
      </w:del>
    </w:p>
    <w:p w:rsidR="00470790" w:rsidDel="0093642B" w:rsidRDefault="00470790" w:rsidP="00470790">
      <w:pPr>
        <w:pStyle w:val="List"/>
        <w:rPr>
          <w:del w:id="89" w:author="ERCOT" w:date="2011-01-24T11:09:00Z"/>
        </w:rPr>
      </w:pPr>
      <w:del w:id="90" w:author="ERCOT" w:date="2011-01-24T11:09:00Z">
        <w:r w:rsidDel="0093642B">
          <w:delText>(a)</w:delText>
        </w:r>
        <w:r w:rsidDel="0093642B">
          <w:tab/>
          <w:delText>The Invoice Recipient’s name;</w:delText>
        </w:r>
      </w:del>
    </w:p>
    <w:p w:rsidR="00470790" w:rsidDel="0093642B" w:rsidRDefault="00470790" w:rsidP="00470790">
      <w:pPr>
        <w:pStyle w:val="List"/>
        <w:rPr>
          <w:del w:id="91" w:author="ERCOT" w:date="2011-01-24T11:09:00Z"/>
        </w:rPr>
      </w:pPr>
      <w:del w:id="92" w:author="ERCOT" w:date="2011-01-24T11:09:00Z">
        <w:r w:rsidDel="0093642B">
          <w:delText>(b)</w:delText>
        </w:r>
        <w:r w:rsidDel="0093642B">
          <w:tab/>
          <w:delText xml:space="preserve">The ERCOT identifier (Settlement identification number issued by ERCOT); </w:delText>
        </w:r>
      </w:del>
    </w:p>
    <w:p w:rsidR="00470790" w:rsidDel="0093642B" w:rsidRDefault="00470790" w:rsidP="00470790">
      <w:pPr>
        <w:pStyle w:val="List"/>
        <w:rPr>
          <w:del w:id="93" w:author="ERCOT" w:date="2011-01-24T11:09:00Z"/>
        </w:rPr>
      </w:pPr>
      <w:del w:id="94" w:author="ERCOT" w:date="2011-01-24T11:09:00Z">
        <w:r w:rsidDel="0093642B">
          <w:lastRenderedPageBreak/>
          <w:delText>(c)</w:delText>
        </w:r>
        <w:r w:rsidDel="0093642B">
          <w:tab/>
          <w:delText>Net Amount Due or Payable – the aggregate summary of all charges owed by, or due to, an Invoice Recipient for that DAM;</w:delText>
        </w:r>
      </w:del>
    </w:p>
    <w:p w:rsidR="00470790" w:rsidDel="0093642B" w:rsidRDefault="00470790" w:rsidP="00470790">
      <w:pPr>
        <w:pStyle w:val="List"/>
        <w:rPr>
          <w:del w:id="95" w:author="ERCOT" w:date="2011-01-24T11:09:00Z"/>
        </w:rPr>
      </w:pPr>
      <w:del w:id="96" w:author="ERCOT" w:date="2011-01-24T11:09:00Z">
        <w:r w:rsidDel="0093642B">
          <w:delText>(d)</w:delText>
        </w:r>
        <w:r w:rsidDel="0093642B">
          <w:tab/>
          <w:delText>Time Periods – the time period covered for each line item;</w:delText>
        </w:r>
      </w:del>
    </w:p>
    <w:p w:rsidR="00470790" w:rsidDel="0093642B" w:rsidRDefault="00470790" w:rsidP="00470790">
      <w:pPr>
        <w:pStyle w:val="List"/>
        <w:rPr>
          <w:del w:id="97" w:author="ERCOT" w:date="2011-01-24T11:09:00Z"/>
        </w:rPr>
      </w:pPr>
      <w:del w:id="98" w:author="ERCOT" w:date="2011-01-24T11:09:00Z">
        <w:r w:rsidDel="0093642B">
          <w:delText>(e)</w:delText>
        </w:r>
        <w:r w:rsidDel="0093642B">
          <w:tab/>
          <w:delText>Run Date – the date in which the DAM Invoice was created and published;</w:delText>
        </w:r>
      </w:del>
    </w:p>
    <w:p w:rsidR="00470790" w:rsidDel="0093642B" w:rsidRDefault="00470790" w:rsidP="00470790">
      <w:pPr>
        <w:pStyle w:val="List"/>
        <w:rPr>
          <w:del w:id="99" w:author="ERCOT" w:date="2011-01-24T11:09:00Z"/>
        </w:rPr>
      </w:pPr>
      <w:del w:id="100" w:author="ERCOT" w:date="2011-01-24T11:09:00Z">
        <w:r w:rsidDel="0093642B">
          <w:delText>(f)</w:delText>
        </w:r>
        <w:r w:rsidDel="0093642B">
          <w:tab/>
          <w:delText>Invoice Reference Number – a unique number generated by the ERCOT applications for payment tracking purposes;</w:delText>
        </w:r>
      </w:del>
    </w:p>
    <w:p w:rsidR="00470790" w:rsidDel="0093642B" w:rsidRDefault="00470790" w:rsidP="00470790">
      <w:pPr>
        <w:pStyle w:val="List"/>
        <w:rPr>
          <w:del w:id="101" w:author="ERCOT" w:date="2011-01-24T11:09:00Z"/>
        </w:rPr>
      </w:pPr>
      <w:del w:id="102" w:author="ERCOT" w:date="2011-01-24T11:09:00Z">
        <w:r w:rsidDel="0093642B">
          <w:delText>(g)</w:delText>
        </w:r>
        <w:r w:rsidDel="0093642B">
          <w:tab/>
          <w:delText>Statement Reference – an identification code used to reference the Settlement Statement invoiced;</w:delText>
        </w:r>
      </w:del>
    </w:p>
    <w:p w:rsidR="00470790" w:rsidDel="0093642B" w:rsidRDefault="00470790" w:rsidP="00470790">
      <w:pPr>
        <w:pStyle w:val="List"/>
        <w:rPr>
          <w:del w:id="103" w:author="ERCOT" w:date="2011-01-24T11:09:00Z"/>
        </w:rPr>
      </w:pPr>
      <w:del w:id="104" w:author="ERCOT" w:date="2011-01-24T11:09:00Z">
        <w:r w:rsidDel="0093642B">
          <w:delText>(h)</w:delText>
        </w:r>
        <w:r w:rsidDel="0093642B">
          <w:tab/>
          <w:delText>Payment Date and Time – the date and time that DAM Invoice amounts must be paid or received;</w:delText>
        </w:r>
      </w:del>
    </w:p>
    <w:p w:rsidR="00470790" w:rsidDel="0093642B" w:rsidRDefault="00470790" w:rsidP="00470790">
      <w:pPr>
        <w:pStyle w:val="List"/>
        <w:rPr>
          <w:del w:id="105" w:author="ERCOT" w:date="2011-01-24T11:09:00Z"/>
        </w:rPr>
      </w:pPr>
      <w:del w:id="106" w:author="ERCOT" w:date="2011-01-24T11:09:00Z">
        <w:r w:rsidDel="0093642B">
          <w:delText>(i)</w:delText>
        </w:r>
        <w:r w:rsidDel="0093642B">
          <w:tab/>
          <w:delTex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delText>
        </w:r>
      </w:del>
    </w:p>
    <w:p w:rsidR="00470790" w:rsidDel="0093642B" w:rsidRDefault="00470790" w:rsidP="00470790">
      <w:pPr>
        <w:pStyle w:val="List"/>
        <w:rPr>
          <w:del w:id="107" w:author="ERCOT" w:date="2011-01-24T11:09:00Z"/>
        </w:rPr>
      </w:pPr>
      <w:del w:id="108" w:author="ERCOT" w:date="2011-01-24T11:09:00Z">
        <w:r w:rsidDel="0093642B">
          <w:delText>(j)</w:delText>
        </w:r>
        <w:r w:rsidDel="0093642B">
          <w:tab/>
          <w:delText>Overdue Terms – the terms that would be applied if payments were received late.</w:delText>
        </w:r>
      </w:del>
    </w:p>
    <w:p w:rsidR="00470790" w:rsidDel="0093642B" w:rsidRDefault="00470790" w:rsidP="00470790">
      <w:pPr>
        <w:pStyle w:val="H2"/>
        <w:rPr>
          <w:del w:id="109" w:author="ERCOT" w:date="2011-01-24T11:09:00Z"/>
        </w:rPr>
      </w:pPr>
      <w:bookmarkStart w:id="110" w:name="_Toc97371084"/>
      <w:bookmarkStart w:id="111" w:name="_Toc265495976"/>
      <w:del w:id="112" w:author="ERCOT" w:date="2011-01-24T11:09:00Z">
        <w:r w:rsidDel="0093642B">
          <w:delText>9.4</w:delText>
        </w:r>
        <w:r w:rsidDel="0093642B">
          <w:tab/>
          <w:delText>Payment Process for the DAM</w:delText>
        </w:r>
        <w:bookmarkEnd w:id="110"/>
        <w:bookmarkEnd w:id="111"/>
      </w:del>
    </w:p>
    <w:p w:rsidR="00470790" w:rsidDel="0093642B" w:rsidRDefault="00470790" w:rsidP="00470790">
      <w:pPr>
        <w:pStyle w:val="BodyText"/>
        <w:rPr>
          <w:del w:id="113" w:author="ERCOT" w:date="2011-01-24T11:09:00Z"/>
        </w:rPr>
      </w:pPr>
      <w:del w:id="114" w:author="ERCOT" w:date="2011-01-24T11:09:00Z">
        <w:r w:rsidDel="0093642B">
          <w:delText>Payments for the DAM must be made on days that are both a Business Day and a Bank Business Day in a two-day, two-step process as detailed below.  Payments for the DAM are due on the applicable payment due date, whether or not there is any Settlement and billing dispute regarding the amount of the payment.</w:delText>
        </w:r>
      </w:del>
    </w:p>
    <w:p w:rsidR="00470790" w:rsidDel="0093642B" w:rsidRDefault="00470790" w:rsidP="00470790">
      <w:pPr>
        <w:pStyle w:val="H3"/>
        <w:rPr>
          <w:del w:id="115" w:author="ERCOT" w:date="2011-01-24T11:09:00Z"/>
        </w:rPr>
      </w:pPr>
      <w:bookmarkStart w:id="116" w:name="_Toc265495977"/>
      <w:del w:id="117" w:author="ERCOT" w:date="2011-01-24T11:09:00Z">
        <w:r w:rsidDel="0093642B">
          <w:delText>9.4.1</w:delText>
        </w:r>
        <w:r w:rsidDel="0093642B">
          <w:tab/>
          <w:delText>Invoice Recipient Payment to ERCOT for the DAM</w:delText>
        </w:r>
        <w:bookmarkEnd w:id="116"/>
      </w:del>
    </w:p>
    <w:p w:rsidR="00470790" w:rsidDel="0093642B" w:rsidRDefault="00470790" w:rsidP="00470790">
      <w:pPr>
        <w:pStyle w:val="BodyTextNumbered"/>
        <w:rPr>
          <w:del w:id="118" w:author="ERCOT" w:date="2011-01-24T11:09:00Z"/>
        </w:rPr>
      </w:pPr>
      <w:del w:id="119" w:author="ERCOT" w:date="2011-01-24T11:09:00Z">
        <w:r w:rsidDel="0093642B">
          <w:delText>(1)</w:delText>
        </w:r>
        <w:r w:rsidDel="0093642B">
          <w:tab/>
          <w:delText xml:space="preserve">The payment due date and time for the DAM Invoice, with funds owed by an Invoice Recipient, is 1700 on the third Bank Business Day after the DAM Invoice date, unless that third Bank Business Day is not a Business Day.  If the third Bank Business Day is not a Business Day, then the payment is due by 1700 on the next Bank Business Day after the third Bank Business Day that is also a Business Day.  </w:delText>
        </w:r>
      </w:del>
    </w:p>
    <w:p w:rsidR="00470790" w:rsidDel="0093642B" w:rsidRDefault="00470790" w:rsidP="00470790">
      <w:pPr>
        <w:pStyle w:val="BodyTextNumbered"/>
        <w:rPr>
          <w:del w:id="120" w:author="ERCOT" w:date="2011-01-24T11:09:00Z"/>
        </w:rPr>
      </w:pPr>
      <w:del w:id="121" w:author="ERCOT" w:date="2011-01-24T11:09:00Z">
        <w:r w:rsidDel="0093642B">
          <w:delText>(2)</w:delText>
        </w:r>
        <w:r w:rsidDel="0093642B">
          <w:tab/>
          <w:delText xml:space="preserve">All DAM Invoices due, with funds owed by an Invoice Recipient, must be paid to ERCOT in U.S. Dollars (USD) by either of the following: </w:delText>
        </w:r>
      </w:del>
    </w:p>
    <w:p w:rsidR="00470790" w:rsidDel="0093642B" w:rsidRDefault="00470790" w:rsidP="00470790">
      <w:pPr>
        <w:pStyle w:val="List"/>
        <w:rPr>
          <w:del w:id="122" w:author="ERCOT" w:date="2011-01-24T11:09:00Z"/>
        </w:rPr>
      </w:pPr>
      <w:del w:id="123" w:author="ERCOT" w:date="2011-01-24T11:09:00Z">
        <w:r w:rsidDel="0093642B">
          <w:delText>(a)</w:delText>
        </w:r>
        <w:r w:rsidDel="0093642B">
          <w:tab/>
          <w:delText xml:space="preserve">On or before the payment due date if the payment is made by Electronic Funds Transfer (EFT) in immediately available or good funds (i.e., not subject to reversal); or  </w:delText>
        </w:r>
      </w:del>
    </w:p>
    <w:p w:rsidR="00470790" w:rsidDel="0093642B" w:rsidRDefault="00470790" w:rsidP="00470790">
      <w:pPr>
        <w:pStyle w:val="List"/>
        <w:rPr>
          <w:del w:id="124" w:author="ERCOT" w:date="2011-01-24T11:09:00Z"/>
        </w:rPr>
      </w:pPr>
      <w:del w:id="125" w:author="ERCOT" w:date="2011-01-24T11:09:00Z">
        <w:r w:rsidDel="0093642B">
          <w:delText>(b)</w:delText>
        </w:r>
        <w:r w:rsidDel="0093642B">
          <w:tab/>
          <w:delText xml:space="preserve">On or before two Bank Business Days before the payment due date if the payment is made by Automated Clearing House (ACH) funds. </w:delText>
        </w:r>
      </w:del>
    </w:p>
    <w:p w:rsidR="00470790" w:rsidDel="0093642B" w:rsidRDefault="00470790" w:rsidP="00470790">
      <w:pPr>
        <w:pStyle w:val="H3"/>
        <w:rPr>
          <w:del w:id="126" w:author="ERCOT" w:date="2011-01-24T11:09:00Z"/>
        </w:rPr>
      </w:pPr>
      <w:bookmarkStart w:id="127" w:name="_Toc265495978"/>
      <w:del w:id="128" w:author="ERCOT" w:date="2011-01-24T11:09:00Z">
        <w:r w:rsidDel="0093642B">
          <w:lastRenderedPageBreak/>
          <w:delText>9.4.2</w:delText>
        </w:r>
        <w:r w:rsidDel="0093642B">
          <w:tab/>
          <w:delText>ERCOT Payment to Invoice Recipients for the DAM</w:delText>
        </w:r>
        <w:bookmarkEnd w:id="127"/>
      </w:del>
    </w:p>
    <w:p w:rsidR="00470790" w:rsidDel="0093642B" w:rsidRDefault="00470790" w:rsidP="00470790">
      <w:pPr>
        <w:pStyle w:val="BodyTextNumbered"/>
        <w:rPr>
          <w:del w:id="129" w:author="ERCOT" w:date="2011-01-24T11:09:00Z"/>
        </w:rPr>
      </w:pPr>
      <w:del w:id="130" w:author="ERCOT" w:date="2011-01-24T11:09:00Z">
        <w:r w:rsidDel="0093642B">
          <w:delText>(1)</w:delText>
        </w:r>
        <w:r w:rsidDel="0093642B">
          <w:tab/>
          <w:delText xml:space="preserve">Subject to the availability of funds as discussed in paragraph (2) below, DAM Invoices with funds owed to an Invoice Recipient must be paid by ERCOT to the Invoice Recipient by 1700 on the next Bank Business Day after payments are due for that DAM under Section 9.4.1, Invoice Recipient Payment to ERCOT for the DAM, subject to ERCOT’s right to withhold payments under Section 16, Registration and Qualification of Market Participants, unless that next Bank Business Day is not a Business Day.  If that next Bank Business Day is not a Business Day, then the payment is due on the next Bank Business Day thereafter that is also a Business Day.  </w:delText>
        </w:r>
      </w:del>
    </w:p>
    <w:p w:rsidR="00470790" w:rsidDel="0093642B" w:rsidRDefault="00470790" w:rsidP="00470790">
      <w:pPr>
        <w:pStyle w:val="BodyTextNumbered"/>
        <w:rPr>
          <w:del w:id="131" w:author="ERCOT" w:date="2011-01-24T11:09:00Z"/>
        </w:rPr>
      </w:pPr>
      <w:del w:id="132" w:author="ERCOT" w:date="2011-01-24T11:09:00Z">
        <w:r w:rsidDel="0093642B">
          <w:delText>(2)</w:delText>
        </w:r>
        <w:r w:rsidDel="0093642B">
          <w:tab/>
          <w:delText xml:space="preserve">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  </w:delText>
        </w:r>
      </w:del>
    </w:p>
    <w:p w:rsidR="00470790" w:rsidDel="0093642B" w:rsidRDefault="00470790" w:rsidP="00470790">
      <w:pPr>
        <w:pStyle w:val="H3"/>
        <w:rPr>
          <w:del w:id="133" w:author="ERCOT" w:date="2011-01-24T11:09:00Z"/>
        </w:rPr>
      </w:pPr>
      <w:bookmarkStart w:id="134" w:name="_Toc265495980"/>
      <w:del w:id="135" w:author="ERCOT" w:date="2011-01-24T11:09:00Z">
        <w:r w:rsidDel="0093642B">
          <w:delText>9.4.4</w:delText>
        </w:r>
        <w:r w:rsidDel="0093642B">
          <w:tab/>
          <w:delText>Enforcing the Security of a Short-Paying Invoice Recipient</w:delText>
        </w:r>
        <w:bookmarkEnd w:id="134"/>
      </w:del>
    </w:p>
    <w:p w:rsidR="00470790" w:rsidDel="0093642B" w:rsidRDefault="00470790" w:rsidP="00470790">
      <w:pPr>
        <w:pStyle w:val="BodyText"/>
        <w:rPr>
          <w:del w:id="136" w:author="ERCOT" w:date="2011-01-24T11:09:00Z"/>
        </w:rPr>
      </w:pPr>
      <w:del w:id="137" w:author="ERCOT" w:date="2011-01-24T11:09:00Z">
        <w:r w:rsidDel="0093642B">
          <w:delText>ERCOT shall make reasonable efforts to enforce the security of the short-paying Invoice Recipient (pursuant to Section 16.11.6, Payment Default and Late Payments by Market Participants) to the extent necessary to cover the short-pay.  A short-paying Invoice Recipient shall restore the level of its security under Section 16, Registration and Qualification of Market Participants.</w:delText>
        </w:r>
      </w:del>
    </w:p>
    <w:p w:rsidR="00470790" w:rsidDel="0093642B" w:rsidRDefault="00470790" w:rsidP="00470790">
      <w:pPr>
        <w:pStyle w:val="H3"/>
        <w:rPr>
          <w:del w:id="138" w:author="ERCOT" w:date="2011-01-24T11:09:00Z"/>
        </w:rPr>
      </w:pPr>
      <w:bookmarkStart w:id="139" w:name="_Toc265495981"/>
      <w:del w:id="140" w:author="ERCOT" w:date="2011-01-24T11:09:00Z">
        <w:r w:rsidDel="0093642B">
          <w:delText>9.4.5</w:delText>
        </w:r>
        <w:r w:rsidDel="0093642B">
          <w:tab/>
          <w:delText>Late Fees and Late Fee Invoices for the DAM</w:delText>
        </w:r>
        <w:bookmarkEnd w:id="139"/>
      </w:del>
    </w:p>
    <w:p w:rsidR="00470790" w:rsidDel="0093642B" w:rsidRDefault="00470790" w:rsidP="00470790">
      <w:pPr>
        <w:pStyle w:val="BodyTextNumbered"/>
        <w:rPr>
          <w:del w:id="141" w:author="ERCOT" w:date="2011-01-24T11:09:00Z"/>
        </w:rPr>
      </w:pPr>
      <w:del w:id="142" w:author="ERCOT" w:date="2011-01-24T11:09:00Z">
        <w:r w:rsidDel="0093642B">
          <w:delText>(1)</w:delText>
        </w:r>
        <w:r w:rsidDel="0093642B">
          <w:tab/>
          <w:delText>A short-paying DAM Invoice Recipient shall pay late fees to ERCOT on the short-pay amount according to the late fee terms specified in the ERCOT fee schedule that is posted on the Market Information System (MIS) Public Area for the period from, and including, the relevant payment due date to the date on which the payment, including any related transaction costs incurred by ERCOT, is received by ERCOT.  ERCOT will cease charging late fees to the defaulting Entity when the conditions described in item (e) of Section 9.19, Partial Payments by Invoice Recipients, are met.</w:delText>
        </w:r>
      </w:del>
    </w:p>
    <w:p w:rsidR="00470790" w:rsidDel="0093642B" w:rsidRDefault="00470790" w:rsidP="00470790">
      <w:pPr>
        <w:pStyle w:val="BodyTextNumbered"/>
        <w:rPr>
          <w:del w:id="143" w:author="ERCOT" w:date="2011-01-24T11:09:00Z"/>
        </w:rPr>
      </w:pPr>
      <w:del w:id="144" w:author="ERCOT" w:date="2011-01-24T11:09:00Z">
        <w:r w:rsidDel="0093642B">
          <w:delText>(2)</w:delText>
        </w:r>
        <w:r w:rsidDel="0093642B">
          <w:tab/>
          <w:delText xml:space="preserve">ERCOT shall distribute any late fee revenues, less ERCOT’s transaction costs, to the DAM Invoice Recipients that were underpaid, due to a short-pay, on a pro rata basis of monies owed to each DAM Invoice Recipient.  </w:delText>
        </w:r>
      </w:del>
    </w:p>
    <w:p w:rsidR="00470790" w:rsidDel="0093642B" w:rsidRDefault="00470790" w:rsidP="00470790">
      <w:pPr>
        <w:pStyle w:val="BodyTextNumbered"/>
        <w:rPr>
          <w:del w:id="145" w:author="ERCOT" w:date="2011-01-24T11:09:00Z"/>
        </w:rPr>
      </w:pPr>
      <w:del w:id="146" w:author="ERCOT" w:date="2011-01-24T11:09:00Z">
        <w:r w:rsidDel="0093642B">
          <w:delText>(3)</w:delText>
        </w:r>
        <w:r w:rsidDel="0093642B">
          <w:tab/>
          <w:delText>ERCOT shall post to the MIS Certified Area for each DAM Invoice Recipient, a DAM Invoice based on late fees (DAM Late Fee Invoice).  The DAM Late Fee Invoice Recipient is responsible for accessing the information from the MIS Certified Area once posted by ERCOT.</w:delText>
        </w:r>
      </w:del>
    </w:p>
    <w:p w:rsidR="00470790" w:rsidDel="0093642B" w:rsidRDefault="00470790" w:rsidP="00470790">
      <w:pPr>
        <w:pStyle w:val="BodyTextNumbered"/>
        <w:rPr>
          <w:del w:id="147" w:author="ERCOT" w:date="2011-01-24T11:09:00Z"/>
        </w:rPr>
      </w:pPr>
      <w:del w:id="148" w:author="ERCOT" w:date="2011-01-24T11:09:00Z">
        <w:r w:rsidDel="0093642B">
          <w:delText>(4)</w:delText>
        </w:r>
        <w:r w:rsidDel="0093642B">
          <w:tab/>
          <w:delText xml:space="preserve">ERCOT shall issue DAM Late Fee Invoices on the tenth calendar day after the end of the month, unless the tenth day is not a Business Day.  If that tenth day is not a Business Day, then ERCOT shall issue the DAM Late Fee Invoice of the next day thereafter that is </w:delText>
        </w:r>
        <w:r w:rsidDel="0093642B">
          <w:lastRenderedPageBreak/>
          <w:delText>a Business Day.  ERCOT will post the actual dates on which it will issue DAM Late Fee Invoices under Section 9.1.2, Settlement Calendar.</w:delText>
        </w:r>
      </w:del>
    </w:p>
    <w:p w:rsidR="00470790" w:rsidDel="0093642B" w:rsidRDefault="00470790" w:rsidP="00470790">
      <w:pPr>
        <w:pStyle w:val="BodyTextNumbered"/>
        <w:rPr>
          <w:del w:id="149" w:author="ERCOT" w:date="2011-01-24T11:09:00Z"/>
        </w:rPr>
      </w:pPr>
      <w:del w:id="150" w:author="ERCOT" w:date="2011-01-24T11:09:00Z">
        <w:r w:rsidDel="0093642B">
          <w:delText>(5)</w:delText>
        </w:r>
        <w:r w:rsidDel="0093642B">
          <w:tab/>
          <w:delText>Each DAM Late Fee Invoice must contain:</w:delText>
        </w:r>
      </w:del>
    </w:p>
    <w:p w:rsidR="00470790" w:rsidDel="0093642B" w:rsidRDefault="00470790" w:rsidP="00470790">
      <w:pPr>
        <w:pStyle w:val="List"/>
        <w:rPr>
          <w:del w:id="151" w:author="ERCOT" w:date="2011-01-24T11:09:00Z"/>
        </w:rPr>
      </w:pPr>
      <w:del w:id="152" w:author="ERCOT" w:date="2011-01-24T11:09:00Z">
        <w:r w:rsidDel="0093642B">
          <w:delText>(a)</w:delText>
        </w:r>
        <w:r w:rsidDel="0093642B">
          <w:tab/>
          <w:delText>The Invoice Recipient’s name;</w:delText>
        </w:r>
      </w:del>
    </w:p>
    <w:p w:rsidR="00470790" w:rsidDel="0093642B" w:rsidRDefault="00470790" w:rsidP="00470790">
      <w:pPr>
        <w:pStyle w:val="List"/>
        <w:rPr>
          <w:del w:id="153" w:author="ERCOT" w:date="2011-01-24T11:09:00Z"/>
        </w:rPr>
      </w:pPr>
      <w:del w:id="154" w:author="ERCOT" w:date="2011-01-24T11:09:00Z">
        <w:r w:rsidDel="0093642B">
          <w:delText>(b)</w:delText>
        </w:r>
        <w:r w:rsidDel="0093642B">
          <w:tab/>
          <w:delText>The ERCOT identifier (Settlement identification number issued by ERCOT);</w:delText>
        </w:r>
      </w:del>
    </w:p>
    <w:p w:rsidR="00470790" w:rsidDel="0093642B" w:rsidRDefault="00470790" w:rsidP="00470790">
      <w:pPr>
        <w:pStyle w:val="List"/>
        <w:rPr>
          <w:del w:id="155" w:author="ERCOT" w:date="2011-01-24T11:09:00Z"/>
        </w:rPr>
      </w:pPr>
      <w:del w:id="156" w:author="ERCOT" w:date="2011-01-24T11:09:00Z">
        <w:r w:rsidDel="0093642B">
          <w:delText>(c)</w:delText>
        </w:r>
        <w:r w:rsidDel="0093642B">
          <w:tab/>
          <w:delText>Net Amount Due or Payable – the aggregate summary of all charges owed or due by an Invoice Recipient;</w:delText>
        </w:r>
      </w:del>
    </w:p>
    <w:p w:rsidR="00470790" w:rsidDel="0093642B" w:rsidRDefault="00470790" w:rsidP="00470790">
      <w:pPr>
        <w:pStyle w:val="List"/>
        <w:rPr>
          <w:del w:id="157" w:author="ERCOT" w:date="2011-01-24T11:09:00Z"/>
        </w:rPr>
      </w:pPr>
      <w:del w:id="158" w:author="ERCOT" w:date="2011-01-24T11:09:00Z">
        <w:r w:rsidDel="0093642B">
          <w:delText>(d)</w:delText>
        </w:r>
        <w:r w:rsidDel="0093642B">
          <w:tab/>
          <w:delText>Time Periods – the time period covered for each line item;</w:delText>
        </w:r>
      </w:del>
    </w:p>
    <w:p w:rsidR="00470790" w:rsidDel="0093642B" w:rsidRDefault="00470790" w:rsidP="00470790">
      <w:pPr>
        <w:pStyle w:val="List"/>
        <w:rPr>
          <w:del w:id="159" w:author="ERCOT" w:date="2011-01-24T11:09:00Z"/>
        </w:rPr>
      </w:pPr>
      <w:del w:id="160" w:author="ERCOT" w:date="2011-01-24T11:09:00Z">
        <w:r w:rsidDel="0093642B">
          <w:delText>(e)</w:delText>
        </w:r>
        <w:r w:rsidDel="0093642B">
          <w:tab/>
          <w:delText>Run Date – the date in which the Invoice was created and published;</w:delText>
        </w:r>
      </w:del>
    </w:p>
    <w:p w:rsidR="00470790" w:rsidDel="0093642B" w:rsidRDefault="00470790" w:rsidP="00470790">
      <w:pPr>
        <w:pStyle w:val="List"/>
        <w:rPr>
          <w:del w:id="161" w:author="ERCOT" w:date="2011-01-24T11:09:00Z"/>
        </w:rPr>
      </w:pPr>
      <w:del w:id="162" w:author="ERCOT" w:date="2011-01-24T11:09:00Z">
        <w:r w:rsidDel="0093642B">
          <w:delText>(f)</w:delText>
        </w:r>
        <w:r w:rsidDel="0093642B">
          <w:tab/>
          <w:delText>Invoice Reference Number – a unique number generated by the ERCOT applications for payment tracking purposes;</w:delText>
        </w:r>
      </w:del>
    </w:p>
    <w:p w:rsidR="00470790" w:rsidDel="0093642B" w:rsidRDefault="00470790" w:rsidP="00470790">
      <w:pPr>
        <w:pStyle w:val="List"/>
        <w:rPr>
          <w:del w:id="163" w:author="ERCOT" w:date="2011-01-24T11:09:00Z"/>
        </w:rPr>
      </w:pPr>
      <w:del w:id="164" w:author="ERCOT" w:date="2011-01-24T11:09:00Z">
        <w:r w:rsidDel="0093642B">
          <w:delText>(g)</w:delText>
        </w:r>
        <w:r w:rsidDel="0093642B">
          <w:tab/>
          <w:delText>Payment Date and Time – the date and time that Invoice amounts are to be paid or received;</w:delText>
        </w:r>
      </w:del>
    </w:p>
    <w:p w:rsidR="00470790" w:rsidDel="0093642B" w:rsidRDefault="00470790" w:rsidP="00470790">
      <w:pPr>
        <w:pStyle w:val="List"/>
        <w:rPr>
          <w:del w:id="165" w:author="ERCOT" w:date="2011-01-24T11:09:00Z"/>
        </w:rPr>
      </w:pPr>
      <w:del w:id="166" w:author="ERCOT" w:date="2011-01-24T11:09:00Z">
        <w:r w:rsidDel="0093642B">
          <w:delText>(h)</w:delText>
        </w:r>
        <w:r w:rsidDel="0093642B">
          <w:tab/>
          <w:delText>Remittance Information Details – details including the account number, bank name and electronic transfer instructions for the ERCOT account to which any amounts owed by the Invoice Recipient must be paid or of the Invoice Recipient’s account from which ERCOT may draw payments due; and</w:delText>
        </w:r>
      </w:del>
    </w:p>
    <w:p w:rsidR="00470790" w:rsidDel="0093642B" w:rsidRDefault="00470790" w:rsidP="00470790">
      <w:pPr>
        <w:pStyle w:val="BodyTextNumbered"/>
        <w:tabs>
          <w:tab w:val="left" w:pos="1440"/>
        </w:tabs>
        <w:ind w:left="1440"/>
        <w:rPr>
          <w:del w:id="167" w:author="ERCOT" w:date="2011-01-24T11:09:00Z"/>
        </w:rPr>
      </w:pPr>
      <w:del w:id="168" w:author="ERCOT" w:date="2011-01-24T11:09:00Z">
        <w:r w:rsidDel="0093642B">
          <w:delText>(i)</w:delText>
        </w:r>
        <w:r w:rsidDel="0093642B">
          <w:tab/>
          <w:delText xml:space="preserve">Overdue Terms – the terms that would apply if the Market Participant makes a late payment.  </w:delText>
        </w:r>
      </w:del>
    </w:p>
    <w:p w:rsidR="00470790" w:rsidDel="0093642B" w:rsidRDefault="00470790" w:rsidP="00470790">
      <w:pPr>
        <w:pStyle w:val="BodyTextNumbered"/>
        <w:rPr>
          <w:del w:id="169" w:author="ERCOT" w:date="2011-01-24T11:09:00Z"/>
        </w:rPr>
      </w:pPr>
      <w:del w:id="170" w:author="ERCOT" w:date="2011-01-24T11:09:00Z">
        <w:r w:rsidDel="0093642B">
          <w:delText>(6)</w:delText>
        </w:r>
        <w:r w:rsidDel="0093642B">
          <w:tab/>
          <w:delText>Market Participants must make payments for DAM Late Fee Invoices on days that are both a Business Day and a Bank Business Day in a two-day, two-step process as detailed below.  Payments for DAM Late Fee Invoices are due on the applicable payment due date, whether or not there is any Settlement and billing dispute regarding the amount of the payment.</w:delText>
        </w:r>
      </w:del>
    </w:p>
    <w:p w:rsidR="00470790" w:rsidDel="0093642B" w:rsidRDefault="00470790" w:rsidP="00470790">
      <w:pPr>
        <w:pStyle w:val="BodyTextNumbered"/>
        <w:ind w:left="1440"/>
        <w:rPr>
          <w:del w:id="171" w:author="ERCOT" w:date="2011-01-24T11:09:00Z"/>
        </w:rPr>
      </w:pPr>
      <w:del w:id="172" w:author="ERCOT" w:date="2011-01-24T11:09:00Z">
        <w:r w:rsidDel="0093642B">
          <w:delText>(a)</w:delText>
        </w:r>
        <w:r w:rsidDel="0093642B">
          <w:tab/>
          <w:delText xml:space="preserve">The payment due date and time for the DAM Late Fee Invoice, with funds owed by an Invoice Recipient, is 1700 on the fourth Bank Business Day after the DAM Late Fee Invoice date, unless that fourth Bank Business Day is not a Business Day.  If the fourth Bank Business Day is not a Business Day, then the payment is due by 1700 on the next Bank Business Day after the fourth Bank Business Day that is also a Business Day.  </w:delText>
        </w:r>
      </w:del>
    </w:p>
    <w:p w:rsidR="00470790" w:rsidDel="0093642B" w:rsidRDefault="00470790" w:rsidP="00470790">
      <w:pPr>
        <w:pStyle w:val="BodyTextNumbered"/>
        <w:ind w:left="1440"/>
        <w:rPr>
          <w:del w:id="173" w:author="ERCOT" w:date="2011-01-24T11:09:00Z"/>
        </w:rPr>
      </w:pPr>
      <w:del w:id="174" w:author="ERCOT" w:date="2011-01-24T11:09:00Z">
        <w:r w:rsidDel="0093642B">
          <w:delText>(b)</w:delText>
        </w:r>
        <w:r w:rsidDel="0093642B">
          <w:tab/>
          <w:delText xml:space="preserve">All DAM Late Fee Invoices due, with funds owed by an Invoice Recipient, must be paid to ERCOT in USDs by either of the following: </w:delText>
        </w:r>
      </w:del>
    </w:p>
    <w:p w:rsidR="00470790" w:rsidDel="0093642B" w:rsidRDefault="00470790" w:rsidP="00470790">
      <w:pPr>
        <w:pStyle w:val="List"/>
        <w:ind w:left="2160"/>
        <w:rPr>
          <w:del w:id="175" w:author="ERCOT" w:date="2011-01-24T11:09:00Z"/>
        </w:rPr>
      </w:pPr>
      <w:del w:id="176" w:author="ERCOT" w:date="2011-01-24T11:09:00Z">
        <w:r w:rsidDel="0093642B">
          <w:delText>(i)</w:delText>
        </w:r>
        <w:r w:rsidDel="0093642B">
          <w:tab/>
          <w:delText xml:space="preserve">On or before the payment due date if the payment is made by EFT in immediately available or good funds (i.e. not subject to reversal); or  </w:delText>
        </w:r>
      </w:del>
    </w:p>
    <w:p w:rsidR="00470790" w:rsidDel="0093642B" w:rsidRDefault="00470790" w:rsidP="00470790">
      <w:pPr>
        <w:pStyle w:val="List"/>
        <w:ind w:left="2160"/>
        <w:rPr>
          <w:del w:id="177" w:author="ERCOT" w:date="2011-01-24T11:09:00Z"/>
        </w:rPr>
      </w:pPr>
      <w:del w:id="178" w:author="ERCOT" w:date="2011-01-24T11:09:00Z">
        <w:r w:rsidDel="0093642B">
          <w:lastRenderedPageBreak/>
          <w:delText>(ii)</w:delText>
        </w:r>
        <w:r w:rsidDel="0093642B">
          <w:tab/>
          <w:delText xml:space="preserve">On or before two Bank Business Days before the payment due date if the payment is made by ACH funds. </w:delText>
        </w:r>
      </w:del>
    </w:p>
    <w:p w:rsidR="00470790" w:rsidDel="0093642B" w:rsidRDefault="00470790" w:rsidP="00470790">
      <w:pPr>
        <w:pStyle w:val="BodyTextNumbered"/>
        <w:ind w:left="1440"/>
        <w:rPr>
          <w:del w:id="179" w:author="ERCOT" w:date="2011-01-24T11:09:00Z"/>
        </w:rPr>
      </w:pPr>
      <w:del w:id="180" w:author="ERCOT" w:date="2011-01-24T11:09:00Z">
        <w:r w:rsidDel="0093642B">
          <w:delText>(c)</w:delText>
        </w:r>
        <w:r w:rsidDel="0093642B">
          <w:tab/>
          <w:delText xml:space="preserve">Subject to the availability of funds as discussed in paragraph (d) below, DAM Late Fee Invoices with funds owed to an Invoice Recipient must be paid by ERCOT to the Invoice Recipient by 1700 on the next Bank Business Day after payments are due for that DAM Late Fee Invoice under paragraph (a) above, subject to ERCOT’s right to withhold payments under Section 16, Registration and Qualification of Market Participants, unless that next Bank Business Day is not a Business Day.  If that next Bank Business Day is not a Business Day, then the payment is due on the next Bank Business Day thereafter that is also a Business Day.  </w:delText>
        </w:r>
      </w:del>
    </w:p>
    <w:p w:rsidR="00470790" w:rsidDel="0093642B" w:rsidRDefault="00470790" w:rsidP="00470790">
      <w:pPr>
        <w:pStyle w:val="BodyTextNumbered"/>
        <w:ind w:left="1440"/>
        <w:rPr>
          <w:del w:id="181" w:author="ERCOT" w:date="2011-01-24T11:09:00Z"/>
        </w:rPr>
      </w:pPr>
      <w:del w:id="182" w:author="ERCOT" w:date="2011-01-24T11:09:00Z">
        <w:r w:rsidDel="0093642B">
          <w:delText>(d)</w:delText>
        </w:r>
        <w:r w:rsidDel="0093642B">
          <w:tab/>
          <w:delText>If at least one Invoice Recipient owing funds does not pay its DAM Late Fee Invoice in full (short-pays), then ERCOT shall reduce payments to all DAM Late Fee Invoice Recipients owed monies from ERCOT.  The reductions must be based on a pro rata basis of monies owed to each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Invoice.  ERCOT shall give irrevocable instructions to the ERCOT financial institution to remit, to each Invoice Recipient for same day value, the amounts determined by ERCOT to be available for payment.</w:delText>
        </w:r>
      </w:del>
    </w:p>
    <w:p w:rsidR="00470790" w:rsidRDefault="00470790" w:rsidP="00470790">
      <w:pPr>
        <w:pStyle w:val="H3"/>
      </w:pPr>
      <w:bookmarkStart w:id="183" w:name="_Toc283791497"/>
      <w:bookmarkStart w:id="184" w:name="_Toc265495995"/>
      <w:r>
        <w:t>9.5.6</w:t>
      </w:r>
      <w:r>
        <w:tab/>
        <w:t>RTM Resettlement Statement</w:t>
      </w:r>
      <w:bookmarkEnd w:id="183"/>
    </w:p>
    <w:p w:rsidR="00470790" w:rsidRDefault="00470790" w:rsidP="00470790">
      <w:pPr>
        <w:pStyle w:val="BodyTextNumbered"/>
      </w:pPr>
      <w:r>
        <w:t>(1)</w:t>
      </w:r>
      <w:r>
        <w:tab/>
        <w:t xml:space="preserve">ERCOT shall issue a RTM Resettlement Statement using corrected Settlement data due to resolution of disputes and correction of data errors.  </w:t>
      </w:r>
      <w:r>
        <w:rPr>
          <w:rFonts w:ascii="TimesNewRomanPSMT" w:hAnsi="TimesNewRomanPSMT" w:cs="TimesNewRomanPSMT"/>
          <w:szCs w:val="24"/>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t>Despite the preceding sentence, the ERCOT Board may, in its discretion, direct ERCOT to run a resettlement of any Operating Day, at any time, to address unusual circumstances.</w:t>
      </w:r>
    </w:p>
    <w:p w:rsidR="00470790" w:rsidRDefault="00470790" w:rsidP="00470790">
      <w:pPr>
        <w:pStyle w:val="BodyTextNumbered"/>
      </w:pPr>
      <w:r>
        <w:t>(2)</w:t>
      </w:r>
      <w:r>
        <w:tab/>
        <w:t>ERCOT shall issue a RTM Resettlement Statement for a given Operating Day due to data error in data other than prices when the total of all errors in data other than prices results in an impact greater than 2% of the total payments due to ERCOT for the RTM for the Operating Day, excluding bilateral transactions.  ERCOT shall issue RTM Resettlement Statements as soon as possible to correct the errors.  ERCOT shall review this percentage on an annual basis.  Upon the review, ERCOT may make a recommendation to revise this percentage under Section 21, Process for Nodal Protocol Revision.</w:t>
      </w:r>
    </w:p>
    <w:p w:rsidR="00470790" w:rsidRDefault="00470790" w:rsidP="00470790">
      <w:pPr>
        <w:pStyle w:val="BodyTextNumbered"/>
      </w:pPr>
      <w:r>
        <w:lastRenderedPageBreak/>
        <w:t>(3)</w:t>
      </w:r>
      <w:r>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effect the dispute’s resolution on an RTM Resettlement Statement for that Operating Day.  ERCOT shall issue such an RTM Resettlement Statement within a reasonable time after resolving the Settlement and billing dispute.  </w:t>
      </w:r>
    </w:p>
    <w:p w:rsidR="00470790" w:rsidRDefault="00470790" w:rsidP="00470790">
      <w:pPr>
        <w:pStyle w:val="BodyTextNumbered"/>
      </w:pPr>
      <w:r>
        <w:t>(4)</w:t>
      </w:r>
      <w:r>
        <w:tab/>
        <w:t xml:space="preserve">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w:t>
      </w:r>
      <w:del w:id="185" w:author="ERCOT" w:date="2011-03-29T08:14:00Z">
        <w:r w:rsidDel="000F7CB5">
          <w:delText xml:space="preserve">RTM </w:delText>
        </w:r>
      </w:del>
      <w:ins w:id="186" w:author="ERCOT" w:date="2011-03-29T08:14:00Z">
        <w:r>
          <w:t xml:space="preserve">Settlement </w:t>
        </w:r>
      </w:ins>
      <w:r>
        <w:t>Invoice after ERCOT has issued the RTM True-Up Statement.</w:t>
      </w:r>
    </w:p>
    <w:p w:rsidR="00470790" w:rsidRDefault="00470790" w:rsidP="00470790">
      <w:pPr>
        <w:pStyle w:val="BodyTextNumbered"/>
      </w:pPr>
      <w:r>
        <w:t>(5)</w:t>
      </w:r>
      <w:r>
        <w:tab/>
        <w:t xml:space="preserve">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 </w:t>
      </w:r>
    </w:p>
    <w:p w:rsidR="00470790" w:rsidRDefault="00470790" w:rsidP="00470790">
      <w:pPr>
        <w:pStyle w:val="H2"/>
      </w:pPr>
    </w:p>
    <w:p w:rsidR="00470790" w:rsidRDefault="00470790" w:rsidP="00470790">
      <w:pPr>
        <w:pStyle w:val="H2"/>
      </w:pPr>
      <w:r>
        <w:t>9.6</w:t>
      </w:r>
      <w:r>
        <w:tab/>
        <w:t>Settlement Invoices for</w:t>
      </w:r>
      <w:ins w:id="187" w:author="ERCOT" w:date="2011-03-07T15:05:00Z">
        <w:r>
          <w:t xml:space="preserve"> </w:t>
        </w:r>
      </w:ins>
      <w:r>
        <w:t xml:space="preserve">the </w:t>
      </w:r>
      <w:ins w:id="188" w:author="ERCOT" w:date="2011-03-07T15:05:00Z">
        <w:r>
          <w:t>D</w:t>
        </w:r>
      </w:ins>
      <w:ins w:id="189" w:author="ERCOT" w:date="2011-04-06T16:36:00Z">
        <w:r>
          <w:t>ay-Ahead Market</w:t>
        </w:r>
      </w:ins>
      <w:ins w:id="190" w:author="ERCOT" w:date="2011-04-06T16:38:00Z">
        <w:r>
          <w:t xml:space="preserve"> </w:t>
        </w:r>
      </w:ins>
      <w:ins w:id="191" w:author="ERCOT" w:date="2011-03-07T15:05:00Z">
        <w:r>
          <w:t xml:space="preserve">and </w:t>
        </w:r>
      </w:ins>
      <w:r>
        <w:t>Real-Time Market</w:t>
      </w:r>
      <w:bookmarkEnd w:id="184"/>
    </w:p>
    <w:p w:rsidR="00470790" w:rsidRDefault="00470790" w:rsidP="00470790">
      <w:pPr>
        <w:pStyle w:val="BodyTextNumbered"/>
        <w:tabs>
          <w:tab w:val="left" w:pos="1440"/>
        </w:tabs>
      </w:pPr>
      <w:r>
        <w:t>(1)</w:t>
      </w:r>
      <w:r>
        <w:tab/>
        <w:t xml:space="preserve">ERCOT shall prepare Settlement Invoices </w:t>
      </w:r>
      <w:del w:id="192" w:author="ERCOT" w:date="2011-02-08T14:27:00Z">
        <w:r w:rsidDel="00164192">
          <w:delText xml:space="preserve">for the RTM (RTM Invoices) </w:delText>
        </w:r>
      </w:del>
      <w:r>
        <w:t xml:space="preserve">on a net basis </w:t>
      </w:r>
      <w:del w:id="193" w:author="SEWG_0418" w:date="2011-04-18T11:53:00Z">
        <w:r w:rsidDel="00124FF2">
          <w:delText>for</w:delText>
        </w:r>
      </w:del>
      <w:ins w:id="194" w:author="ERCOT" w:date="2011-03-29T08:00:00Z">
        <w:del w:id="195" w:author="SEWG_0418" w:date="2011-04-18T11:53:00Z">
          <w:r w:rsidDel="00124FF2">
            <w:delText xml:space="preserve"> </w:delText>
          </w:r>
        </w:del>
        <w:del w:id="196" w:author="SEWG_0418" w:date="2011-04-18T11:52:00Z">
          <w:r w:rsidDel="00124FF2">
            <w:delText xml:space="preserve">a Counter-Party </w:delText>
          </w:r>
        </w:del>
      </w:ins>
      <w:del w:id="197" w:author="SEWG_0418" w:date="2011-04-18T11:52:00Z">
        <w:r w:rsidDel="00124FF2">
          <w:delText xml:space="preserve"> </w:delText>
        </w:r>
      </w:del>
      <w:del w:id="198" w:author="ERCOT" w:date="2011-03-29T08:00:00Z">
        <w:r w:rsidDel="00B4228B">
          <w:delText xml:space="preserve">each </w:delText>
        </w:r>
        <w:r w:rsidRPr="00D73CFC" w:rsidDel="00B4228B">
          <w:delText>Invoice cycle</w:delText>
        </w:r>
        <w:r w:rsidDel="00B4228B">
          <w:delText xml:space="preserve"> </w:delText>
        </w:r>
      </w:del>
      <w:r>
        <w:t xml:space="preserve">based on </w:t>
      </w:r>
      <w:ins w:id="199" w:author="ERCOT" w:date="2011-04-06T16:38:00Z">
        <w:r>
          <w:t>Day-Ahead Market (</w:t>
        </w:r>
      </w:ins>
      <w:ins w:id="200" w:author="ERCOT" w:date="2011-01-24T11:10:00Z">
        <w:r>
          <w:t>DAM</w:t>
        </w:r>
      </w:ins>
      <w:ins w:id="201" w:author="ERCOT" w:date="2011-04-06T16:39:00Z">
        <w:r>
          <w:t>)</w:t>
        </w:r>
      </w:ins>
      <w:r>
        <w:t xml:space="preserve"> </w:t>
      </w:r>
      <w:ins w:id="202" w:author="ERCOT" w:date="2011-01-24T11:10:00Z">
        <w:r>
          <w:t xml:space="preserve">Statements, DAM Resettlement Statements, </w:t>
        </w:r>
      </w:ins>
      <w:ins w:id="203" w:author="ERCOT" w:date="2011-04-06T16:39:00Z">
        <w:r>
          <w:t>Real-Time Market (</w:t>
        </w:r>
      </w:ins>
      <w:r>
        <w:t>RTM</w:t>
      </w:r>
      <w:ins w:id="204" w:author="ERCOT" w:date="2011-04-06T16:39:00Z">
        <w:r>
          <w:t>)</w:t>
        </w:r>
      </w:ins>
      <w:r>
        <w:t xml:space="preserve"> Initial Statements, RTM Final Statements, RTM True-Up Statements and RTM Resettlement Statements</w:t>
      </w:r>
      <w:ins w:id="205" w:author="ERCOT" w:date="2011-03-29T08:05:00Z">
        <w:del w:id="206" w:author="SEWG_0418" w:date="2011-04-18T11:53:00Z">
          <w:r w:rsidDel="00124FF2">
            <w:delText xml:space="preserve"> for </w:delText>
          </w:r>
        </w:del>
      </w:ins>
      <w:ins w:id="207" w:author="ERCOT" w:date="2011-04-06T13:40:00Z">
        <w:del w:id="208" w:author="SEWG_0418" w:date="2011-04-18T11:53:00Z">
          <w:r w:rsidDel="00124FF2">
            <w:delText>E</w:delText>
          </w:r>
        </w:del>
      </w:ins>
      <w:ins w:id="209" w:author="ERCOT" w:date="2011-03-29T08:05:00Z">
        <w:del w:id="210" w:author="SEWG_0418" w:date="2011-04-18T11:53:00Z">
          <w:r w:rsidDel="00124FF2">
            <w:delText>ntities registered</w:delText>
          </w:r>
        </w:del>
      </w:ins>
      <w:ins w:id="211" w:author="ERCOT" w:date="2011-03-29T08:06:00Z">
        <w:del w:id="212" w:author="SEWG_0418" w:date="2011-04-18T11:53:00Z">
          <w:r w:rsidDel="00124FF2">
            <w:delText xml:space="preserve"> by the same Counter-Party</w:delText>
          </w:r>
        </w:del>
      </w:ins>
      <w:r>
        <w:t xml:space="preserve">.  </w:t>
      </w:r>
      <w:del w:id="213" w:author="ERCOT" w:date="2011-01-24T11:10:00Z">
        <w:r w:rsidDel="0093642B">
          <w:delText xml:space="preserve">ERCOT must issue Invoices on a weekly basis on each Thursday, unless that Thursday is not a Business Day. If a Thursday is not a Business Day, ERCOT shall issue the RTM Invoices on the next Business Day after that Thursday.  </w:delText>
        </w:r>
      </w:del>
      <w:ins w:id="214" w:author="ERCOT" w:date="2011-01-24T11:10:00Z">
        <w:r w:rsidRPr="00D73CFC">
          <w:t xml:space="preserve">ERCOT shall issue the </w:t>
        </w:r>
      </w:ins>
      <w:ins w:id="215" w:author="ERCOT" w:date="2011-02-08T14:27:00Z">
        <w:r w:rsidRPr="00D73CFC">
          <w:t>Settlement</w:t>
        </w:r>
      </w:ins>
      <w:ins w:id="216" w:author="ERCOT" w:date="2011-01-24T11:10:00Z">
        <w:r w:rsidRPr="00D73CFC">
          <w:t xml:space="preserve"> Invoice</w:t>
        </w:r>
      </w:ins>
      <w:ins w:id="217" w:author="ERCOT" w:date="2011-03-07T15:08:00Z">
        <w:r>
          <w:t>s</w:t>
        </w:r>
      </w:ins>
      <w:ins w:id="218" w:author="ERCOT" w:date="2011-01-24T11:10:00Z">
        <w:r w:rsidRPr="00D73CFC">
          <w:t xml:space="preserve"> on the same Business Day as the day that the DAM and RTM Statements are posted to the </w:t>
        </w:r>
      </w:ins>
      <w:ins w:id="219" w:author="ERCOT" w:date="2011-04-06T16:39:00Z">
        <w:r>
          <w:t>Market Information System</w:t>
        </w:r>
      </w:ins>
      <w:ins w:id="220" w:author="ERCOT" w:date="2011-04-06T16:40:00Z">
        <w:r>
          <w:t xml:space="preserve"> (</w:t>
        </w:r>
      </w:ins>
      <w:ins w:id="221" w:author="ERCOT" w:date="2011-01-24T11:10:00Z">
        <w:r w:rsidRPr="00D73CFC">
          <w:t>MIS</w:t>
        </w:r>
      </w:ins>
      <w:ins w:id="222" w:author="ERCOT" w:date="2011-04-06T16:40:00Z">
        <w:r>
          <w:t>)</w:t>
        </w:r>
      </w:ins>
      <w:ins w:id="223" w:author="ERCOT" w:date="2011-01-24T11:10:00Z">
        <w:r w:rsidRPr="00D73CFC">
          <w:t xml:space="preserve"> Certified </w:t>
        </w:r>
      </w:ins>
      <w:ins w:id="224" w:author="ERCOT" w:date="2011-04-06T16:40:00Z">
        <w:r>
          <w:t>A</w:t>
        </w:r>
      </w:ins>
      <w:ins w:id="225" w:author="ERCOT" w:date="2011-01-24T11:10:00Z">
        <w:r w:rsidRPr="00D73CFC">
          <w:t xml:space="preserve">rea. </w:t>
        </w:r>
      </w:ins>
      <w:r>
        <w:t xml:space="preserve">ERCOT will post the actual dates that it will issue </w:t>
      </w:r>
      <w:ins w:id="226" w:author="ERCOT" w:date="2011-01-24T11:11:00Z">
        <w:r>
          <w:t xml:space="preserve">the </w:t>
        </w:r>
      </w:ins>
      <w:del w:id="227" w:author="ERCOT" w:date="2011-02-08T14:30:00Z">
        <w:r w:rsidDel="00164192">
          <w:delText>RTM</w:delText>
        </w:r>
      </w:del>
      <w:ins w:id="228" w:author="ERCOT" w:date="2011-02-08T14:30:00Z">
        <w:r>
          <w:t>Settlement</w:t>
        </w:r>
      </w:ins>
      <w:r>
        <w:t xml:space="preserve"> Invoices under Section 9.1.2</w:t>
      </w:r>
      <w:ins w:id="229" w:author="ERCOT" w:date="2011-04-06T16:41:00Z">
        <w:r>
          <w:t>, Settlement Calendar</w:t>
        </w:r>
      </w:ins>
      <w:r>
        <w:t xml:space="preserve">.  </w:t>
      </w:r>
      <w:del w:id="230" w:author="ERCOT" w:date="2011-01-24T11:11:00Z">
        <w:r w:rsidDel="0093642B">
          <w:delText>For each cycle, t</w:delText>
        </w:r>
      </w:del>
      <w:ins w:id="231" w:author="ERCOT" w:date="2011-01-24T11:11:00Z">
        <w:r>
          <w:t>T</w:t>
        </w:r>
      </w:ins>
      <w:r>
        <w:t xml:space="preserve">he </w:t>
      </w:r>
      <w:del w:id="232" w:author="ERCOT" w:date="2011-03-29T08:21:00Z">
        <w:r w:rsidDel="00BD1A18">
          <w:delText>Market Participant</w:delText>
        </w:r>
      </w:del>
      <w:ins w:id="233" w:author="ERCOT" w:date="2011-03-29T08:21:00Z">
        <w:del w:id="234" w:author="SEWG_0418" w:date="2011-04-18T11:53:00Z">
          <w:r w:rsidDel="00124FF2">
            <w:delText>Counter-Party</w:delText>
          </w:r>
        </w:del>
      </w:ins>
      <w:r>
        <w:t xml:space="preserve"> </w:t>
      </w:r>
      <w:ins w:id="235" w:author="SEWG_0418" w:date="2011-04-18T11:53:00Z">
        <w:r>
          <w:t xml:space="preserve">Market Participant </w:t>
        </w:r>
      </w:ins>
      <w:r>
        <w:t xml:space="preserve">to whom the </w:t>
      </w:r>
      <w:del w:id="236" w:author="ERCOT" w:date="2011-03-07T14:34:00Z">
        <w:r w:rsidDel="006332C8">
          <w:delText xml:space="preserve">RTM </w:delText>
        </w:r>
      </w:del>
      <w:ins w:id="237" w:author="ERCOT" w:date="2011-03-07T14:34:00Z">
        <w:r>
          <w:t xml:space="preserve">Settlement </w:t>
        </w:r>
      </w:ins>
      <w:r>
        <w:t xml:space="preserve">Invoice is addressed (“Invoice Recipient”) is either a net payee or net payor.  </w:t>
      </w:r>
    </w:p>
    <w:p w:rsidR="00470790" w:rsidRDefault="00470790" w:rsidP="00470790">
      <w:pPr>
        <w:pStyle w:val="BodyTextNumbered"/>
      </w:pPr>
      <w:r>
        <w:t>(2)</w:t>
      </w:r>
      <w:r>
        <w:tab/>
        <w:t xml:space="preserve">Each Invoice Recipient shall pay any net debit and be entitled to receive any net credit shown on the </w:t>
      </w:r>
      <w:del w:id="238" w:author="ERCOT" w:date="2011-02-08T14:28:00Z">
        <w:r w:rsidDel="00164192">
          <w:delText>RTM</w:delText>
        </w:r>
      </w:del>
      <w:ins w:id="239" w:author="ERCOT" w:date="2011-02-08T14:28:00Z">
        <w:r>
          <w:t>Settlement</w:t>
        </w:r>
      </w:ins>
      <w:r>
        <w:t xml:space="preserve"> Invoice on the payment due date, whether or not there is any Settlement and </w:t>
      </w:r>
      <w:ins w:id="240" w:author="ERCOT" w:date="2011-03-29T08:16:00Z">
        <w:r>
          <w:t>B</w:t>
        </w:r>
      </w:ins>
      <w:del w:id="241" w:author="ERCOT" w:date="2011-03-29T08:16:00Z">
        <w:r w:rsidDel="00BD1A18">
          <w:delText>b</w:delText>
        </w:r>
      </w:del>
      <w:r>
        <w:t>illing dispute regarding the amount of the debit or credit.</w:t>
      </w:r>
    </w:p>
    <w:p w:rsidR="00470790" w:rsidRDefault="00470790" w:rsidP="00470790">
      <w:pPr>
        <w:pStyle w:val="BodyTextNumbered"/>
      </w:pPr>
      <w:r>
        <w:lastRenderedPageBreak/>
        <w:t>(3)</w:t>
      </w:r>
      <w:r>
        <w:tab/>
        <w:t xml:space="preserve">ERCOT shall post </w:t>
      </w:r>
      <w:del w:id="242" w:author="ERCOT" w:date="2011-02-08T14:28:00Z">
        <w:r w:rsidDel="00164192">
          <w:delText>RTM</w:delText>
        </w:r>
      </w:del>
      <w:ins w:id="243" w:author="ERCOT" w:date="2011-02-08T14:28:00Z">
        <w:r>
          <w:t>Settlement</w:t>
        </w:r>
      </w:ins>
      <w:r>
        <w:t xml:space="preserve"> Invoices on the MIS Certified Area.  The Invoice Recipient is responsible for accessing the </w:t>
      </w:r>
      <w:del w:id="244" w:author="ERCOT" w:date="2011-02-08T14:28:00Z">
        <w:r w:rsidDel="00164192">
          <w:delText>RTM</w:delText>
        </w:r>
      </w:del>
      <w:ins w:id="245" w:author="ERCOT" w:date="2011-02-08T14:28:00Z">
        <w:r>
          <w:t>Settlement</w:t>
        </w:r>
      </w:ins>
      <w:r>
        <w:t xml:space="preserve"> Invoice on the MIS Certified Area once posted by ERCOT. </w:t>
      </w:r>
    </w:p>
    <w:p w:rsidR="00470790" w:rsidRDefault="00470790" w:rsidP="00470790">
      <w:pPr>
        <w:pStyle w:val="BodyTextNumbered"/>
      </w:pPr>
      <w:r>
        <w:t>(4)</w:t>
      </w:r>
      <w:r>
        <w:tab/>
      </w:r>
      <w:del w:id="246" w:author="ERCOT" w:date="2011-02-08T14:28:00Z">
        <w:r w:rsidDel="00164192">
          <w:delText>RTM</w:delText>
        </w:r>
      </w:del>
      <w:ins w:id="247" w:author="ERCOT" w:date="2011-02-08T14:28:00Z">
        <w:r>
          <w:t>Settlement</w:t>
        </w:r>
      </w:ins>
      <w:r>
        <w:t xml:space="preserve"> Invoice items must be grouped by </w:t>
      </w:r>
      <w:ins w:id="248" w:author="ERCOT" w:date="2011-01-24T11:13:00Z">
        <w:r>
          <w:t>DAM,</w:t>
        </w:r>
      </w:ins>
      <w:ins w:id="249" w:author="ERCOT" w:date="2011-02-08T14:29:00Z">
        <w:r>
          <w:t xml:space="preserve"> DAM Resettlement,</w:t>
        </w:r>
      </w:ins>
      <w:ins w:id="250" w:author="ERCOT" w:date="2011-01-24T11:13:00Z">
        <w:r>
          <w:t xml:space="preserve"> </w:t>
        </w:r>
      </w:ins>
      <w:ins w:id="251" w:author="ERCOT" w:date="2011-02-08T14:29:00Z">
        <w:r>
          <w:t xml:space="preserve">RTM </w:t>
        </w:r>
      </w:ins>
      <w:r>
        <w:t xml:space="preserve">Initial, </w:t>
      </w:r>
      <w:ins w:id="252" w:author="ERCOT" w:date="2011-02-08T14:29:00Z">
        <w:r>
          <w:t xml:space="preserve">RTM </w:t>
        </w:r>
      </w:ins>
      <w:r>
        <w:t xml:space="preserve">Final, </w:t>
      </w:r>
      <w:ins w:id="253" w:author="ERCOT" w:date="2011-02-08T14:29:00Z">
        <w:r>
          <w:t xml:space="preserve">RTM </w:t>
        </w:r>
      </w:ins>
      <w:r>
        <w:t xml:space="preserve">Resettlement, and </w:t>
      </w:r>
      <w:ins w:id="254" w:author="ERCOT" w:date="2011-02-08T14:29:00Z">
        <w:r>
          <w:t xml:space="preserve">RTM </w:t>
        </w:r>
      </w:ins>
      <w:r>
        <w:t xml:space="preserve">True-Up categories and must be sorted by Operating Day within each category.  </w:t>
      </w:r>
      <w:del w:id="255" w:author="ERCOT" w:date="2011-02-08T14:29:00Z">
        <w:r w:rsidDel="00164192">
          <w:delText>RTM</w:delText>
        </w:r>
      </w:del>
      <w:ins w:id="256" w:author="ERCOT" w:date="2011-02-08T14:29:00Z">
        <w:r>
          <w:t>Settlement</w:t>
        </w:r>
      </w:ins>
      <w:r>
        <w:t xml:space="preserve"> Invoices must contain the following information:</w:t>
      </w:r>
    </w:p>
    <w:p w:rsidR="00470790" w:rsidRDefault="00470790" w:rsidP="00470790">
      <w:pPr>
        <w:pStyle w:val="BodyTextNumbered"/>
        <w:ind w:left="1440"/>
      </w:pPr>
      <w:r>
        <w:t>(a)</w:t>
      </w:r>
      <w:r>
        <w:tab/>
      </w:r>
      <w:r>
        <w:rPr>
          <w:iCs w:val="0"/>
        </w:rPr>
        <w:t>The Invoice Recipient’s name;</w:t>
      </w:r>
    </w:p>
    <w:p w:rsidR="00470790" w:rsidRDefault="00470790" w:rsidP="00470790">
      <w:pPr>
        <w:pStyle w:val="BodyTextNumbered"/>
        <w:ind w:left="1440"/>
      </w:pPr>
      <w:r>
        <w:rPr>
          <w:iCs w:val="0"/>
        </w:rPr>
        <w:t>(b)</w:t>
      </w:r>
      <w:r>
        <w:rPr>
          <w:iCs w:val="0"/>
        </w:rPr>
        <w:tab/>
        <w:t>The ERCOT identifier (Settlement identification number issued by ERCOT);</w:t>
      </w:r>
    </w:p>
    <w:p w:rsidR="00470790" w:rsidRDefault="00470790" w:rsidP="00470790">
      <w:pPr>
        <w:pStyle w:val="List"/>
        <w:ind w:left="1440"/>
      </w:pPr>
      <w:r>
        <w:t>(c)</w:t>
      </w:r>
      <w:r>
        <w:tab/>
        <w:t xml:space="preserve">Net Amount Due/Payable – the aggregate summary of all charges owed </w:t>
      </w:r>
      <w:ins w:id="257" w:author="ERCOT" w:date="2011-01-24T11:13:00Z">
        <w:r>
          <w:t xml:space="preserve">by, </w:t>
        </w:r>
      </w:ins>
      <w:r>
        <w:t xml:space="preserve">or due </w:t>
      </w:r>
      <w:del w:id="258" w:author="ERCOT" w:date="2011-01-24T11:13:00Z">
        <w:r w:rsidDel="0093642B">
          <w:delText>by</w:delText>
        </w:r>
      </w:del>
      <w:ins w:id="259" w:author="ERCOT" w:date="2011-01-24T11:13:00Z">
        <w:r>
          <w:t>to,</w:t>
        </w:r>
      </w:ins>
      <w:r>
        <w:t xml:space="preserve"> the Invoice Recipient</w:t>
      </w:r>
      <w:del w:id="260" w:author="ERCOT" w:date="2011-03-29T08:08:00Z">
        <w:r w:rsidDel="000F7CB5">
          <w:delText xml:space="preserve"> summarized by Operating Day</w:delText>
        </w:r>
      </w:del>
      <w:r>
        <w:t>;</w:t>
      </w:r>
    </w:p>
    <w:p w:rsidR="00470790" w:rsidRDefault="00470790" w:rsidP="00470790">
      <w:pPr>
        <w:pStyle w:val="List"/>
        <w:ind w:left="1440"/>
      </w:pPr>
      <w:r>
        <w:t>(d)</w:t>
      </w:r>
      <w:r>
        <w:tab/>
        <w:t>Time Periods – the time period covered for each line item;</w:t>
      </w:r>
    </w:p>
    <w:p w:rsidR="00470790" w:rsidRDefault="00470790" w:rsidP="00470790">
      <w:pPr>
        <w:pStyle w:val="List"/>
        <w:ind w:left="1440"/>
      </w:pPr>
      <w:r>
        <w:t>(e)</w:t>
      </w:r>
      <w:r>
        <w:tab/>
        <w:t>Run Date – the date on which the Invoice was created and published;</w:t>
      </w:r>
    </w:p>
    <w:p w:rsidR="00470790" w:rsidRDefault="00470790" w:rsidP="00470790">
      <w:pPr>
        <w:pStyle w:val="List"/>
        <w:ind w:left="1440"/>
      </w:pPr>
      <w:r>
        <w:t>(f)</w:t>
      </w:r>
      <w:r>
        <w:tab/>
        <w:t>Invoice Reference Number – a unique number generated by ERCOT for payment tracking purposes;</w:t>
      </w:r>
    </w:p>
    <w:p w:rsidR="00470790" w:rsidRDefault="00470790" w:rsidP="00470790">
      <w:pPr>
        <w:pStyle w:val="List"/>
        <w:ind w:left="1440"/>
      </w:pPr>
      <w:r>
        <w:t>(g)</w:t>
      </w:r>
      <w:r>
        <w:tab/>
        <w:t>Statement Reference – an identification code used to reference each Settlement Statement invoiced;</w:t>
      </w:r>
    </w:p>
    <w:p w:rsidR="00470790" w:rsidRDefault="00470790" w:rsidP="00470790">
      <w:pPr>
        <w:pStyle w:val="List"/>
        <w:ind w:left="1440"/>
      </w:pPr>
      <w:r>
        <w:t>(h)</w:t>
      </w:r>
      <w:r>
        <w:tab/>
        <w:t xml:space="preserve">Payment Date </w:t>
      </w:r>
      <w:ins w:id="261" w:author="ERCOT" w:date="2011-01-24T11:13:00Z">
        <w:r>
          <w:t xml:space="preserve">and Time </w:t>
        </w:r>
      </w:ins>
      <w:r>
        <w:t>– the date and time that Invoice amounts are to be paid or received;</w:t>
      </w:r>
    </w:p>
    <w:p w:rsidR="00470790" w:rsidRDefault="00470790" w:rsidP="00470790">
      <w:pPr>
        <w:pStyle w:val="List"/>
        <w:ind w:left="1440"/>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rsidR="00470790" w:rsidRDefault="00470790" w:rsidP="00470790">
      <w:pPr>
        <w:pStyle w:val="List"/>
        <w:ind w:left="1440"/>
      </w:pPr>
      <w:r>
        <w:t>(j)</w:t>
      </w:r>
      <w:r>
        <w:tab/>
        <w:t>Overdue Terms – the terms that would be applied if payments were received late.</w:t>
      </w:r>
    </w:p>
    <w:p w:rsidR="00470790" w:rsidRDefault="00470790" w:rsidP="00470790">
      <w:pPr>
        <w:pStyle w:val="H2"/>
      </w:pPr>
      <w:bookmarkStart w:id="262" w:name="_Toc265495996"/>
      <w:r>
        <w:t>9.7</w:t>
      </w:r>
      <w:r>
        <w:tab/>
        <w:t xml:space="preserve">Payment Process for the </w:t>
      </w:r>
      <w:del w:id="263" w:author="ERCOT" w:date="2011-03-04T17:34:00Z">
        <w:r w:rsidDel="00BA718B">
          <w:delText>RTM</w:delText>
        </w:r>
      </w:del>
      <w:bookmarkEnd w:id="262"/>
      <w:ins w:id="264" w:author="ERCOT" w:date="2011-02-08T14:24:00Z">
        <w:r>
          <w:t>Settlement Invoice</w:t>
        </w:r>
      </w:ins>
      <w:ins w:id="265" w:author="ERCOT" w:date="2011-03-07T15:02:00Z">
        <w:r>
          <w:t>s</w:t>
        </w:r>
      </w:ins>
    </w:p>
    <w:p w:rsidR="00470790" w:rsidRDefault="00470790" w:rsidP="00470790">
      <w:pPr>
        <w:pStyle w:val="ListIntroduction"/>
      </w:pPr>
      <w:r>
        <w:t xml:space="preserve">Payments for the </w:t>
      </w:r>
      <w:del w:id="266" w:author="ERCOT" w:date="2011-02-08T14:24:00Z">
        <w:r w:rsidDel="00164192">
          <w:delText>RTM</w:delText>
        </w:r>
      </w:del>
      <w:ins w:id="267" w:author="ERCOT" w:date="2011-02-08T14:24:00Z">
        <w:r>
          <w:t>Settlement</w:t>
        </w:r>
      </w:ins>
      <w:ins w:id="268" w:author="ERCOT" w:date="2011-01-24T11:14:00Z">
        <w:r>
          <w:t xml:space="preserve"> Invoice</w:t>
        </w:r>
      </w:ins>
      <w:ins w:id="269" w:author="ERCOT" w:date="2011-04-04T10:03:00Z">
        <w:r>
          <w:t>s</w:t>
        </w:r>
      </w:ins>
      <w:r>
        <w:t xml:space="preserve"> are due on a Business Day and Bank Business Day basis in a two-day, two-step process as detailed below.</w:t>
      </w:r>
    </w:p>
    <w:p w:rsidR="00470790" w:rsidRDefault="00470790" w:rsidP="00470790">
      <w:pPr>
        <w:pStyle w:val="H3"/>
      </w:pPr>
      <w:bookmarkStart w:id="270" w:name="_Toc265495997"/>
      <w:r>
        <w:t>9.7.1</w:t>
      </w:r>
      <w:r>
        <w:tab/>
        <w:t xml:space="preserve">Invoice Recipient Payment to ERCOT for the </w:t>
      </w:r>
      <w:del w:id="271" w:author="ERCOT" w:date="2011-03-04T17:34:00Z">
        <w:r w:rsidDel="00BA718B">
          <w:delText>RTM</w:delText>
        </w:r>
      </w:del>
      <w:bookmarkEnd w:id="270"/>
      <w:ins w:id="272" w:author="ERCOT" w:date="2011-02-08T14:31:00Z">
        <w:r>
          <w:t>Settlement Invoice</w:t>
        </w:r>
      </w:ins>
      <w:ins w:id="273" w:author="ERCOT" w:date="2011-02-08T14:41:00Z">
        <w:r>
          <w:t>s</w:t>
        </w:r>
      </w:ins>
    </w:p>
    <w:p w:rsidR="00470790" w:rsidRDefault="00470790" w:rsidP="00470790">
      <w:pPr>
        <w:pStyle w:val="BodyTextNumbered"/>
      </w:pPr>
      <w:r>
        <w:t>(1)</w:t>
      </w:r>
      <w:r>
        <w:tab/>
        <w:t xml:space="preserve">The payment due date and time for the </w:t>
      </w:r>
      <w:del w:id="274" w:author="ERCOT" w:date="2011-02-08T14:31:00Z">
        <w:r w:rsidDel="00164192">
          <w:delText>RTM</w:delText>
        </w:r>
      </w:del>
      <w:ins w:id="275" w:author="ERCOT" w:date="2011-02-08T14:31:00Z">
        <w:r>
          <w:t>Settlement</w:t>
        </w:r>
      </w:ins>
      <w:r>
        <w:t xml:space="preserve"> Invoice, with funds owed by an Invoice Recipient, is 1700 on the </w:t>
      </w:r>
      <w:del w:id="276" w:author="ERCOT" w:date="2011-01-24T11:14:00Z">
        <w:r w:rsidDel="0093642B">
          <w:delText xml:space="preserve">fifth </w:delText>
        </w:r>
      </w:del>
      <w:ins w:id="277" w:author="ERCOT" w:date="2011-01-24T11:14:00Z">
        <w:r>
          <w:t xml:space="preserve">third </w:t>
        </w:r>
      </w:ins>
      <w:r>
        <w:t xml:space="preserve">Bank Business Day after the </w:t>
      </w:r>
      <w:del w:id="278" w:author="ERCOT" w:date="2011-02-08T14:31:00Z">
        <w:r w:rsidDel="00164192">
          <w:delText>RTM</w:delText>
        </w:r>
      </w:del>
      <w:ins w:id="279" w:author="ERCOT" w:date="2011-02-08T14:31:00Z">
        <w:r>
          <w:t>Settlement</w:t>
        </w:r>
      </w:ins>
      <w:r>
        <w:t xml:space="preserve"> Invoice date, unless the </w:t>
      </w:r>
      <w:del w:id="280" w:author="ERCOT" w:date="2011-01-24T11:14:00Z">
        <w:r w:rsidDel="0093642B">
          <w:delText>fifth</w:delText>
        </w:r>
        <w:r w:rsidDel="0093642B">
          <w:rPr>
            <w:vertAlign w:val="superscript"/>
          </w:rPr>
          <w:delText xml:space="preserve"> </w:delText>
        </w:r>
      </w:del>
      <w:ins w:id="281" w:author="ERCOT" w:date="2011-01-24T11:14:00Z">
        <w:r>
          <w:t>third</w:t>
        </w:r>
        <w:r>
          <w:rPr>
            <w:vertAlign w:val="superscript"/>
          </w:rPr>
          <w:t xml:space="preserve"> </w:t>
        </w:r>
      </w:ins>
      <w:r>
        <w:t xml:space="preserve">Bank Business Day is not a Business Day.  If the </w:t>
      </w:r>
      <w:del w:id="282" w:author="ERCOT" w:date="2011-01-24T11:14:00Z">
        <w:r w:rsidDel="0093642B">
          <w:delText xml:space="preserve">fifth </w:delText>
        </w:r>
      </w:del>
      <w:ins w:id="283" w:author="ERCOT" w:date="2011-01-24T11:14:00Z">
        <w:r>
          <w:lastRenderedPageBreak/>
          <w:t xml:space="preserve">third </w:t>
        </w:r>
      </w:ins>
      <w:r>
        <w:t xml:space="preserve">Bank Business Day is not a Business Day, the payment is due by 1700 on the next Bank Business Day after the </w:t>
      </w:r>
      <w:del w:id="284" w:author="ERCOT" w:date="2011-01-24T11:15:00Z">
        <w:r w:rsidDel="00476383">
          <w:delText xml:space="preserve">fifth </w:delText>
        </w:r>
      </w:del>
      <w:ins w:id="285" w:author="ERCOT" w:date="2011-01-24T11:15:00Z">
        <w:r>
          <w:t xml:space="preserve">third </w:t>
        </w:r>
      </w:ins>
      <w:r>
        <w:t>Bank Business Day that is also a Business Day.</w:t>
      </w:r>
    </w:p>
    <w:p w:rsidR="00470790" w:rsidRDefault="00470790" w:rsidP="00470790">
      <w:pPr>
        <w:pStyle w:val="BodyTextNumbered"/>
      </w:pPr>
      <w:r>
        <w:t>(2)</w:t>
      </w:r>
      <w:r>
        <w:tab/>
        <w:t xml:space="preserve">All </w:t>
      </w:r>
      <w:del w:id="286" w:author="ERCOT" w:date="2011-02-08T14:32:00Z">
        <w:r w:rsidDel="00164192">
          <w:delText>RTM</w:delText>
        </w:r>
      </w:del>
      <w:ins w:id="287" w:author="ERCOT" w:date="2011-02-08T14:32:00Z">
        <w:r>
          <w:t>Settlement</w:t>
        </w:r>
      </w:ins>
      <w:r>
        <w:t xml:space="preserve"> Invoices due, with funds owed by an Invoice Recipient, must be paid to ERCOT in U.S. Dollars by either of the following: </w:t>
      </w:r>
    </w:p>
    <w:p w:rsidR="00470790" w:rsidRDefault="00470790" w:rsidP="00470790">
      <w:pPr>
        <w:pStyle w:val="List"/>
      </w:pPr>
      <w:r>
        <w:t>(a)</w:t>
      </w:r>
      <w:r>
        <w:tab/>
        <w:t xml:space="preserve">On or before the payment due date if the payment is made by Electronic Funds Transfer (EFT) in immediately available or good funds (i.e., not subject to reversal); or  </w:t>
      </w:r>
    </w:p>
    <w:p w:rsidR="00470790" w:rsidRDefault="00470790" w:rsidP="00470790">
      <w:pPr>
        <w:pStyle w:val="List"/>
      </w:pPr>
      <w:r>
        <w:t>(b)</w:t>
      </w:r>
      <w:r>
        <w:tab/>
        <w:t xml:space="preserve">On or before two Bank Business Days before the payment due date if the payment is made by Automated Clearing House (ACH) funds. </w:t>
      </w:r>
    </w:p>
    <w:p w:rsidR="00470790" w:rsidRDefault="00470790" w:rsidP="00470790">
      <w:pPr>
        <w:pStyle w:val="H3"/>
      </w:pPr>
      <w:bookmarkStart w:id="288" w:name="_Toc265495998"/>
      <w:r>
        <w:t>9.7.2</w:t>
      </w:r>
      <w:r>
        <w:tab/>
        <w:t xml:space="preserve">ERCOT Payment to Invoice Recipients for the </w:t>
      </w:r>
      <w:del w:id="289" w:author="ERCOT" w:date="2011-03-04T17:35:00Z">
        <w:r w:rsidDel="00BA718B">
          <w:delText>Real-Time Market</w:delText>
        </w:r>
      </w:del>
      <w:bookmarkEnd w:id="288"/>
      <w:ins w:id="290" w:author="ERCOT" w:date="2011-02-08T14:32:00Z">
        <w:r>
          <w:t>Settlement Invoice</w:t>
        </w:r>
      </w:ins>
      <w:ins w:id="291" w:author="ERCOT" w:date="2011-03-07T15:13:00Z">
        <w:r>
          <w:t>s</w:t>
        </w:r>
      </w:ins>
    </w:p>
    <w:p w:rsidR="00470790" w:rsidRDefault="00470790" w:rsidP="00470790">
      <w:pPr>
        <w:pStyle w:val="BodyTextNumbered"/>
      </w:pPr>
      <w:r>
        <w:t>(1)</w:t>
      </w:r>
      <w:r>
        <w:tab/>
        <w:t xml:space="preserve">Subject to the availability of funds as discussed in paragraph (2) below, ERCOT must pay </w:t>
      </w:r>
      <w:del w:id="292" w:author="ERCOT" w:date="2011-03-04T17:35:00Z">
        <w:r w:rsidDel="00BA718B">
          <w:delText>RTM</w:delText>
        </w:r>
      </w:del>
      <w:ins w:id="293" w:author="ERCOT" w:date="2011-02-08T14:32:00Z">
        <w:r>
          <w:t>Settlement</w:t>
        </w:r>
      </w:ins>
      <w:r>
        <w:t xml:space="preserve"> Invoices with funds owed to an Invoice Recipient by 1700 on the next Bank Business Day after payments are due for that </w:t>
      </w:r>
      <w:del w:id="294" w:author="ERCOT" w:date="2011-03-04T17:36:00Z">
        <w:r w:rsidDel="00BA718B">
          <w:delText>RTM</w:delText>
        </w:r>
      </w:del>
      <w:ins w:id="295" w:author="ERCOT" w:date="2011-02-08T14:33:00Z">
        <w:r>
          <w:t>Settlement Invoice</w:t>
        </w:r>
      </w:ins>
      <w:r>
        <w:t xml:space="preserve"> under Section 9.7.1, Invoice Recipient Payment to ERCOT for the </w:t>
      </w:r>
      <w:del w:id="296" w:author="ERCOT" w:date="2011-03-04T17:36:00Z">
        <w:r w:rsidDel="00BA718B">
          <w:delText>RTM,</w:delText>
        </w:r>
      </w:del>
      <w:ins w:id="297" w:author="ERCOT" w:date="2011-02-08T14:41:00Z">
        <w:r>
          <w:t>Settlement Invoices</w:t>
        </w:r>
      </w:ins>
      <w:r>
        <w:t xml:space="preserve"> subject to ERCOT’s right to withhold payments for any reason set forth in these Protocols or as a matter of law, unless that next Bank Business Day is not a Business Day.  If that next Bank Business Day is not a Business Day, the payment is due on the next Bank Business Day thereafter that is also a Business Day. </w:t>
      </w:r>
    </w:p>
    <w:p w:rsidR="00470790" w:rsidRDefault="00470790" w:rsidP="00470790">
      <w:pPr>
        <w:pStyle w:val="BodyTextNumbered"/>
      </w:pPr>
      <w:r>
        <w:t>(2)</w:t>
      </w:r>
      <w:r>
        <w:tab/>
        <w:t xml:space="preserve">ERCOT shall give irrevocable instructions to the ERCOT financial institution to remit to each Invoice Recipient for same day value the amounts determined by ERCOT to be available for payment to that Invoice Recipient under paragraph (d) of Section 9.19, Partial Payments to Invoice Recipients. </w:t>
      </w:r>
    </w:p>
    <w:p w:rsidR="00470790" w:rsidRDefault="00470790" w:rsidP="00470790">
      <w:pPr>
        <w:pStyle w:val="H3"/>
      </w:pPr>
      <w:bookmarkStart w:id="298" w:name="_Toc265496000"/>
      <w:r>
        <w:t>9.7.4</w:t>
      </w:r>
      <w:r>
        <w:tab/>
        <w:t xml:space="preserve">Late Fees and Late Fee Invoices for the </w:t>
      </w:r>
      <w:del w:id="299" w:author="ERCOT" w:date="2011-03-04T17:35:00Z">
        <w:r w:rsidDel="00BA718B">
          <w:delText>RTM</w:delText>
        </w:r>
      </w:del>
      <w:bookmarkEnd w:id="298"/>
      <w:ins w:id="300" w:author="ERCOT" w:date="2011-02-08T14:41:00Z">
        <w:r>
          <w:t>Settlement Invoices</w:t>
        </w:r>
      </w:ins>
    </w:p>
    <w:p w:rsidR="00470790" w:rsidRPr="004349B1" w:rsidRDefault="00470790" w:rsidP="00470790">
      <w:pPr>
        <w:pStyle w:val="BodyTextNumbered"/>
        <w:rPr>
          <w:szCs w:val="24"/>
        </w:rPr>
      </w:pPr>
      <w:r>
        <w:t>(1)</w:t>
      </w:r>
      <w:r>
        <w:tab/>
        <w:t xml:space="preserve">A short-paying </w:t>
      </w:r>
      <w:del w:id="301" w:author="ERCOT" w:date="2011-03-04T17:35:00Z">
        <w:r w:rsidDel="00BA718B">
          <w:delText>RTM</w:delText>
        </w:r>
      </w:del>
      <w:ins w:id="302" w:author="ERCOT" w:date="2011-02-08T14:42:00Z">
        <w:r>
          <w:t>Settlement</w:t>
        </w:r>
      </w:ins>
      <w:r>
        <w:t xml:space="preserve"> Invoice Recipient or Default Uplift Invoice Recipient shall pay late fees to ERCOT on the short-pay amount according to the late fee terms specified in the ERCOT fee schedule posted on the Market Information System (MIS) Public Area for the period from and including the relevant payment due date to the date on which the payment, including any related transaction costs incurred by ERCOT, is received by ERCOT.  ERCOT will cease charging late fees to the defaulting Entity when the conditions described in item (e) of Section 9.19, Partial Payments by Invoice Recipients, are met</w:t>
      </w:r>
      <w:r w:rsidRPr="004349B1">
        <w:rPr>
          <w:szCs w:val="24"/>
        </w:rPr>
        <w:t>.</w:t>
      </w:r>
      <w:ins w:id="303" w:author="ERCOT" w:date="2011-03-07T17:30:00Z">
        <w:r w:rsidRPr="004349B1">
          <w:rPr>
            <w:szCs w:val="24"/>
          </w:rPr>
          <w:t xml:space="preserve"> </w:t>
        </w:r>
      </w:ins>
    </w:p>
    <w:p w:rsidR="00470790" w:rsidRDefault="00470790" w:rsidP="00470790">
      <w:pPr>
        <w:pStyle w:val="BodyTextNumbered"/>
      </w:pPr>
      <w:r>
        <w:t>(2)</w:t>
      </w:r>
      <w:r>
        <w:tab/>
        <w:t>ERCOT shall distribute on a pro rata basis of monies owed to each Invoice Recipient any late fee revenues, less ERCOT’s transaction costs, to the un</w:t>
      </w:r>
      <w:ins w:id="304" w:author="ERCOT" w:date="2011-01-24T11:16:00Z">
        <w:r>
          <w:t>der</w:t>
        </w:r>
      </w:ins>
      <w:r>
        <w:t xml:space="preserve">paid </w:t>
      </w:r>
      <w:del w:id="305" w:author="ERCOT" w:date="2011-03-04T17:36:00Z">
        <w:r w:rsidDel="00BA718B">
          <w:delText>RTM</w:delText>
        </w:r>
      </w:del>
      <w:ins w:id="306" w:author="ERCOT" w:date="2011-02-08T14:51:00Z">
        <w:r>
          <w:t>Settlement</w:t>
        </w:r>
      </w:ins>
      <w:r>
        <w:t xml:space="preserve"> Invoice Recipients or Default Uplift Invoice Recipient.  </w:t>
      </w:r>
    </w:p>
    <w:p w:rsidR="00470790" w:rsidRDefault="00470790" w:rsidP="00470790">
      <w:pPr>
        <w:pStyle w:val="BodyTextNumbered"/>
      </w:pPr>
      <w:r>
        <w:t>(3)</w:t>
      </w:r>
      <w:r>
        <w:tab/>
        <w:t xml:space="preserve">ERCOT shall post to the MIS Certified Area for each </w:t>
      </w:r>
      <w:del w:id="307" w:author="ERCOT" w:date="2011-03-04T17:36:00Z">
        <w:r w:rsidDel="00BA718B">
          <w:delText>RTM</w:delText>
        </w:r>
      </w:del>
      <w:ins w:id="308" w:author="ERCOT" w:date="2011-02-08T14:51:00Z">
        <w:r>
          <w:t>Settlement</w:t>
        </w:r>
      </w:ins>
      <w:r>
        <w:t xml:space="preserve"> Invoice Recipient or Default Uplift Invoice Recipient, an Invoice based on late fees (</w:t>
      </w:r>
      <w:del w:id="309" w:author="ERCOT" w:date="2011-01-24T11:16:00Z">
        <w:r w:rsidDel="00476383">
          <w:delText xml:space="preserve">RTM </w:delText>
        </w:r>
      </w:del>
      <w:r>
        <w:t xml:space="preserve">Late Fee </w:t>
      </w:r>
      <w:r>
        <w:lastRenderedPageBreak/>
        <w:t xml:space="preserve">Invoice).  The </w:t>
      </w:r>
      <w:del w:id="310" w:author="ERCOT" w:date="2011-01-24T11:16:00Z">
        <w:r w:rsidDel="00476383">
          <w:delText xml:space="preserve">RTM </w:delText>
        </w:r>
      </w:del>
      <w:r>
        <w:t>Late Fee Invoice Recipient is responsible for accessing the information from the MIS Certified Area once posted by ERCOT.</w:t>
      </w:r>
    </w:p>
    <w:p w:rsidR="00470790" w:rsidRDefault="00470790" w:rsidP="00470790">
      <w:pPr>
        <w:pStyle w:val="BodyTextNumbered"/>
      </w:pPr>
      <w:r>
        <w:t>(4)</w:t>
      </w:r>
      <w:r>
        <w:tab/>
        <w:t xml:space="preserve">ERCOT shall issue </w:t>
      </w:r>
      <w:del w:id="311" w:author="ERCOT" w:date="2011-01-24T11:16:00Z">
        <w:r w:rsidDel="00476383">
          <w:delText xml:space="preserve">RTM </w:delText>
        </w:r>
      </w:del>
      <w:r>
        <w:t xml:space="preserve">Late Fee Invoices on the tenth day after the end of the month, unless the tenth day is not a Business Day.  If that tenth day is not a Business Day, ERCOT shall issue the </w:t>
      </w:r>
      <w:del w:id="312" w:author="ERCOT" w:date="2011-01-24T11:16:00Z">
        <w:r w:rsidDel="00476383">
          <w:delText xml:space="preserve">RTM </w:delText>
        </w:r>
      </w:del>
      <w:r>
        <w:t xml:space="preserve">Late Fee Invoice by 2400 of the next Business Day thereafter.  The actual dates that </w:t>
      </w:r>
      <w:del w:id="313" w:author="ERCOT" w:date="2011-01-24T11:16:00Z">
        <w:r w:rsidDel="00476383">
          <w:delText xml:space="preserve">RTM </w:delText>
        </w:r>
      </w:del>
      <w:r>
        <w:t>Late Fee Invoices will be issued will be posted by ERCOT under Section 9.1.2, Settlement Calendar.</w:t>
      </w:r>
    </w:p>
    <w:p w:rsidR="00470790" w:rsidRDefault="00470790" w:rsidP="00470790">
      <w:pPr>
        <w:pStyle w:val="BodyTextNumbered"/>
      </w:pPr>
      <w:r>
        <w:t>(5)</w:t>
      </w:r>
      <w:r>
        <w:tab/>
        <w:t xml:space="preserve">Each </w:t>
      </w:r>
      <w:del w:id="314" w:author="ERCOT" w:date="2011-01-24T11:17:00Z">
        <w:r w:rsidDel="00476383">
          <w:delText xml:space="preserve">RTM </w:delText>
        </w:r>
      </w:del>
      <w:r>
        <w:t>Late Fee Invoice must contain:</w:t>
      </w:r>
    </w:p>
    <w:p w:rsidR="00470790" w:rsidRDefault="00470790" w:rsidP="00470790">
      <w:pPr>
        <w:pStyle w:val="List"/>
        <w:ind w:left="1440"/>
      </w:pPr>
      <w:r>
        <w:t>(a)</w:t>
      </w:r>
      <w:r>
        <w:tab/>
        <w:t>The Invoice Recipient’s name;</w:t>
      </w:r>
    </w:p>
    <w:p w:rsidR="00470790" w:rsidRDefault="00470790" w:rsidP="00470790">
      <w:pPr>
        <w:pStyle w:val="List"/>
        <w:ind w:left="1440"/>
      </w:pPr>
      <w:r>
        <w:t>(b)</w:t>
      </w:r>
      <w:r>
        <w:tab/>
        <w:t>The ERCOT identifier (Settlement identification number issued by ERCOT);</w:t>
      </w:r>
    </w:p>
    <w:p w:rsidR="00470790" w:rsidRDefault="00470790" w:rsidP="00470790">
      <w:pPr>
        <w:pStyle w:val="List"/>
        <w:ind w:left="1440"/>
      </w:pPr>
      <w:r>
        <w:t>(c)</w:t>
      </w:r>
      <w:r>
        <w:tab/>
        <w:t>Net Amount Due or Payable – the aggregate summary of all charges owed to or due from an Invoice Recipient;</w:t>
      </w:r>
    </w:p>
    <w:p w:rsidR="00470790" w:rsidRDefault="00470790" w:rsidP="00470790">
      <w:pPr>
        <w:pStyle w:val="List"/>
        <w:ind w:left="1440"/>
      </w:pPr>
      <w:r>
        <w:t>(d)</w:t>
      </w:r>
      <w:r>
        <w:tab/>
        <w:t>Time Periods – the time period covered for each line item;</w:t>
      </w:r>
    </w:p>
    <w:p w:rsidR="00470790" w:rsidRDefault="00470790" w:rsidP="00470790">
      <w:pPr>
        <w:pStyle w:val="List"/>
        <w:ind w:left="1440"/>
      </w:pPr>
      <w:r>
        <w:t>(e)</w:t>
      </w:r>
      <w:r>
        <w:tab/>
        <w:t>Run Date – the date on which ERCOT created and published the Invoice;</w:t>
      </w:r>
    </w:p>
    <w:p w:rsidR="00470790" w:rsidRDefault="00470790" w:rsidP="00470790">
      <w:pPr>
        <w:pStyle w:val="List"/>
        <w:ind w:left="1440"/>
      </w:pPr>
      <w:r>
        <w:t>(f)</w:t>
      </w:r>
      <w:r>
        <w:tab/>
        <w:t>Invoice Reference Number – a unique number generated by the ERCOT applications for payment tracking purposes;</w:t>
      </w:r>
    </w:p>
    <w:p w:rsidR="00470790" w:rsidRDefault="00470790" w:rsidP="00470790">
      <w:pPr>
        <w:pStyle w:val="List"/>
        <w:ind w:left="1440"/>
      </w:pPr>
      <w:r>
        <w:t>(g)</w:t>
      </w:r>
      <w:r>
        <w:tab/>
        <w:t>Payment Date and Time – the date and time that Invoice amounts are to be paid or received;</w:t>
      </w:r>
    </w:p>
    <w:p w:rsidR="00470790" w:rsidRDefault="00470790" w:rsidP="00470790">
      <w:pPr>
        <w:pStyle w:val="List"/>
        <w:ind w:left="144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rsidR="00470790" w:rsidRDefault="00470790" w:rsidP="00470790">
      <w:pPr>
        <w:pStyle w:val="BodyTextNumbered"/>
        <w:ind w:left="1440"/>
      </w:pPr>
      <w:r>
        <w:t>(i)</w:t>
      </w:r>
      <w:r>
        <w:tab/>
        <w:t xml:space="preserve">Overdue Terms – the terms that would be applied if payments were received late.  </w:t>
      </w:r>
    </w:p>
    <w:p w:rsidR="00470790" w:rsidRDefault="00470790" w:rsidP="00470790">
      <w:pPr>
        <w:pStyle w:val="BodyTextNumbered"/>
      </w:pPr>
      <w:r>
        <w:t>(6)</w:t>
      </w:r>
      <w:r>
        <w:tab/>
        <w:t xml:space="preserve">Payments for </w:t>
      </w:r>
      <w:del w:id="315" w:author="ERCOT" w:date="2011-01-24T11:17:00Z">
        <w:r w:rsidDel="00476383">
          <w:delText xml:space="preserve">RTM </w:delText>
        </w:r>
      </w:del>
      <w:r>
        <w:t xml:space="preserve">Late Fee Invoices must be made on days that are both a Business Day and a Bank Business Day in a two-day, two-step process as detailed below.  Payments for </w:t>
      </w:r>
      <w:del w:id="316" w:author="ERCOT" w:date="2011-01-24T11:17:00Z">
        <w:r w:rsidDel="00476383">
          <w:delText xml:space="preserve">RTM </w:delText>
        </w:r>
      </w:del>
      <w:r>
        <w:t xml:space="preserve">Late Fee Invoices are due on the applicable payment due date, whether or not there is any Settlement and billing dispute regarding the amount of the payment.  </w:t>
      </w:r>
    </w:p>
    <w:p w:rsidR="00470790" w:rsidRDefault="00470790" w:rsidP="00470790">
      <w:pPr>
        <w:pStyle w:val="BodyTextNumbered"/>
        <w:ind w:left="1440"/>
      </w:pPr>
      <w:r>
        <w:t>(a)</w:t>
      </w:r>
      <w:r>
        <w:tab/>
        <w:t xml:space="preserve">The payment due date and time for the </w:t>
      </w:r>
      <w:del w:id="317" w:author="ERCOT" w:date="2011-01-24T11:17:00Z">
        <w:r w:rsidDel="00476383">
          <w:delText xml:space="preserve">RTM </w:delText>
        </w:r>
      </w:del>
      <w:r>
        <w:t xml:space="preserve">Late Fee Invoice, with funds owed by an Invoice Recipient, is 1700 on the fourth Business Day after the </w:t>
      </w:r>
      <w:del w:id="318" w:author="ERCOT" w:date="2011-01-24T11:17:00Z">
        <w:r w:rsidDel="00476383">
          <w:delText xml:space="preserve">RTM </w:delText>
        </w:r>
      </w:del>
      <w:r>
        <w:t xml:space="preserve">Late Fee Invoice date unless that day is not a Bank Business Day.  If the fourth Business Day is not a Bank Business Day, then the payment is due by 1700 on the next Business Day after the fourth Business Day that is also a Bank Business Day.  </w:t>
      </w:r>
    </w:p>
    <w:p w:rsidR="00470790" w:rsidRDefault="00470790" w:rsidP="00470790">
      <w:pPr>
        <w:pStyle w:val="BodyTextNumbered"/>
        <w:ind w:left="1440"/>
      </w:pPr>
      <w:r>
        <w:t>(b)</w:t>
      </w:r>
      <w:r>
        <w:tab/>
        <w:t xml:space="preserve">All </w:t>
      </w:r>
      <w:del w:id="319" w:author="ERCOT" w:date="2011-01-24T11:17:00Z">
        <w:r w:rsidDel="00476383">
          <w:delText xml:space="preserve">RTM </w:delText>
        </w:r>
      </w:del>
      <w:r>
        <w:t xml:space="preserve">Late Fee Invoices due, with funds owed by an Invoice Recipient, must be paid to ERCOT in USDs by either of the following: </w:t>
      </w:r>
    </w:p>
    <w:p w:rsidR="00470790" w:rsidRDefault="00470790" w:rsidP="00470790">
      <w:pPr>
        <w:pStyle w:val="List"/>
        <w:ind w:left="2160"/>
      </w:pPr>
      <w:r>
        <w:lastRenderedPageBreak/>
        <w:t>(i)</w:t>
      </w:r>
      <w:r>
        <w:tab/>
        <w:t xml:space="preserve">On or before the payment due date if the payment is made by EFT in immediately available or good funds (i.e., not subject to reversal); or  </w:t>
      </w:r>
    </w:p>
    <w:p w:rsidR="00470790" w:rsidRDefault="00470790" w:rsidP="00470790">
      <w:pPr>
        <w:pStyle w:val="List"/>
        <w:ind w:left="2160"/>
      </w:pPr>
      <w:r>
        <w:t>(ii)</w:t>
      </w:r>
      <w:r>
        <w:tab/>
        <w:t xml:space="preserve">On or before two Bank Business Days before the payment due date if the payment is made by ACH funds. </w:t>
      </w:r>
    </w:p>
    <w:p w:rsidR="00470790" w:rsidRDefault="00470790" w:rsidP="00470790">
      <w:pPr>
        <w:pStyle w:val="BodyTextNumbered"/>
        <w:ind w:left="1440"/>
      </w:pPr>
      <w:r>
        <w:t>(c)</w:t>
      </w:r>
      <w:r>
        <w:tab/>
        <w:t xml:space="preserve">Subject to the availability of funds as discussed in paragraph (d) below, </w:t>
      </w:r>
      <w:del w:id="320" w:author="ERCOT" w:date="2011-01-24T11:17:00Z">
        <w:r w:rsidDel="00476383">
          <w:delText xml:space="preserve">RTM </w:delText>
        </w:r>
      </w:del>
      <w:r>
        <w:t xml:space="preserve">Late Fee Invoices with funds owed to an Invoice Recipient must be paid by ERCOT to the Invoice Recipient by 1700 on the next Bank Business Day after payments are due for that </w:t>
      </w:r>
      <w:del w:id="321" w:author="ERCOT" w:date="2011-01-24T11:17:00Z">
        <w:r w:rsidDel="00476383">
          <w:delText xml:space="preserve">RTM </w:delText>
        </w:r>
      </w:del>
      <w:r>
        <w:t xml:space="preserve">Late Fee Invoice under paragraph (a) above, subject to ERCOT’s right to withhold payments under Section 16, Registration and Qualification of Market Participants, or pursuant to common law unless that next Bank Business Day is not a Business Day.  If that next Bank Business Day is not a Business Day, then the payment is due on the next Bank Business Day thereafter that is also a Business Day.  </w:t>
      </w:r>
    </w:p>
    <w:p w:rsidR="00470790" w:rsidRDefault="00470790" w:rsidP="00470790">
      <w:pPr>
        <w:pStyle w:val="BodyTextNumbered"/>
        <w:ind w:left="1440"/>
      </w:pPr>
      <w:r>
        <w:t>(d)</w:t>
      </w:r>
      <w:r>
        <w:tab/>
        <w:t xml:space="preserve">If at least one Invoice Recipient owing funds does not pay its </w:t>
      </w:r>
      <w:del w:id="322" w:author="ERCOT" w:date="2011-01-24T11:17:00Z">
        <w:r w:rsidDel="00476383">
          <w:delText xml:space="preserve">RTM </w:delText>
        </w:r>
      </w:del>
      <w:r>
        <w:t xml:space="preserve">Late Fee Invoice in full (short-pays), ERCOT shall reduce payments to all </w:t>
      </w:r>
      <w:del w:id="323" w:author="ERCOT" w:date="2011-01-24T11:17:00Z">
        <w:r w:rsidDel="00476383">
          <w:delText xml:space="preserve">RTM </w:delText>
        </w:r>
      </w:del>
      <w:r>
        <w:t>Late Fee Invoice Recipients owed monies from ERCOT.  The reductions must be based on a pro rata basis of monies owed to each Invoice Recipient, to the extent necessary to clear ERCOT’s accounts on the payment due date to achieve revenue neutrality for ERCOT.  ERCOT shall provide to all Market Participants payment details on all short pay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Invoice.  ERCOT shall give irrevocable instructions to the ERCOT financial institution to remit to each Invoice Recipient for same day value the amounts determined by ERCOT to be available for payment.</w:t>
      </w:r>
    </w:p>
    <w:p w:rsidR="00470790" w:rsidRDefault="00470790" w:rsidP="00470790">
      <w:pPr>
        <w:pStyle w:val="H2"/>
      </w:pPr>
      <w:bookmarkStart w:id="324" w:name="_Toc265496001"/>
      <w:bookmarkStart w:id="325" w:name="_Toc265496016"/>
      <w:commentRangeStart w:id="326"/>
      <w:r>
        <w:t>9.8</w:t>
      </w:r>
      <w:r>
        <w:tab/>
        <w:t>CRR Auction Award Invoices</w:t>
      </w:r>
      <w:bookmarkEnd w:id="324"/>
      <w:commentRangeEnd w:id="326"/>
      <w:r w:rsidR="003B18A5">
        <w:rPr>
          <w:rStyle w:val="CommentReference"/>
          <w:b w:val="0"/>
        </w:rPr>
        <w:commentReference w:id="326"/>
      </w:r>
    </w:p>
    <w:p w:rsidR="00470790" w:rsidRDefault="00470790" w:rsidP="00470790">
      <w:pPr>
        <w:pStyle w:val="BodyTextNumbered"/>
      </w:pPr>
      <w:r>
        <w:t>(1)</w:t>
      </w:r>
      <w:r>
        <w:tab/>
        <w:t xml:space="preserve">ERCOT shall prepare invoices for each </w:t>
      </w:r>
      <w:ins w:id="327" w:author="ERCOT" w:date="2011-04-06T16:41:00Z">
        <w:r>
          <w:t>Congestion Revenue Right (</w:t>
        </w:r>
      </w:ins>
      <w:r>
        <w:t>CRR</w:t>
      </w:r>
      <w:ins w:id="328" w:author="ERCOT" w:date="2011-04-06T16:41:00Z">
        <w:r>
          <w:t>)</w:t>
        </w:r>
      </w:ins>
      <w:r>
        <w:t xml:space="preserve"> Auction (CRR Auction Invoice) on a net basis.  Invoices must be issued on the first Business Day following the completion of a CRR Auction on the date specified in the Settlement Calendar.  For each CRR Auction Invoice, the </w:t>
      </w:r>
      <w:del w:id="329" w:author="ERCOT" w:date="2011-03-24T17:55:00Z">
        <w:r w:rsidDel="00E175EA">
          <w:delText>CRR Account Holder</w:delText>
        </w:r>
      </w:del>
      <w:ins w:id="330" w:author="ERCOT" w:date="2011-03-29T07:54:00Z">
        <w:del w:id="331" w:author="SEWG_0418" w:date="2011-04-18T11:54:00Z">
          <w:r w:rsidDel="00124FF2">
            <w:delText>Counter</w:delText>
          </w:r>
        </w:del>
      </w:ins>
      <w:ins w:id="332" w:author="ERCOT" w:date="2011-03-29T07:55:00Z">
        <w:del w:id="333" w:author="SEWG_0418" w:date="2011-04-18T11:54:00Z">
          <w:r w:rsidDel="00124FF2">
            <w:delText>-P</w:delText>
          </w:r>
        </w:del>
      </w:ins>
      <w:ins w:id="334" w:author="ERCOT" w:date="2011-03-29T07:54:00Z">
        <w:del w:id="335" w:author="SEWG_0418" w:date="2011-04-18T11:54:00Z">
          <w:r w:rsidDel="00124FF2">
            <w:delText>arty</w:delText>
          </w:r>
        </w:del>
        <w:r>
          <w:t xml:space="preserve"> </w:t>
        </w:r>
      </w:ins>
      <w:ins w:id="336" w:author="SEWG_0418" w:date="2011-04-18T11:54:00Z">
        <w:r>
          <w:t xml:space="preserve">CRR Account Holder </w:t>
        </w:r>
      </w:ins>
      <w:r>
        <w:t xml:space="preserve">to whom the Invoice is addressed (“Invoice Recipient”) is either a net payee or net payor.  The Invoice Recipient is responsible for accessing the CRR Auction Invoice on the </w:t>
      </w:r>
      <w:ins w:id="337" w:author="ERCOT" w:date="2011-04-06T16:41:00Z">
        <w:r>
          <w:t>Market Information System (</w:t>
        </w:r>
      </w:ins>
      <w:r>
        <w:t>MIS</w:t>
      </w:r>
      <w:ins w:id="338" w:author="ERCOT" w:date="2011-04-06T16:42:00Z">
        <w:r>
          <w:t>)</w:t>
        </w:r>
      </w:ins>
      <w:r>
        <w:t xml:space="preserve"> Certified Area once posted by ERCOT.</w:t>
      </w:r>
    </w:p>
    <w:p w:rsidR="00470790" w:rsidRDefault="00470790" w:rsidP="00470790">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Billing dispute regarding the amount of the payment. </w:t>
      </w:r>
    </w:p>
    <w:p w:rsidR="00470790" w:rsidRDefault="00470790" w:rsidP="00470790">
      <w:pPr>
        <w:pStyle w:val="BodyTextNumbered"/>
      </w:pPr>
      <w:r>
        <w:lastRenderedPageBreak/>
        <w:t>(3)</w:t>
      </w:r>
      <w:r>
        <w:tab/>
        <w:t>ERCOT shall post on the MIS Certified Area for each Invoice Recipient a CRR Auction Invoice based on CRR Auction charges and payments as set forth in:</w:t>
      </w:r>
    </w:p>
    <w:p w:rsidR="00470790" w:rsidRDefault="00470790" w:rsidP="00470790">
      <w:pPr>
        <w:pStyle w:val="List"/>
        <w:ind w:left="1440"/>
      </w:pPr>
      <w:r>
        <w:t>(a)</w:t>
      </w:r>
      <w:r>
        <w:tab/>
        <w:t>Section 7.5.6.1, Payment of an Awarded CRR Auction Offer;</w:t>
      </w:r>
    </w:p>
    <w:p w:rsidR="00470790" w:rsidRDefault="00470790" w:rsidP="00470790">
      <w:pPr>
        <w:pStyle w:val="List"/>
        <w:ind w:left="1440"/>
      </w:pPr>
      <w:r>
        <w:t>(b)</w:t>
      </w:r>
      <w:r>
        <w:tab/>
        <w:t>Section 7.5.6.2, Charge of an Awarded CRR Auction Bid; and</w:t>
      </w:r>
    </w:p>
    <w:p w:rsidR="00470790" w:rsidRDefault="00470790" w:rsidP="00470790">
      <w:pPr>
        <w:pStyle w:val="List"/>
        <w:ind w:left="1440"/>
      </w:pPr>
      <w:r>
        <w:t>(c)</w:t>
      </w:r>
      <w:r>
        <w:tab/>
        <w:t xml:space="preserve">Section 7.5.6.3, Charge of PCRRs Pertaining to a CRR Auction. </w:t>
      </w:r>
    </w:p>
    <w:p w:rsidR="00470790" w:rsidRDefault="00470790" w:rsidP="00470790">
      <w:pPr>
        <w:pStyle w:val="BodyTextNumbered"/>
      </w:pPr>
      <w:r>
        <w:t>(4)</w:t>
      </w:r>
      <w:r>
        <w:tab/>
        <w:t>CRR Auction Invoices must contain the following information:</w:t>
      </w:r>
    </w:p>
    <w:p w:rsidR="00470790" w:rsidRDefault="00470790" w:rsidP="00470790">
      <w:pPr>
        <w:pStyle w:val="List"/>
        <w:ind w:left="1440"/>
      </w:pPr>
      <w:r>
        <w:t>(a)</w:t>
      </w:r>
      <w:r>
        <w:tab/>
        <w:t>The Invoice Recipient’s name;</w:t>
      </w:r>
    </w:p>
    <w:p w:rsidR="00470790" w:rsidRDefault="00470790" w:rsidP="00470790">
      <w:pPr>
        <w:pStyle w:val="BodyTextNumbered"/>
        <w:ind w:left="1440"/>
      </w:pPr>
      <w:r>
        <w:t>(b)</w:t>
      </w:r>
      <w:r>
        <w:tab/>
        <w:t>The ERCOT identifier (Settlement identification number issued by ERCOT);</w:t>
      </w:r>
    </w:p>
    <w:p w:rsidR="00470790" w:rsidRDefault="00470790" w:rsidP="00470790">
      <w:pPr>
        <w:pStyle w:val="List"/>
        <w:ind w:left="1440"/>
      </w:pPr>
      <w:r>
        <w:t>(c)</w:t>
      </w:r>
      <w:r>
        <w:tab/>
        <w:t>Net Amount Due/Payable – the aggregate summary of all charges owed to or due from the Invoice Recipient summarized by CRR Auction;</w:t>
      </w:r>
    </w:p>
    <w:p w:rsidR="00470790" w:rsidRDefault="00470790" w:rsidP="00470790">
      <w:pPr>
        <w:pStyle w:val="List"/>
        <w:ind w:left="1440"/>
      </w:pPr>
      <w:r>
        <w:t>(d)</w:t>
      </w:r>
      <w:r>
        <w:tab/>
        <w:t>Time Period – the CRR Auction for which the Invoice is generated;</w:t>
      </w:r>
    </w:p>
    <w:p w:rsidR="00470790" w:rsidRDefault="00470790" w:rsidP="00470790">
      <w:pPr>
        <w:pStyle w:val="List"/>
        <w:ind w:left="1440"/>
      </w:pPr>
      <w:r>
        <w:t>(e)</w:t>
      </w:r>
      <w:r>
        <w:tab/>
        <w:t>Run Date – the date on which ERCOT created and published the Invoice;</w:t>
      </w:r>
    </w:p>
    <w:p w:rsidR="00470790" w:rsidRDefault="00470790" w:rsidP="00470790">
      <w:pPr>
        <w:pStyle w:val="List"/>
        <w:ind w:left="1440"/>
      </w:pPr>
      <w:r>
        <w:t>(f)</w:t>
      </w:r>
      <w:r>
        <w:tab/>
        <w:t>Invoice Reference Number – a unique number generated by ERCOT for payment tracking purposes;</w:t>
      </w:r>
    </w:p>
    <w:p w:rsidR="00470790" w:rsidRDefault="00470790" w:rsidP="00470790">
      <w:pPr>
        <w:pStyle w:val="List"/>
        <w:ind w:left="1440"/>
      </w:pPr>
      <w:r>
        <w:t>(g)</w:t>
      </w:r>
      <w:r>
        <w:tab/>
        <w:t>Product Description – a description of each product awarded in, sold in, or allocated before the CRR Auction;</w:t>
      </w:r>
    </w:p>
    <w:p w:rsidR="00470790" w:rsidRDefault="00470790" w:rsidP="00470790">
      <w:pPr>
        <w:pStyle w:val="List"/>
        <w:ind w:left="1440"/>
      </w:pPr>
      <w:r>
        <w:t>(h)</w:t>
      </w:r>
      <w:r>
        <w:tab/>
        <w:t>Payment Date – the date and time that Invoice amounts are to be paid or received; and</w:t>
      </w:r>
    </w:p>
    <w:p w:rsidR="00470790" w:rsidRDefault="00470790" w:rsidP="00470790">
      <w:pPr>
        <w:pStyle w:val="List"/>
        <w:ind w:left="1440"/>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rsidR="00470790" w:rsidRDefault="00470790" w:rsidP="00470790">
      <w:pPr>
        <w:pStyle w:val="H2"/>
      </w:pPr>
      <w:bookmarkStart w:id="339" w:name="_Toc283791515"/>
      <w:r>
        <w:t>9.10</w:t>
      </w:r>
      <w:r>
        <w:tab/>
        <w:t>CRR Auction Revenue Distribution Invoices</w:t>
      </w:r>
      <w:bookmarkEnd w:id="339"/>
    </w:p>
    <w:p w:rsidR="00470790" w:rsidRDefault="00470790" w:rsidP="00470790">
      <w:pPr>
        <w:pStyle w:val="BodyTextNumbered"/>
      </w:pPr>
      <w:r>
        <w:t>(1)</w:t>
      </w:r>
      <w:r>
        <w:tab/>
        <w:t xml:space="preserve">ERCOT shall prepare Settlement Invoices for </w:t>
      </w:r>
      <w:ins w:id="340" w:author="ERCOT" w:date="2011-04-06T16:42:00Z">
        <w:r>
          <w:t>Congestion Revenue Right (</w:t>
        </w:r>
      </w:ins>
      <w:r>
        <w:t>CRR</w:t>
      </w:r>
      <w:ins w:id="341" w:author="ERCOT" w:date="2011-04-06T16:42:00Z">
        <w:r>
          <w:t>)</w:t>
        </w:r>
      </w:ins>
      <w:r>
        <w:t xml:space="preserve"> Auction Revenue Distribution (CARD Invoices) on a monthly basis on the </w:t>
      </w:r>
      <w:r>
        <w:rPr>
          <w:vertAlign w:val="superscript"/>
        </w:rPr>
        <w:t xml:space="preserve">  </w:t>
      </w:r>
      <w:r>
        <w:t>first Business Day following the</w:t>
      </w:r>
      <w:ins w:id="342" w:author="ERCOT" w:date="2011-04-06T16:42:00Z">
        <w:r>
          <w:t xml:space="preserve"> Real-Time Market</w:t>
        </w:r>
      </w:ins>
      <w:ins w:id="343" w:author="ERCOT" w:date="2011-04-06T16:43:00Z">
        <w:r>
          <w:t xml:space="preserve"> (</w:t>
        </w:r>
      </w:ins>
      <w:r>
        <w:t>RTM</w:t>
      </w:r>
      <w:ins w:id="344" w:author="ERCOT" w:date="2011-04-06T16:43:00Z">
        <w:r>
          <w:t>)</w:t>
        </w:r>
      </w:ins>
      <w:r>
        <w:t xml:space="preserve"> Initial Settlement posting of the last day of the month on the date specified in the Settlement Calendar.</w:t>
      </w:r>
    </w:p>
    <w:p w:rsidR="00470790" w:rsidRDefault="00470790" w:rsidP="00470790">
      <w:pPr>
        <w:pStyle w:val="BodyTextNumbered"/>
      </w:pPr>
      <w:r>
        <w:t>(2)</w:t>
      </w:r>
      <w:r>
        <w:tab/>
        <w:t xml:space="preserve">ERCOT shall true up the distribution of monthly CRR Auction Revenues by posting additional Settlement Invoices on the first Business Day following the RTM Final Settlement posting of the last day of the month on the date specified in the Settlement Calendar.  A trued up </w:t>
      </w:r>
      <w:ins w:id="345" w:author="ERCOT" w:date="2011-04-06T16:43:00Z">
        <w:r>
          <w:t>CRR Auction Revenue Distribution (</w:t>
        </w:r>
      </w:ins>
      <w:r>
        <w:t>CARD</w:t>
      </w:r>
      <w:ins w:id="346" w:author="ERCOT" w:date="2011-04-06T16:44:00Z">
        <w:r>
          <w:t>)</w:t>
        </w:r>
      </w:ins>
      <w:r>
        <w:t xml:space="preserve"> Invoice will reflect </w:t>
      </w:r>
      <w:r>
        <w:lastRenderedPageBreak/>
        <w:t>differences to financial records generated on the previous CARD Invoice for a given month.</w:t>
      </w:r>
    </w:p>
    <w:p w:rsidR="00470790" w:rsidRDefault="00470790" w:rsidP="00470790">
      <w:pPr>
        <w:pStyle w:val="BodyTextNumbered"/>
      </w:pPr>
      <w:r>
        <w:t>(3)</w:t>
      </w:r>
      <w:r>
        <w:tab/>
        <w:t xml:space="preserve">For each cycle, the </w:t>
      </w:r>
      <w:del w:id="347" w:author="ERCOT" w:date="2011-03-29T08:20:00Z">
        <w:r w:rsidDel="00BD1A18">
          <w:delText>Market Participant</w:delText>
        </w:r>
      </w:del>
      <w:ins w:id="348" w:author="ERCOT" w:date="2011-03-29T08:20:00Z">
        <w:del w:id="349" w:author="SEWG_0418" w:date="2011-04-18T11:55:00Z">
          <w:r w:rsidDel="00124FF2">
            <w:delText>Counter-Party</w:delText>
          </w:r>
        </w:del>
      </w:ins>
      <w:r>
        <w:t xml:space="preserve"> </w:t>
      </w:r>
      <w:ins w:id="350" w:author="SEWG_0418" w:date="2011-04-18T11:55:00Z">
        <w:r>
          <w:t xml:space="preserve">Market Participant </w:t>
        </w:r>
      </w:ins>
      <w:r>
        <w:t xml:space="preserve">to whom the CARD Invoice is addressed (“Invoice Recipient”) is either a payee or payor.  The Invoice Recipient is responsible for accessing the CARD Invoice on the </w:t>
      </w:r>
      <w:ins w:id="351" w:author="ERCOT" w:date="2011-04-06T16:44:00Z">
        <w:r>
          <w:t>Market Information System (</w:t>
        </w:r>
      </w:ins>
      <w:r>
        <w:t>MIS</w:t>
      </w:r>
      <w:ins w:id="352" w:author="ERCOT" w:date="2011-04-06T16:44:00Z">
        <w:r>
          <w:t>)</w:t>
        </w:r>
      </w:ins>
      <w:r>
        <w:t xml:space="preserve"> Certified Area once posted by ERCOT.</w:t>
      </w:r>
    </w:p>
    <w:p w:rsidR="00470790" w:rsidRDefault="00470790" w:rsidP="00470790">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Billing dispute regarding the amount of the payment.</w:t>
      </w:r>
    </w:p>
    <w:p w:rsidR="00470790" w:rsidRDefault="00470790" w:rsidP="00470790">
      <w:pPr>
        <w:pStyle w:val="BodyTextNumbered"/>
      </w:pPr>
      <w:r>
        <w:t>(5)</w:t>
      </w:r>
      <w:r>
        <w:tab/>
        <w:t>ERCOT shall post on the MIS Certified Area for each Invoice Recipient a CARD Invoice based the calculations located:</w:t>
      </w:r>
    </w:p>
    <w:p w:rsidR="00470790" w:rsidRDefault="00470790" w:rsidP="00470790">
      <w:pPr>
        <w:pStyle w:val="BodyTextNumbered"/>
        <w:ind w:firstLine="0"/>
      </w:pPr>
      <w:r>
        <w:t>(a)</w:t>
      </w:r>
      <w:r>
        <w:tab/>
        <w:t>Section 7.5.6.4, CRR Auction Revenues; and</w:t>
      </w:r>
    </w:p>
    <w:p w:rsidR="00470790" w:rsidRDefault="00470790" w:rsidP="00470790">
      <w:pPr>
        <w:pStyle w:val="BodyTextNumbered"/>
        <w:ind w:left="1440"/>
      </w:pPr>
      <w:r>
        <w:t>(b)</w:t>
      </w:r>
      <w:r>
        <w:tab/>
        <w:t>Section 7.5.7, Method for Distributing CRR Auction Revenues.</w:t>
      </w:r>
    </w:p>
    <w:p w:rsidR="00470790" w:rsidRDefault="00470790" w:rsidP="00470790">
      <w:pPr>
        <w:pStyle w:val="List"/>
      </w:pPr>
      <w:r>
        <w:t>(6)</w:t>
      </w:r>
      <w:r>
        <w:tab/>
        <w:t xml:space="preserve">CARD Invoices must contain the following information: </w:t>
      </w:r>
    </w:p>
    <w:p w:rsidR="00470790" w:rsidRDefault="00470790" w:rsidP="00470790">
      <w:pPr>
        <w:pStyle w:val="List"/>
        <w:ind w:left="1440"/>
      </w:pPr>
      <w:r>
        <w:t>(a)</w:t>
      </w:r>
      <w:r>
        <w:tab/>
        <w:t>The Invoice Recipient’s name;</w:t>
      </w:r>
    </w:p>
    <w:p w:rsidR="00470790" w:rsidRDefault="00470790" w:rsidP="00470790">
      <w:pPr>
        <w:pStyle w:val="List"/>
        <w:ind w:left="1440"/>
      </w:pPr>
      <w:r>
        <w:t>(b)</w:t>
      </w:r>
      <w:r>
        <w:tab/>
        <w:t xml:space="preserve">The ERCOT identifier (Settlement identification number issued by ERCOT); </w:t>
      </w:r>
    </w:p>
    <w:p w:rsidR="00470790" w:rsidRDefault="00470790" w:rsidP="00470790">
      <w:pPr>
        <w:pStyle w:val="List"/>
        <w:ind w:left="1440"/>
      </w:pPr>
      <w:r>
        <w:t>(c)</w:t>
      </w:r>
      <w:r>
        <w:tab/>
        <w:t>Net Amount Due/Payable – the aggregate summary of all charges owed to or due from the Invoice Recipient summarized by CRR Auction Revenue month;</w:t>
      </w:r>
    </w:p>
    <w:p w:rsidR="00470790" w:rsidRDefault="00470790" w:rsidP="00470790">
      <w:pPr>
        <w:pStyle w:val="List"/>
        <w:ind w:left="1440"/>
      </w:pPr>
      <w:r>
        <w:t>(d)</w:t>
      </w:r>
      <w:r>
        <w:tab/>
        <w:t>Time Period – the CRR Auction Revenue month for which the Invoice is generated, including Initial or Final distribution;</w:t>
      </w:r>
    </w:p>
    <w:p w:rsidR="00470790" w:rsidRDefault="00470790" w:rsidP="00470790">
      <w:pPr>
        <w:pStyle w:val="List"/>
        <w:ind w:left="1440"/>
      </w:pPr>
      <w:r>
        <w:t>(e)</w:t>
      </w:r>
      <w:r>
        <w:tab/>
        <w:t>Run Date – the date on which ERCOT created and published the Invoice;</w:t>
      </w:r>
    </w:p>
    <w:p w:rsidR="00470790" w:rsidRDefault="00470790" w:rsidP="00470790">
      <w:pPr>
        <w:pStyle w:val="List"/>
        <w:ind w:left="1440"/>
      </w:pPr>
      <w:r>
        <w:t>(f)</w:t>
      </w:r>
      <w:r>
        <w:tab/>
        <w:t>Invoice Reference Number – a unique number generated by ERCOT for payment tracking purposes;</w:t>
      </w:r>
    </w:p>
    <w:p w:rsidR="00470790" w:rsidRDefault="00470790" w:rsidP="00470790">
      <w:pPr>
        <w:pStyle w:val="List"/>
        <w:ind w:left="1440"/>
      </w:pPr>
      <w:r>
        <w:t>(g)</w:t>
      </w:r>
      <w:r>
        <w:tab/>
        <w:t>Payment Date – the date and time that Invoice amounts are to be paid or received; and</w:t>
      </w:r>
    </w:p>
    <w:p w:rsidR="00470790" w:rsidRDefault="00470790" w:rsidP="00470790">
      <w:pPr>
        <w:pStyle w:val="List"/>
        <w:ind w:left="144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rsidR="00470790" w:rsidRDefault="00470790" w:rsidP="00470790">
      <w:pPr>
        <w:pStyle w:val="H2"/>
      </w:pPr>
      <w:bookmarkStart w:id="353" w:name="_Toc265496012"/>
      <w:bookmarkStart w:id="354" w:name="_Toc265496013"/>
      <w:r>
        <w:lastRenderedPageBreak/>
        <w:t>9.12</w:t>
      </w:r>
      <w:r>
        <w:tab/>
        <w:t>CRR Balancing Account Invoices</w:t>
      </w:r>
      <w:bookmarkEnd w:id="353"/>
    </w:p>
    <w:p w:rsidR="00470790" w:rsidRDefault="00470790" w:rsidP="00470790">
      <w:pPr>
        <w:pStyle w:val="BodyTextNumbered"/>
      </w:pPr>
      <w:r>
        <w:t>(1)</w:t>
      </w:r>
      <w:r>
        <w:tab/>
        <w:t xml:space="preserve">ERCOT shall prepare Settlement Invoices for the </w:t>
      </w:r>
      <w:ins w:id="355" w:author="ERCOT" w:date="2011-04-06T16:44:00Z">
        <w:r>
          <w:t>Congestion Revenue Right</w:t>
        </w:r>
      </w:ins>
      <w:r>
        <w:t xml:space="preserve"> </w:t>
      </w:r>
      <w:ins w:id="356" w:author="ERCOT" w:date="2011-04-06T16:45:00Z">
        <w:r>
          <w:t>(</w:t>
        </w:r>
      </w:ins>
      <w:r>
        <w:t>CRR</w:t>
      </w:r>
      <w:ins w:id="357" w:author="ERCOT" w:date="2011-04-06T16:45:00Z">
        <w:r>
          <w:t>)</w:t>
        </w:r>
      </w:ins>
      <w:r>
        <w:t xml:space="preserve"> Balancing Account on a monthly basis on the first Business Day following the </w:t>
      </w:r>
      <w:ins w:id="358" w:author="ERCOT" w:date="2011-04-06T16:45:00Z">
        <w:r>
          <w:t xml:space="preserve">Real-Time Market </w:t>
        </w:r>
      </w:ins>
      <w:ins w:id="359" w:author="ERCOT" w:date="2011-04-06T16:46:00Z">
        <w:r>
          <w:t>(</w:t>
        </w:r>
      </w:ins>
      <w:r>
        <w:t>RTM</w:t>
      </w:r>
      <w:ins w:id="360" w:author="ERCOT" w:date="2011-04-06T16:46:00Z">
        <w:r>
          <w:t>)</w:t>
        </w:r>
      </w:ins>
      <w:r>
        <w:t xml:space="preserve"> Initial Settlement posting of the last day of the month on the date specified in the Settlement Calendar.</w:t>
      </w:r>
    </w:p>
    <w:p w:rsidR="00470790" w:rsidRDefault="00470790" w:rsidP="00470790">
      <w:pPr>
        <w:pStyle w:val="BodyTextNumbered"/>
      </w:pPr>
      <w:r>
        <w:t>(2)</w:t>
      </w:r>
      <w:r>
        <w:tab/>
        <w:t xml:space="preserve">For each Invoice cycle, the </w:t>
      </w:r>
      <w:del w:id="361" w:author="ERCOT" w:date="2011-03-30T14:43:00Z">
        <w:r w:rsidRPr="00C5012A" w:rsidDel="00C5012A">
          <w:delText>Market Participant</w:delText>
        </w:r>
      </w:del>
      <w:ins w:id="362" w:author="ERCOT" w:date="2011-03-30T14:43:00Z">
        <w:del w:id="363" w:author="SEWG_0418" w:date="2011-04-18T11:56:00Z">
          <w:r w:rsidDel="00124FF2">
            <w:delText>Counter-Party</w:delText>
          </w:r>
        </w:del>
      </w:ins>
      <w:ins w:id="364" w:author="SEWG_0418" w:date="2011-04-18T11:56:00Z">
        <w:r>
          <w:t>Market Participant</w:t>
        </w:r>
      </w:ins>
      <w:r>
        <w:t xml:space="preserve"> to whom the CRR Balancing Account Invoice is addressed (“Invoice Recipient”) is a payee.  The Invoice Recipient is responsible for accessing the CRR Balancing Account Invoice on the</w:t>
      </w:r>
      <w:ins w:id="365" w:author="ERCOT" w:date="2011-04-06T14:26:00Z">
        <w:r>
          <w:t xml:space="preserve"> </w:t>
        </w:r>
      </w:ins>
      <w:ins w:id="366" w:author="ERCOT" w:date="2011-04-06T16:46:00Z">
        <w:r>
          <w:t>Market Information System (</w:t>
        </w:r>
      </w:ins>
      <w:r>
        <w:t>MIS</w:t>
      </w:r>
      <w:ins w:id="367" w:author="ERCOT" w:date="2011-04-06T16:46:00Z">
        <w:r>
          <w:t>)</w:t>
        </w:r>
      </w:ins>
      <w:r>
        <w:t xml:space="preserve"> Certified Area once posted by ERCOT.</w:t>
      </w:r>
    </w:p>
    <w:p w:rsidR="00470790" w:rsidRDefault="00470790" w:rsidP="00470790">
      <w:pPr>
        <w:pStyle w:val="BodyTextNumbered"/>
      </w:pPr>
      <w:r>
        <w:t>(3)</w:t>
      </w:r>
      <w:r>
        <w:tab/>
        <w:t>Each Invoice Recipient shall be entitled to receive any credit shown on the CRR Balancing Account Invoice on the payment due date.</w:t>
      </w:r>
    </w:p>
    <w:p w:rsidR="00470790" w:rsidRDefault="00470790" w:rsidP="00470790">
      <w:pPr>
        <w:pStyle w:val="BodyTextNumbered"/>
      </w:pPr>
      <w:r>
        <w:t>(4)</w:t>
      </w:r>
      <w:r>
        <w:tab/>
        <w:t>ERCOT shall post on the MIS Certified Area for each Invoice Recipient a CRR Balancing Account Invoice based the calculations located:</w:t>
      </w:r>
    </w:p>
    <w:p w:rsidR="00470790" w:rsidRDefault="00470790" w:rsidP="00470790">
      <w:pPr>
        <w:pStyle w:val="BodyTextNumbered"/>
        <w:ind w:firstLine="0"/>
      </w:pPr>
      <w:r>
        <w:t>(a)</w:t>
      </w:r>
      <w:r>
        <w:tab/>
        <w:t>Section 7.9.3.4, Monthly Refunds to Short-Paid CRR Owners; and</w:t>
      </w:r>
    </w:p>
    <w:p w:rsidR="00470790" w:rsidRDefault="00470790" w:rsidP="00470790">
      <w:pPr>
        <w:pStyle w:val="BodyTextNumbered"/>
        <w:ind w:left="1440"/>
      </w:pPr>
      <w:r>
        <w:t>(b)</w:t>
      </w:r>
      <w:r>
        <w:tab/>
        <w:t>Section 7.9.3.5, CRR Balancing Account Closure.</w:t>
      </w:r>
    </w:p>
    <w:p w:rsidR="00470790" w:rsidRDefault="00470790" w:rsidP="00470790">
      <w:pPr>
        <w:pStyle w:val="BodyTextNumbered"/>
      </w:pPr>
      <w:r>
        <w:t>(5)</w:t>
      </w:r>
      <w:r>
        <w:tab/>
        <w:t xml:space="preserve">CRR Balancing Account Invoices must contain the following information: </w:t>
      </w:r>
    </w:p>
    <w:p w:rsidR="00470790" w:rsidRDefault="00470790" w:rsidP="00470790">
      <w:pPr>
        <w:pStyle w:val="List"/>
        <w:ind w:left="1440"/>
      </w:pPr>
      <w:r>
        <w:t>(a)</w:t>
      </w:r>
      <w:r>
        <w:tab/>
        <w:t>The Invoice Recipient’s name;</w:t>
      </w:r>
    </w:p>
    <w:p w:rsidR="00470790" w:rsidRDefault="00470790" w:rsidP="00470790">
      <w:pPr>
        <w:pStyle w:val="BodyTextNumbered"/>
        <w:ind w:left="1440"/>
      </w:pPr>
      <w:r>
        <w:t>(b)</w:t>
      </w:r>
      <w:r>
        <w:tab/>
        <w:t xml:space="preserve">The ERCOT identifier (Settlement identification number issued by ERCOT); </w:t>
      </w:r>
    </w:p>
    <w:p w:rsidR="00470790" w:rsidRDefault="00470790" w:rsidP="00470790">
      <w:pPr>
        <w:pStyle w:val="BodyTextNumbered"/>
        <w:ind w:left="1440"/>
      </w:pPr>
      <w:r>
        <w:t>(c)</w:t>
      </w:r>
      <w:r>
        <w:tab/>
        <w:t>Net Amount Payable – the aggregate summary of all amounts owed to the Invoice Recipient summarized by month;</w:t>
      </w:r>
    </w:p>
    <w:p w:rsidR="00470790" w:rsidRDefault="00470790" w:rsidP="00470790">
      <w:pPr>
        <w:pStyle w:val="List"/>
        <w:ind w:left="1440"/>
      </w:pPr>
      <w:r>
        <w:t>(d)</w:t>
      </w:r>
      <w:r>
        <w:tab/>
        <w:t>Time Period – the time period covered for each line item;</w:t>
      </w:r>
    </w:p>
    <w:p w:rsidR="00470790" w:rsidRDefault="00470790" w:rsidP="00470790">
      <w:pPr>
        <w:pStyle w:val="List"/>
        <w:ind w:left="1440"/>
      </w:pPr>
      <w:r>
        <w:t>(e)</w:t>
      </w:r>
      <w:r>
        <w:tab/>
        <w:t>Run Date – the date on which the ERCOT created and published Invoice;</w:t>
      </w:r>
    </w:p>
    <w:p w:rsidR="00470790" w:rsidRDefault="00470790" w:rsidP="00470790">
      <w:pPr>
        <w:pStyle w:val="List"/>
        <w:ind w:left="1440"/>
      </w:pPr>
      <w:r>
        <w:t>(f)</w:t>
      </w:r>
      <w:r>
        <w:tab/>
        <w:t>Invoice Reference Number – a unique number generated by ERCOT for payment tracking purposes; and</w:t>
      </w:r>
    </w:p>
    <w:p w:rsidR="00470790" w:rsidRDefault="00470790" w:rsidP="00470790">
      <w:pPr>
        <w:pStyle w:val="List"/>
        <w:ind w:left="1440"/>
      </w:pPr>
      <w:r>
        <w:t>(g)</w:t>
      </w:r>
      <w:r>
        <w:tab/>
        <w:t>Payment Date – the date and time that Invoice amounts are to be received.</w:t>
      </w:r>
    </w:p>
    <w:p w:rsidR="00470790" w:rsidRDefault="00470790" w:rsidP="00470790">
      <w:pPr>
        <w:pStyle w:val="H2"/>
      </w:pPr>
    </w:p>
    <w:p w:rsidR="00470790" w:rsidRDefault="00470790" w:rsidP="00470790">
      <w:pPr>
        <w:pStyle w:val="H2"/>
      </w:pPr>
      <w:r>
        <w:t>9.13</w:t>
      </w:r>
      <w:r>
        <w:tab/>
        <w:t>Payment Process for the CRR Balancing Account</w:t>
      </w:r>
      <w:bookmarkEnd w:id="354"/>
    </w:p>
    <w:p w:rsidR="00470790" w:rsidRDefault="00470790" w:rsidP="00470790">
      <w:pPr>
        <w:pStyle w:val="ListIntroduction"/>
      </w:pPr>
      <w:r>
        <w:t xml:space="preserve">Payments for the </w:t>
      </w:r>
      <w:ins w:id="368" w:author="ERCOT" w:date="2011-04-06T14:27:00Z">
        <w:r>
          <w:t>Congestion Revenue Right (</w:t>
        </w:r>
      </w:ins>
      <w:r>
        <w:t>CRR</w:t>
      </w:r>
      <w:ins w:id="369" w:author="ERCOT" w:date="2011-04-06T14:27:00Z">
        <w:r>
          <w:t>)</w:t>
        </w:r>
      </w:ins>
      <w:r>
        <w:t xml:space="preserve"> Balancing Account are due on a Business Day and Bank Business Day basis in a one-day, one-step process, as detailed below.</w:t>
      </w:r>
    </w:p>
    <w:p w:rsidR="00470790" w:rsidRDefault="00470790" w:rsidP="00470790">
      <w:pPr>
        <w:pStyle w:val="BodyTextNumbered"/>
      </w:pPr>
      <w:r>
        <w:t>(1)</w:t>
      </w:r>
      <w:r>
        <w:tab/>
        <w:t xml:space="preserve">By 1700 on the </w:t>
      </w:r>
      <w:r>
        <w:rPr>
          <w:vertAlign w:val="superscript"/>
        </w:rPr>
        <w:t xml:space="preserve">  </w:t>
      </w:r>
      <w:r>
        <w:t xml:space="preserve">first day that is both a Business Day and a Bank Business Day following the due date of the </w:t>
      </w:r>
      <w:del w:id="370" w:author="ERCOT" w:date="2011-04-04T10:03:00Z">
        <w:r w:rsidDel="00CE75DE">
          <w:delText xml:space="preserve">RTM </w:delText>
        </w:r>
      </w:del>
      <w:ins w:id="371" w:author="ERCOT" w:date="2011-04-04T10:03:00Z">
        <w:r>
          <w:t xml:space="preserve">Settlement </w:t>
        </w:r>
      </w:ins>
      <w:r>
        <w:t xml:space="preserve">Invoice that includes the </w:t>
      </w:r>
      <w:ins w:id="372" w:author="ERCOT" w:date="2011-04-06T14:27:00Z">
        <w:r>
          <w:t>Real-Time Market (</w:t>
        </w:r>
      </w:ins>
      <w:r>
        <w:t>RTM</w:t>
      </w:r>
      <w:ins w:id="373" w:author="ERCOT" w:date="2011-04-06T14:27:00Z">
        <w:r>
          <w:t>)</w:t>
        </w:r>
      </w:ins>
      <w:r>
        <w:t xml:space="preserve"> Initial Settlement statement for the last day of the month and subject to ERCOT’s right to withhold payments under Section 16</w:t>
      </w:r>
      <w:ins w:id="374" w:author="ERCOT" w:date="2011-04-06T14:28:00Z">
        <w:r>
          <w:t>, Registration and Qualification of Market Participants,</w:t>
        </w:r>
      </w:ins>
      <w:r>
        <w:t xml:space="preserve"> and pursuant to common law ERCOT shall pay</w:t>
      </w:r>
      <w:ins w:id="375" w:author="ERCOT" w:date="2011-03-28T11:09:00Z">
        <w:r>
          <w:t xml:space="preserve"> on a net </w:t>
        </w:r>
      </w:ins>
      <w:ins w:id="376" w:author="ERCOT" w:date="2011-03-28T11:10:00Z">
        <w:r>
          <w:t>credit shown on the CRR Balancing Account Invoice based on amounts due</w:t>
        </w:r>
      </w:ins>
      <w:r>
        <w:t>:</w:t>
      </w:r>
    </w:p>
    <w:p w:rsidR="00470790" w:rsidRDefault="00470790" w:rsidP="00470790">
      <w:pPr>
        <w:pStyle w:val="List"/>
        <w:ind w:firstLine="0"/>
        <w:pPrChange w:id="377" w:author="SEWG_0418" w:date="2011-04-18T12:03:00Z">
          <w:pPr>
            <w:pStyle w:val="List"/>
          </w:pPr>
        </w:pPrChange>
      </w:pPr>
      <w:r>
        <w:t>(a)</w:t>
      </w:r>
      <w:r>
        <w:tab/>
        <w:t xml:space="preserve">To each short-paid </w:t>
      </w:r>
      <w:smartTag w:uri="urn:schemas-microsoft-com:office:smarttags" w:element="stockticker">
        <w:r>
          <w:t>CRR</w:t>
        </w:r>
      </w:smartTag>
      <w:r>
        <w:t xml:space="preserve"> Owner a monthly refund from the positive balance in the CRR Balancing Account, with the amount paid to each </w:t>
      </w:r>
      <w:smartTag w:uri="urn:schemas-microsoft-com:office:smarttags" w:element="stockticker">
        <w:r>
          <w:t>CRR</w:t>
        </w:r>
      </w:smartTag>
      <w:r>
        <w:t xml:space="preserve"> Owner as calculated in Section 7.9.3.4</w:t>
      </w:r>
      <w:ins w:id="378" w:author="ERCOT" w:date="2011-04-06T14:28:00Z">
        <w:r>
          <w:t>, Monthly Refunds to Short-Paid CRR Owners</w:t>
        </w:r>
      </w:ins>
      <w:r>
        <w:t xml:space="preserve">; and  </w:t>
      </w:r>
    </w:p>
    <w:p w:rsidR="00470790" w:rsidRDefault="00470790" w:rsidP="00470790">
      <w:pPr>
        <w:pStyle w:val="BodyTextNumbered"/>
        <w:tabs>
          <w:tab w:val="left" w:pos="8010"/>
        </w:tabs>
        <w:ind w:left="1440"/>
      </w:pPr>
      <w:r>
        <w:t>(b)</w:t>
      </w:r>
      <w:r>
        <w:tab/>
        <w:t xml:space="preserve">To each </w:t>
      </w:r>
      <w:r w:rsidRPr="00AE6396">
        <w:t>QSE</w:t>
      </w:r>
      <w:r>
        <w:t xml:space="preserve">, any remaining positive balance in the </w:t>
      </w:r>
      <w:smartTag w:uri="urn:schemas-microsoft-com:office:smarttags" w:element="stockticker">
        <w:r>
          <w:t>CRR</w:t>
        </w:r>
      </w:smartTag>
      <w:r>
        <w:t xml:space="preserve"> Balancing Account, with the amount paid to each QSE as calculated in Section 7.9.3.5</w:t>
      </w:r>
      <w:ins w:id="379" w:author="ERCOT" w:date="2011-04-06T14:28:00Z">
        <w:r>
          <w:t>, CRR Balancing Account Closure</w:t>
        </w:r>
      </w:ins>
      <w:r>
        <w:t>.</w:t>
      </w:r>
    </w:p>
    <w:p w:rsidR="00470790" w:rsidRDefault="00470790" w:rsidP="00470790">
      <w:pPr>
        <w:pStyle w:val="BodyTextNumbered"/>
      </w:pPr>
      <w:r>
        <w:t>(2)</w:t>
      </w:r>
      <w:r>
        <w:tab/>
        <w:t>ERCOT shall give irrevocable instructions to the ERCOT financial institution to remit, to each</w:t>
      </w:r>
      <w:del w:id="380" w:author="ERCOT" w:date="2011-03-28T11:08:00Z">
        <w:r w:rsidDel="00124DFF">
          <w:delText xml:space="preserve"> </w:delText>
        </w:r>
        <w:r w:rsidRPr="00AE6396" w:rsidDel="00124DFF">
          <w:delText>CRR Owner or QSE</w:delText>
        </w:r>
      </w:del>
      <w:ins w:id="381" w:author="ERCOT" w:date="2011-03-28T11:18:00Z">
        <w:del w:id="382" w:author="SEWG_0418" w:date="2011-04-18T12:03:00Z">
          <w:r w:rsidDel="005D623E">
            <w:delText xml:space="preserve"> </w:delText>
          </w:r>
        </w:del>
      </w:ins>
      <w:ins w:id="383" w:author="ERCOT" w:date="2011-03-28T11:08:00Z">
        <w:del w:id="384" w:author="SEWG_0418" w:date="2011-04-18T12:03:00Z">
          <w:r w:rsidDel="005D623E">
            <w:delText>Invoice Recipient</w:delText>
          </w:r>
        </w:del>
      </w:ins>
      <w:ins w:id="385" w:author="SEWG_0418" w:date="2011-04-18T12:03:00Z">
        <w:r>
          <w:t xml:space="preserve"> CRR Owner or QSE</w:t>
        </w:r>
      </w:ins>
      <w:r>
        <w:t>, for same day value, the amounts determined by ERCOT to be available for payment.</w:t>
      </w:r>
    </w:p>
    <w:p w:rsidR="00470790" w:rsidRDefault="00470790" w:rsidP="00470790">
      <w:pPr>
        <w:pStyle w:val="H3"/>
      </w:pPr>
      <w:r>
        <w:t>9.14.2</w:t>
      </w:r>
      <w:r>
        <w:tab/>
        <w:t>Notice of Dispute</w:t>
      </w:r>
      <w:bookmarkEnd w:id="325"/>
    </w:p>
    <w:p w:rsidR="00470790" w:rsidRDefault="00470790" w:rsidP="00470790">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rsidR="00470790" w:rsidRDefault="00470790" w:rsidP="00470790">
      <w:pPr>
        <w:pStyle w:val="BodyTextNumbered"/>
      </w:pPr>
      <w:r>
        <w:t>(2)</w:t>
      </w:r>
      <w:r>
        <w:tab/>
        <w:t xml:space="preserve">An Invoice Recipient may dispute elements of an Invoice that are not the result of a Settlement Statement that are contained on the Invoice.  The Invoice Recipient must file the </w:t>
      </w:r>
      <w:del w:id="386" w:author="ERCOT" w:date="2011-03-07T17:24:00Z">
        <w:r w:rsidDel="004349B1">
          <w:delText xml:space="preserve">RTM </w:delText>
        </w:r>
      </w:del>
      <w:r>
        <w:t>Invoice dispute within ten Business Days of the date on which ERCOT posted the Invoice.</w:t>
      </w:r>
    </w:p>
    <w:p w:rsidR="00470790" w:rsidRDefault="00470790" w:rsidP="00470790">
      <w:pPr>
        <w:pStyle w:val="BodyTextNumbered"/>
      </w:pPr>
      <w:r>
        <w:t>(3)</w:t>
      </w:r>
      <w:r>
        <w:tab/>
        <w:t>The 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w:t>
      </w:r>
      <w:r>
        <w:lastRenderedPageBreak/>
        <w:t xml:space="preserve">Up Statement, ERCOT will consider only Settlement and billing disputes associated with incremental changes between the RTM True-Up Statement or Resettlement Statement, and the most recent previous Settlement Statement for that Operating Day.  The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an RTM True-Up Statement binds the Statement Recipient to which it relates unless ERCOT issues a subsequent Resettlement Statement pursuant to this Section.  Once the deadline for filing a dispute has passed, an RTM Statement binds the Statement Recipient to which it relates unless ERCOT issues a subsequent Resettlement Statement.  </w:t>
      </w:r>
    </w:p>
    <w:p w:rsidR="00470790" w:rsidRDefault="00470790" w:rsidP="00470790">
      <w:pPr>
        <w:pStyle w:val="BodyTextNumbered"/>
      </w:pPr>
      <w:r>
        <w:t>(4)</w:t>
      </w:r>
      <w:r>
        <w:tab/>
        <w:t>The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Statement Recipient to which it relates unless ERCOT issues a subsequent Resettlement Statement.</w:t>
      </w:r>
    </w:p>
    <w:p w:rsidR="00470790" w:rsidRDefault="00470790" w:rsidP="00470790">
      <w:pPr>
        <w:pStyle w:val="BodyTextNumbered"/>
      </w:pPr>
      <w:r>
        <w:t>(5)</w:t>
      </w:r>
      <w:r>
        <w:tab/>
        <w:t xml:space="preserve">ERCOT shall reject Settlement and billing disputes for a given Operating Day during the 20 Business Days before the scheduled date for issuance of the RTM True-Up Statement for that Operating Day. </w:t>
      </w:r>
    </w:p>
    <w:p w:rsidR="00470790" w:rsidRDefault="00470790" w:rsidP="00470790">
      <w:pPr>
        <w:pStyle w:val="BodyTextNumbered"/>
      </w:pPr>
      <w:r>
        <w:t>(6)</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rsidR="00470790" w:rsidRDefault="00470790" w:rsidP="00470790"/>
    <w:p w:rsidR="00470790" w:rsidRDefault="00470790" w:rsidP="00470790">
      <w:pPr>
        <w:pStyle w:val="H2"/>
      </w:pPr>
      <w:bookmarkStart w:id="387" w:name="_Toc265496044"/>
      <w:bookmarkStart w:id="388" w:name="_Toc243718292"/>
      <w:commentRangeStart w:id="389"/>
      <w:r w:rsidRPr="00C50231">
        <w:t>9.</w:t>
      </w:r>
      <w:r>
        <w:t>19</w:t>
      </w:r>
      <w:r>
        <w:tab/>
        <w:t>Partial Payments by Invoice Recipients</w:t>
      </w:r>
      <w:bookmarkEnd w:id="387"/>
      <w:commentRangeEnd w:id="389"/>
      <w:r w:rsidR="003B18A5">
        <w:rPr>
          <w:rStyle w:val="CommentReference"/>
          <w:b w:val="0"/>
        </w:rPr>
        <w:commentReference w:id="389"/>
      </w:r>
    </w:p>
    <w:bookmarkEnd w:id="388"/>
    <w:p w:rsidR="00470790" w:rsidRDefault="00470790" w:rsidP="00470790">
      <w:pPr>
        <w:pStyle w:val="ListIntroduction"/>
      </w:pPr>
      <w:r>
        <w:t xml:space="preserve">If at least one Invoice Recipient owing funds does not pay its </w:t>
      </w:r>
      <w:del w:id="390" w:author="ERCOT" w:date="2011-02-08T14:53:00Z">
        <w:r w:rsidDel="00494D73">
          <w:delText xml:space="preserve">Day-Ahead Market (DAM) or Real-Time Market </w:delText>
        </w:r>
      </w:del>
      <w:del w:id="391" w:author="ERCOT" w:date="2011-03-04T17:37:00Z">
        <w:r w:rsidDel="00D86949">
          <w:delText xml:space="preserve">(RTM) </w:delText>
        </w:r>
      </w:del>
      <w:ins w:id="392" w:author="ERCOT" w:date="2011-02-08T14:53:00Z">
        <w:r>
          <w:t xml:space="preserve">Settlement </w:t>
        </w:r>
      </w:ins>
      <w:r>
        <w:t>Invoice in full (</w:t>
      </w:r>
      <w:r w:rsidRPr="00A761CE">
        <w:t>i.e.</w:t>
      </w:r>
      <w:r>
        <w:t>, a short-pay), ERCOT shall follow the procedure set forth below:</w:t>
      </w:r>
    </w:p>
    <w:p w:rsidR="00470790" w:rsidRDefault="00470790" w:rsidP="00470790">
      <w:pPr>
        <w:pStyle w:val="List"/>
      </w:pPr>
      <w:r>
        <w:t>(a)</w:t>
      </w:r>
      <w:r>
        <w:tab/>
        <w:t xml:space="preserve">ERCOT shall make every reasonable attempt to collect payment from each short-paying Invoice Recipient prior to four hours preceding the close of the Bank Business Day </w:t>
      </w:r>
      <w:r>
        <w:lastRenderedPageBreak/>
        <w:t xml:space="preserve">Central Prevailing Time (CPT) on the day that payments by ERCOT are due to be paid to applicable Invoice Recipient(s). </w:t>
      </w:r>
    </w:p>
    <w:p w:rsidR="00470790" w:rsidRDefault="00470790" w:rsidP="00470790">
      <w:pPr>
        <w:pStyle w:val="BodyText"/>
        <w:ind w:left="720" w:hanging="720"/>
      </w:pPr>
      <w:r>
        <w:t>(b)</w:t>
      </w:r>
      <w:r>
        <w:tab/>
        <w:t>ERCOT shall draw on any available security pledged to ERCOT by each short-paying Invoice Recipient that did not pay the amount due under paragraph (a) above.  ERCOT may, in its sole discretion, hold up to five percent of security (posted collateral) of each short-paying Invoice Recipient and use those funds to pay subsequent Settlement Invoices as they become due.  Any funds still held after the last True-Up Statements will be applied to unpaid Invoices in conjunction with the default uplift process outlined in</w:t>
      </w:r>
      <w:r w:rsidRPr="00CC0548">
        <w:t xml:space="preserve"> </w:t>
      </w:r>
      <w:r w:rsidRPr="001D737A">
        <w:t>Section 9.19.1</w:t>
      </w:r>
      <w:r>
        <w:t>, Default Uplift Invoices.</w:t>
      </w:r>
    </w:p>
    <w:p w:rsidR="00470790" w:rsidRDefault="00470790" w:rsidP="00470790">
      <w:pPr>
        <w:pStyle w:val="BodyText"/>
        <w:ind w:left="72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after the last True-Up Statement will be offset or recouped against unpaid Invoices in conjunction with the default uplift process outlined in Section </w:t>
      </w:r>
      <w:r w:rsidRPr="001D737A">
        <w:t>9.19.1</w:t>
      </w:r>
      <w:r>
        <w:t>.</w:t>
      </w:r>
    </w:p>
    <w:p w:rsidR="00470790" w:rsidRDefault="00470790" w:rsidP="00470790">
      <w:pPr>
        <w:pStyle w:val="BodyText"/>
        <w:ind w:left="720" w:hanging="720"/>
      </w:pPr>
      <w:r>
        <w:t>(d)</w:t>
      </w:r>
      <w:r>
        <w:tab/>
        <w:t xml:space="preserve">If, after taking the actions set forth in paragraphs (a), (b) and (c) above, ERCOT still does not have sufficient funds to pay all amounts that it owes to </w:t>
      </w:r>
      <w:del w:id="393" w:author="ERCOT" w:date="2011-03-04T17:37:00Z">
        <w:r w:rsidDel="00D86949">
          <w:delText xml:space="preserve">DAM </w:delText>
        </w:r>
      </w:del>
      <w:ins w:id="394" w:author="ERCOT" w:date="2011-02-08T14:55:00Z">
        <w:r>
          <w:t>Settlement</w:t>
        </w:r>
      </w:ins>
      <w:ins w:id="395" w:author="ERCOT" w:date="2011-01-24T11:36:00Z">
        <w:r>
          <w:t xml:space="preserve"> </w:t>
        </w:r>
      </w:ins>
      <w:r>
        <w:t xml:space="preserve">Invoice Recipients in full, ERCOT shall deduct any applicable </w:t>
      </w:r>
      <w:del w:id="396" w:author="ERCOT" w:date="2011-03-03T18:15:00Z">
        <w:r w:rsidRPr="00644CDD" w:rsidDel="00644CDD">
          <w:delText>DAM</w:delText>
        </w:r>
        <w:r w:rsidDel="00644CDD">
          <w:delText xml:space="preserve"> </w:delText>
        </w:r>
      </w:del>
      <w:r>
        <w:t xml:space="preserve">administrative fees as specified in Section </w:t>
      </w:r>
      <w:r w:rsidRPr="00C50231">
        <w:t>9.16</w:t>
      </w:r>
      <w:r>
        <w:t>, Administrative Fees, payments for Reliability Must-Run (RMR) Services</w:t>
      </w:r>
      <w:ins w:id="397" w:author="ERCOT" w:date="2011-03-03T18:18:00Z">
        <w:r>
          <w:t>,</w:t>
        </w:r>
      </w:ins>
      <w:r>
        <w:t xml:space="preserve"> </w:t>
      </w:r>
      <w:del w:id="398" w:author="ERCOT" w:date="2011-03-03T18:18:00Z">
        <w:r w:rsidDel="00644CDD">
          <w:delText xml:space="preserve">and </w:delText>
        </w:r>
      </w:del>
      <w:r>
        <w:t>amounts calculated for</w:t>
      </w:r>
      <w:ins w:id="399" w:author="ERCOT" w:date="2011-03-03T18:17:00Z">
        <w:r>
          <w:t xml:space="preserve"> CRR shortfall charges as specified in paragraph </w:t>
        </w:r>
      </w:ins>
      <w:ins w:id="400" w:author="ERCOT" w:date="2011-04-06T14:30:00Z">
        <w:r>
          <w:t xml:space="preserve">(3) </w:t>
        </w:r>
      </w:ins>
      <w:ins w:id="401" w:author="ERCOT" w:date="2011-03-03T18:17:00Z">
        <w:r>
          <w:t>of Section 7.9.3.3, Shortfall Charges to CRR Owners</w:t>
        </w:r>
      </w:ins>
      <w:ins w:id="402" w:author="ERCOT" w:date="2011-03-03T18:18:00Z">
        <w:r>
          <w:t>, and</w:t>
        </w:r>
      </w:ins>
      <w:r>
        <w:t xml:space="preserve"> the Congestion Revenue Right (CRR) Balancing Account from the amount received or collected and then reduce payments to all </w:t>
      </w:r>
      <w:del w:id="403" w:author="ERCOT" w:date="2011-03-04T17:37:00Z">
        <w:r w:rsidDel="00D86949">
          <w:delText xml:space="preserve">DAM </w:delText>
        </w:r>
      </w:del>
      <w:ins w:id="404" w:author="ERCOT" w:date="2011-02-08T14:55:00Z">
        <w:r>
          <w:t>Settlement</w:t>
        </w:r>
      </w:ins>
      <w:ins w:id="405" w:author="ERCOT" w:date="2011-01-24T11:36:00Z">
        <w:r>
          <w:t xml:space="preserve"> </w:t>
        </w:r>
      </w:ins>
      <w:r>
        <w:t xml:space="preserve">Invoice Recipients owed monies from ERCOT. </w:t>
      </w:r>
      <w:del w:id="406" w:author="ERCOT" w:date="2011-03-03T18:20:00Z">
        <w:r w:rsidDel="00644CDD">
          <w:delText xml:space="preserve"> If, after taking the actions set forth in paragraph (a), (b) and (c) above, ERCOT still does not have sufficient funds to pay in full all amounts owed to </w:delText>
        </w:r>
      </w:del>
      <w:del w:id="407" w:author="ERCOT" w:date="2011-03-04T17:38:00Z">
        <w:r w:rsidDel="00D86949">
          <w:delText>RTM</w:delText>
        </w:r>
      </w:del>
      <w:del w:id="408" w:author="ERCOT" w:date="2011-03-03T18:20:00Z">
        <w:r w:rsidDel="00644CDD">
          <w:delText xml:space="preserve"> Invoice Recipients, ERCOT shall deduct any applicable RTM administrative fees as specified in Section </w:delText>
        </w:r>
        <w:r w:rsidRPr="00C50231" w:rsidDel="00644CDD">
          <w:delText>9.16</w:delText>
        </w:r>
        <w:r w:rsidDel="00644CDD">
          <w:delText xml:space="preserve"> and payments for RMR Services from the amount received or collected and reduce payments to all </w:delText>
        </w:r>
      </w:del>
      <w:del w:id="409" w:author="ERCOT" w:date="2011-03-04T17:38:00Z">
        <w:r w:rsidDel="00D86949">
          <w:delText>RTM</w:delText>
        </w:r>
      </w:del>
      <w:del w:id="410" w:author="ERCOT" w:date="2011-03-03T18:20:00Z">
        <w:r w:rsidDel="00644CDD">
          <w:delText xml:space="preserve"> Invoice Recipients owed monies from ERCOT except for monies owed for RMR Services.  </w:delText>
        </w:r>
      </w:del>
      <w:r>
        <w:t xml:space="preserve">The reductions must be based on a pro rata basis of monies owed to each </w:t>
      </w:r>
      <w:del w:id="411" w:author="ERCOT" w:date="2011-02-08T15:06:00Z">
        <w:r w:rsidDel="006C6B24">
          <w:delText>DAM or RTM</w:delText>
        </w:r>
      </w:del>
      <w:ins w:id="412" w:author="ERCOT" w:date="2011-02-08T15:06:00Z">
        <w:r>
          <w:t>Settlement</w:t>
        </w:r>
      </w:ins>
      <w:r>
        <w:t xml:space="preserve">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del w:id="413" w:author="ERCOT" w:date="2011-02-08T15:06:00Z">
        <w:r w:rsidDel="006C6B24">
          <w:delText xml:space="preserve">DAM or </w:delText>
        </w:r>
      </w:del>
      <w:del w:id="414" w:author="ERCOT" w:date="2011-03-04T17:38:00Z">
        <w:r w:rsidDel="00D86949">
          <w:delText>RTM</w:delText>
        </w:r>
      </w:del>
      <w:ins w:id="415" w:author="ERCOT" w:date="2011-02-08T15:06:00Z">
        <w:r>
          <w:t>Settlement</w:t>
        </w:r>
      </w:ins>
      <w:r>
        <w:t xml:space="preserve"> Invoice.</w:t>
      </w:r>
    </w:p>
    <w:p w:rsidR="00470790" w:rsidRDefault="00470790" w:rsidP="00470790">
      <w:pPr>
        <w:pStyle w:val="List"/>
      </w:pPr>
      <w:r>
        <w:t>(e)</w:t>
      </w:r>
      <w:r>
        <w:tab/>
        <w:t xml:space="preserve">If sufficient funds continue to be unavailable for ERCOT to pay all amounts in full (excluding late fees) to short-paid Entities for that </w:t>
      </w:r>
      <w:del w:id="416" w:author="ERCOT" w:date="2011-02-08T15:07:00Z">
        <w:r w:rsidDel="006C6B24">
          <w:delText xml:space="preserve">DAM or </w:delText>
        </w:r>
      </w:del>
      <w:del w:id="417" w:author="ERCOT" w:date="2011-03-04T17:38:00Z">
        <w:r w:rsidDel="00D86949">
          <w:delText>RTM</w:delText>
        </w:r>
      </w:del>
      <w:ins w:id="418" w:author="ERCOT" w:date="2011-02-08T15:07:00Z">
        <w:r>
          <w:t>Settlement</w:t>
        </w:r>
      </w:ins>
      <w:r>
        <w:t xml:space="preserve"> Invoice, and the short-paying Entity is not complying with a payment plan designed to enable ERCOT to pay all amounts in full (excluding late fees) to short-paid Entities, the following shall occur:</w:t>
      </w:r>
    </w:p>
    <w:p w:rsidR="00470790" w:rsidRDefault="00470790" w:rsidP="00470790">
      <w:pPr>
        <w:pStyle w:val="List"/>
        <w:tabs>
          <w:tab w:val="left" w:pos="2160"/>
        </w:tabs>
        <w:ind w:left="2160"/>
      </w:pPr>
      <w:r>
        <w:lastRenderedPageBreak/>
        <w:t>(i)</w:t>
      </w:r>
      <w:r>
        <w:tab/>
        <w:t xml:space="preserve">ERCOT will cease charging late fees to the short-paying Entity; provided however, that ERCOT may cease charging late fees earlier than 180 days following a short-payment of a </w:t>
      </w:r>
      <w:del w:id="419" w:author="ERCOT" w:date="2011-02-08T15:07:00Z">
        <w:r w:rsidDel="006C6B24">
          <w:delText xml:space="preserve">DAM </w:delText>
        </w:r>
      </w:del>
      <w:del w:id="420" w:author="ERCOT" w:date="2011-03-04T17:39:00Z">
        <w:r w:rsidDel="00D86949">
          <w:delText>or RTM</w:delText>
        </w:r>
      </w:del>
      <w:ins w:id="421" w:author="ERCOT" w:date="2011-02-08T15:07:00Z">
        <w:r>
          <w:t>Settlement</w:t>
        </w:r>
      </w:ins>
      <w:r>
        <w:t xml:space="preserve"> Invoice if ERCOT, in its sole discretion, determines that the recovery of late fees from the short-paying Entity is unlikely; and </w:t>
      </w:r>
    </w:p>
    <w:p w:rsidR="00470790" w:rsidRDefault="00470790" w:rsidP="00470790">
      <w:pPr>
        <w:pStyle w:val="BodyText"/>
        <w:ind w:left="2160" w:hanging="720"/>
      </w:pPr>
      <w:r>
        <w:t>(ii)</w:t>
      </w:r>
      <w:r>
        <w:tab/>
        <w:t xml:space="preserve">ERCOT shall uplift short-paid amounts through the Default Uplift process described below in Section </w:t>
      </w:r>
      <w:r w:rsidRPr="00A761CE">
        <w:t>9.19.1</w:t>
      </w:r>
      <w:r>
        <w:t xml:space="preserve"> and Section </w:t>
      </w:r>
      <w:r w:rsidRPr="00A761CE">
        <w:t>9.19.2</w:t>
      </w:r>
      <w:r>
        <w:t>, Payment Process for Default Uplift Invoices.</w:t>
      </w:r>
    </w:p>
    <w:p w:rsidR="00470790" w:rsidRDefault="00470790" w:rsidP="00470790">
      <w:pPr>
        <w:pStyle w:val="List"/>
      </w:pPr>
      <w:r w:rsidRPr="00A761CE">
        <w:t>(</w:t>
      </w:r>
      <w:r>
        <w:t>f)</w:t>
      </w:r>
      <w:r>
        <w:tab/>
        <w:t>When ERCOT enters into a payment plan with a short-pay Invoice Recipient, ERCOT shall post to the Market Information System (MIS) Secure Area:</w:t>
      </w:r>
    </w:p>
    <w:p w:rsidR="00470790" w:rsidRDefault="00470790" w:rsidP="00470790">
      <w:pPr>
        <w:pStyle w:val="List"/>
        <w:ind w:left="2160"/>
      </w:pPr>
      <w:r>
        <w:t>(i)</w:t>
      </w:r>
      <w:r>
        <w:tab/>
        <w:t>The short-pay plan;</w:t>
      </w:r>
    </w:p>
    <w:p w:rsidR="00470790" w:rsidRDefault="00470790" w:rsidP="00470790">
      <w:pPr>
        <w:pStyle w:val="List"/>
        <w:ind w:left="2160"/>
      </w:pPr>
      <w:r>
        <w:t>(ii)</w:t>
      </w:r>
      <w:r>
        <w:tab/>
        <w:t>The schedule of quantifiable expected payments, updated if and when modifications are made to the payment schedule; and</w:t>
      </w:r>
    </w:p>
    <w:p w:rsidR="00470790" w:rsidRDefault="00470790" w:rsidP="00470790">
      <w:pPr>
        <w:pStyle w:val="BodyText"/>
        <w:ind w:left="2160" w:hanging="720"/>
      </w:pPr>
      <w:r>
        <w:t>(iii)</w:t>
      </w:r>
      <w:r>
        <w:tab/>
        <w:t>Invoice dates to which the payments will be applied.</w:t>
      </w:r>
    </w:p>
    <w:p w:rsidR="00470790" w:rsidRDefault="00470790" w:rsidP="00470790">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unpaid Invoices in conjunction with the uplift process outlined in </w:t>
      </w:r>
      <w:r w:rsidRPr="0065195B">
        <w:t xml:space="preserve">Section </w:t>
      </w:r>
      <w:r w:rsidRPr="00A761CE">
        <w:t>9.19.1</w:t>
      </w:r>
      <w:r>
        <w:t xml:space="preserve">. </w:t>
      </w:r>
    </w:p>
    <w:p w:rsidR="00470790" w:rsidRDefault="00470790" w:rsidP="00470790">
      <w:pPr>
        <w:pStyle w:val="BodyText"/>
        <w:ind w:left="720" w:hanging="720"/>
      </w:pPr>
      <w:r>
        <w:t>(h)</w:t>
      </w:r>
      <w:r>
        <w:tab/>
        <w:t xml:space="preserve">To the extent ERCOT is able to collect past due funds owed by a short-paying Invoice Recipient, after the default uplift process defined </w:t>
      </w:r>
      <w:r w:rsidRPr="0065195B">
        <w:t xml:space="preserve">in </w:t>
      </w:r>
      <w:r>
        <w:t xml:space="preserve">Section </w:t>
      </w:r>
      <w:r w:rsidRPr="00A761CE">
        <w:t>9.19.1</w:t>
      </w:r>
      <w:r w:rsidRPr="0065195B">
        <w:t>, ERCOT</w:t>
      </w:r>
      <w:r>
        <w:t xml:space="preserve"> shall allocate the collected funds using the same allocation method as in the default uplift process.  ERCOT shall use its best efforts to distribute subsequently collected funds quarterly by the 15</w:t>
      </w:r>
      <w:r w:rsidRPr="003B7565">
        <w:rPr>
          <w:vertAlign w:val="superscript"/>
        </w:rPr>
        <w:t>th</w:t>
      </w:r>
      <w:r>
        <w:t xml:space="preserve"> Business Day following the end of a calendar quarter for a short paying Entity when the cumulative amount of undistributed funds held exceed $50,000.</w:t>
      </w:r>
    </w:p>
    <w:p w:rsidR="00470790" w:rsidRDefault="00470790" w:rsidP="00470790">
      <w:pPr>
        <w:pStyle w:val="H3"/>
      </w:pPr>
      <w:bookmarkStart w:id="422" w:name="_Toc265496045"/>
      <w:bookmarkStart w:id="423" w:name="_Toc243718293"/>
      <w:bookmarkStart w:id="424" w:name="_Toc265496048"/>
    </w:p>
    <w:p w:rsidR="00470790" w:rsidRDefault="00470790" w:rsidP="00470790">
      <w:pPr>
        <w:pStyle w:val="H3"/>
      </w:pPr>
      <w:r>
        <w:t>9.19.1</w:t>
      </w:r>
      <w:r>
        <w:tab/>
        <w:t>Default Uplift Invoices</w:t>
      </w:r>
      <w:bookmarkEnd w:id="422"/>
    </w:p>
    <w:p w:rsidR="00470790" w:rsidRDefault="00470790" w:rsidP="00470790">
      <w:pPr>
        <w:pStyle w:val="List"/>
      </w:pPr>
      <w:r>
        <w:t>(1)</w:t>
      </w:r>
      <w:r>
        <w:tab/>
        <w:t xml:space="preserve">ERCOT shall collect the total short-pay amount for all </w:t>
      </w:r>
      <w:del w:id="425" w:author="ERCOT" w:date="2011-04-04T10:05:00Z">
        <w:r w:rsidDel="00CE75DE">
          <w:delText>DAM and RTM</w:delText>
        </w:r>
      </w:del>
      <w:ins w:id="426" w:author="ERCOT" w:date="2011-04-04T10:05:00Z">
        <w:r>
          <w:t>Settlement</w:t>
        </w:r>
      </w:ins>
      <w:r>
        <w:t xml:space="preserve"> Invoices for a month, less the total payments expected from a payment plan, from </w:t>
      </w:r>
      <w:ins w:id="427" w:author="SEWG_0418" w:date="2011-04-18T11:57:00Z">
        <w:r>
          <w:t xml:space="preserve">Qualified Scheduling Entities (QSEs) and CRR Account Holders (CRRAHs). </w:t>
        </w:r>
      </w:ins>
      <w:del w:id="428" w:author="ERCOT" w:date="2011-03-28T11:13:00Z">
        <w:r w:rsidDel="00124DFF">
          <w:delText xml:space="preserve">Qualified Scheduling </w:delText>
        </w:r>
        <w:r w:rsidRPr="00124DFF" w:rsidDel="00124DFF">
          <w:delText>Entities (QSEs) and CRR Account Holders</w:delText>
        </w:r>
      </w:del>
      <w:ins w:id="429" w:author="ERCOT" w:date="2011-03-28T11:13:00Z">
        <w:del w:id="430" w:author="SEWG_0418" w:date="2011-04-18T11:58:00Z">
          <w:r w:rsidDel="00124FF2">
            <w:delText xml:space="preserve">the </w:delText>
          </w:r>
        </w:del>
      </w:ins>
      <w:ins w:id="431" w:author="ERCOT" w:date="2011-03-29T07:55:00Z">
        <w:del w:id="432" w:author="SEWG_0418" w:date="2011-04-18T11:58:00Z">
          <w:r w:rsidDel="00124FF2">
            <w:delText>Counter-Party</w:delText>
          </w:r>
        </w:del>
      </w:ins>
      <w:r>
        <w:t xml:space="preserve">.  </w:t>
      </w:r>
      <w:del w:id="433" w:author="ERCOT" w:date="2011-03-29T07:56:00Z">
        <w:r w:rsidDel="00B4228B">
          <w:delText xml:space="preserve">The amount charged to each Counter-Party’s QSE(s) and/or CRR Account Holder(s) is determined </w:delText>
        </w:r>
        <w:r w:rsidDel="00B4228B">
          <w:lastRenderedPageBreak/>
          <w:delText xml:space="preserve">according to paragraphs </w:delText>
        </w:r>
        <w:r w:rsidRPr="00A761CE" w:rsidDel="00B4228B">
          <w:delText>(2)</w:delText>
        </w:r>
        <w:r w:rsidDel="00B4228B">
          <w:delText xml:space="preserve"> and </w:delText>
        </w:r>
        <w:r w:rsidRPr="00A761CE" w:rsidDel="00B4228B">
          <w:delText>(3)</w:delText>
        </w:r>
        <w:r w:rsidDel="00B4228B">
          <w:delText xml:space="preserve"> below.</w:delText>
        </w:r>
      </w:del>
      <w:r>
        <w:t xml:space="preserve">  ERCOT must pay the funds it collects from payments on Default Uplift Invoices to the Entities previously short-paid.  ERCOT shall notify those Entities of the details of the payment.</w:t>
      </w:r>
    </w:p>
    <w:bookmarkEnd w:id="423"/>
    <w:p w:rsidR="00470790" w:rsidRDefault="00470790" w:rsidP="00470790">
      <w:pPr>
        <w:pStyle w:val="BodyText"/>
        <w:ind w:left="720" w:hanging="720"/>
      </w:pPr>
      <w:r w:rsidRPr="00CE5650">
        <w:t>(2)</w:t>
      </w:r>
      <w:r w:rsidRPr="00CE5650">
        <w:tab/>
      </w:r>
      <w:r>
        <w:t xml:space="preserve">Each Counter-Party’s share of the uplift is calculated using True-Up Settlement data for each Operating Day in the month prior to the month in which the </w:t>
      </w:r>
      <w:del w:id="434" w:author="ERCOT" w:date="2011-04-04T10:05:00Z">
        <w:r w:rsidDel="00CE75DE">
          <w:delText xml:space="preserve">DAM or RTM </w:delText>
        </w:r>
      </w:del>
      <w:r>
        <w:t>default occurred, and is calculated as follows:</w:t>
      </w:r>
    </w:p>
    <w:p w:rsidR="00470790" w:rsidRDefault="00470790" w:rsidP="00470790">
      <w:pPr>
        <w:pStyle w:val="BodyText"/>
        <w:ind w:left="1440"/>
        <w:rPr>
          <w:b/>
        </w:rPr>
      </w:pPr>
      <w:r w:rsidRPr="00E30B8D">
        <w:rPr>
          <w:b/>
          <w:lang w:val="pt-BR"/>
        </w:rPr>
        <w:t>Max</w:t>
      </w:r>
      <w:r w:rsidRPr="00E30B8D">
        <w:rPr>
          <w:rFonts w:eastAsia="Calibri"/>
          <w:b/>
        </w:rPr>
        <w:t xml:space="preserve"> </w:t>
      </w:r>
      <w:r w:rsidRPr="00E30B8D">
        <w:rPr>
          <w:rFonts w:eastAsia="Calibri"/>
          <w:b/>
          <w:i/>
          <w:vertAlign w:val="subscript"/>
        </w:rPr>
        <w:t>cp</w:t>
      </w:r>
      <w:r w:rsidRPr="00E30B8D">
        <w:rPr>
          <w:rFonts w:eastAsia="Calibri"/>
          <w:b/>
        </w:rPr>
        <w:t xml:space="preserve"> (</w:t>
      </w:r>
      <w:r w:rsidRPr="00E30B8D">
        <w:rPr>
          <w:b/>
        </w:rPr>
        <w:t>∑</w:t>
      </w:r>
      <w:r w:rsidRPr="00E30B8D">
        <w:rPr>
          <w:rFonts w:eastAsia="Calibri"/>
          <w:b/>
          <w:i/>
          <w:vertAlign w:val="subscript"/>
        </w:rPr>
        <w:t>cp</w:t>
      </w:r>
      <w:r w:rsidRPr="00E30B8D">
        <w:rPr>
          <w:rFonts w:eastAsia="Calibri"/>
          <w:b/>
        </w:rPr>
        <w:t> (URTMG </w:t>
      </w:r>
      <w:r w:rsidRPr="00E30B8D">
        <w:rPr>
          <w:rFonts w:eastAsia="Calibri"/>
          <w:b/>
          <w:i/>
          <w:vertAlign w:val="subscript"/>
        </w:rPr>
        <w:t>mp</w:t>
      </w:r>
      <w:r w:rsidRPr="00E30B8D">
        <w:rPr>
          <w:rFonts w:eastAsia="Calibri"/>
          <w:b/>
          <w:vertAlign w:val="subscript"/>
        </w:rPr>
        <w:t xml:space="preserve"> </w:t>
      </w:r>
      <w:r w:rsidRPr="00E30B8D">
        <w:rPr>
          <w:rFonts w:eastAsia="Calibri"/>
          <w:b/>
        </w:rPr>
        <w:t>+ URTDCIMP </w:t>
      </w:r>
      <w:r w:rsidRPr="00E30B8D">
        <w:rPr>
          <w:rFonts w:eastAsia="Calibri"/>
          <w:b/>
          <w:i/>
          <w:vertAlign w:val="subscript"/>
        </w:rPr>
        <w:t>mp</w:t>
      </w:r>
      <w:r w:rsidRPr="00E30B8D">
        <w:rPr>
          <w:b/>
        </w:rPr>
        <w:t>)</w:t>
      </w:r>
      <w:r w:rsidRPr="00E30B8D">
        <w:rPr>
          <w:rFonts w:eastAsia="Calibri"/>
          <w:b/>
          <w:vertAlign w:val="subscript"/>
        </w:rPr>
        <w:t xml:space="preserve"> , </w:t>
      </w:r>
      <w:r w:rsidRPr="00E30B8D">
        <w:rPr>
          <w:b/>
        </w:rPr>
        <w:t>∑</w:t>
      </w:r>
      <w:r w:rsidRPr="00E30B8D">
        <w:rPr>
          <w:rFonts w:eastAsia="Calibri"/>
          <w:b/>
          <w:i/>
          <w:vertAlign w:val="subscript"/>
        </w:rPr>
        <w:t>cp</w:t>
      </w:r>
      <w:r w:rsidRPr="00E30B8D">
        <w:rPr>
          <w:rFonts w:eastAsia="Calibri"/>
          <w:b/>
        </w:rPr>
        <w:t> URTAML </w:t>
      </w:r>
      <w:r w:rsidRPr="00E30B8D">
        <w:rPr>
          <w:rFonts w:eastAsia="Calibri"/>
          <w:b/>
          <w:i/>
          <w:vertAlign w:val="subscript"/>
        </w:rPr>
        <w:t>mp</w:t>
      </w:r>
      <w:r w:rsidRPr="00E30B8D">
        <w:rPr>
          <w:rFonts w:eastAsia="Calibri"/>
          <w:b/>
          <w:vertAlign w:val="subscript"/>
        </w:rPr>
        <w:t xml:space="preserve">, </w:t>
      </w:r>
      <w:r w:rsidRPr="00E30B8D">
        <w:rPr>
          <w:b/>
        </w:rPr>
        <w:t>∑</w:t>
      </w:r>
      <w:r w:rsidRPr="00E30B8D">
        <w:rPr>
          <w:rFonts w:eastAsia="Calibri"/>
          <w:b/>
          <w:i/>
          <w:vertAlign w:val="subscript"/>
        </w:rPr>
        <w:t>cp</w:t>
      </w:r>
      <w:r w:rsidRPr="00E30B8D">
        <w:rPr>
          <w:rFonts w:eastAsia="Calibri"/>
          <w:b/>
          <w:vertAlign w:val="subscript"/>
        </w:rPr>
        <w:t> </w:t>
      </w:r>
      <w:r w:rsidRPr="00E30B8D">
        <w:rPr>
          <w:rFonts w:eastAsia="Calibri"/>
          <w:b/>
        </w:rPr>
        <w:t>URTQQES </w:t>
      </w:r>
      <w:r w:rsidRPr="00E30B8D">
        <w:rPr>
          <w:rFonts w:eastAsia="Calibri"/>
          <w:b/>
          <w:i/>
          <w:vertAlign w:val="subscript"/>
        </w:rPr>
        <w:t>mp</w:t>
      </w:r>
      <w:r w:rsidRPr="00E30B8D">
        <w:rPr>
          <w:rFonts w:eastAsia="Calibri"/>
          <w:b/>
          <w:vertAlign w:val="subscript"/>
        </w:rPr>
        <w:t xml:space="preserve">, </w:t>
      </w:r>
      <w:r w:rsidRPr="00E30B8D">
        <w:rPr>
          <w:b/>
        </w:rPr>
        <w:t>∑</w:t>
      </w:r>
      <w:r w:rsidRPr="00E30B8D">
        <w:rPr>
          <w:rFonts w:eastAsia="Calibri"/>
          <w:b/>
          <w:i/>
          <w:vertAlign w:val="subscript"/>
        </w:rPr>
        <w:t>cp</w:t>
      </w:r>
      <w:r w:rsidRPr="00E30B8D">
        <w:rPr>
          <w:rFonts w:eastAsia="Calibri"/>
          <w:b/>
        </w:rPr>
        <w:t> URTQQEP </w:t>
      </w:r>
      <w:r w:rsidRPr="00E30B8D">
        <w:rPr>
          <w:rFonts w:eastAsia="Calibri"/>
          <w:b/>
          <w:i/>
          <w:vertAlign w:val="subscript"/>
        </w:rPr>
        <w:t>mp</w:t>
      </w:r>
      <w:r w:rsidRPr="00E30B8D">
        <w:rPr>
          <w:rFonts w:eastAsia="Calibri"/>
          <w:b/>
          <w:vertAlign w:val="subscript"/>
        </w:rPr>
        <w:t xml:space="preserve">, </w:t>
      </w:r>
      <w:r w:rsidRPr="00E30B8D">
        <w:rPr>
          <w:b/>
        </w:rPr>
        <w:t>∑</w:t>
      </w:r>
      <w:r w:rsidRPr="00E30B8D">
        <w:rPr>
          <w:rFonts w:eastAsia="Calibri"/>
          <w:b/>
          <w:i/>
          <w:vertAlign w:val="subscript"/>
        </w:rPr>
        <w:t>cp</w:t>
      </w:r>
      <w:r w:rsidRPr="00E30B8D">
        <w:rPr>
          <w:rFonts w:eastAsia="Calibri"/>
          <w:b/>
        </w:rPr>
        <w:t> UDAES </w:t>
      </w:r>
      <w:r w:rsidRPr="00E30B8D">
        <w:rPr>
          <w:rFonts w:eastAsia="Calibri"/>
          <w:b/>
          <w:i/>
          <w:vertAlign w:val="subscript"/>
        </w:rPr>
        <w:t>mp</w:t>
      </w:r>
      <w:r w:rsidRPr="00E30B8D">
        <w:rPr>
          <w:rFonts w:eastAsia="Calibri"/>
          <w:b/>
          <w:vertAlign w:val="subscript"/>
        </w:rPr>
        <w:t xml:space="preserve">, </w:t>
      </w:r>
      <w:r w:rsidRPr="00E30B8D">
        <w:rPr>
          <w:b/>
        </w:rPr>
        <w:t>∑</w:t>
      </w:r>
      <w:r w:rsidRPr="00E30B8D">
        <w:rPr>
          <w:rFonts w:eastAsia="Calibri"/>
          <w:b/>
          <w:i/>
          <w:vertAlign w:val="subscript"/>
        </w:rPr>
        <w:t>cp</w:t>
      </w:r>
      <w:r w:rsidRPr="00E30B8D">
        <w:rPr>
          <w:rFonts w:eastAsia="Calibri"/>
          <w:b/>
        </w:rPr>
        <w:t> UDAEP </w:t>
      </w:r>
      <w:r w:rsidRPr="00E30B8D">
        <w:rPr>
          <w:rFonts w:eastAsia="Calibri"/>
          <w:b/>
          <w:i/>
          <w:vertAlign w:val="subscript"/>
        </w:rPr>
        <w:t>mp</w:t>
      </w:r>
      <w:r w:rsidRPr="00E30B8D">
        <w:rPr>
          <w:rFonts w:eastAsia="Calibri"/>
          <w:b/>
          <w:vertAlign w:val="subscript"/>
        </w:rPr>
        <w:t xml:space="preserve">, </w:t>
      </w:r>
      <w:r w:rsidRPr="00E30B8D">
        <w:rPr>
          <w:b/>
        </w:rPr>
        <w:t>∑</w:t>
      </w:r>
      <w:r w:rsidRPr="00E30B8D">
        <w:rPr>
          <w:rFonts w:eastAsia="Calibri"/>
          <w:b/>
          <w:i/>
          <w:vertAlign w:val="subscript"/>
        </w:rPr>
        <w:t>cp</w:t>
      </w:r>
      <w:r w:rsidRPr="00E30B8D">
        <w:rPr>
          <w:rFonts w:eastAsia="Calibri"/>
          <w:b/>
        </w:rPr>
        <w:t> URTOBL </w:t>
      </w:r>
      <w:r w:rsidRPr="00E30B8D">
        <w:rPr>
          <w:rFonts w:eastAsia="Calibri"/>
          <w:b/>
          <w:i/>
          <w:vertAlign w:val="subscript"/>
        </w:rPr>
        <w:t>mp</w:t>
      </w:r>
      <w:r w:rsidRPr="00E30B8D">
        <w:rPr>
          <w:rFonts w:eastAsia="Calibri"/>
          <w:b/>
          <w:vertAlign w:val="subscript"/>
        </w:rPr>
        <w:t xml:space="preserve">, </w:t>
      </w:r>
      <w:r w:rsidRPr="00E30B8D">
        <w:rPr>
          <w:b/>
        </w:rPr>
        <w:t>∑</w:t>
      </w:r>
      <w:r w:rsidRPr="00E30B8D">
        <w:rPr>
          <w:rFonts w:eastAsia="Calibri"/>
          <w:b/>
          <w:i/>
          <w:vertAlign w:val="subscript"/>
        </w:rPr>
        <w:t>cp</w:t>
      </w:r>
      <w:r w:rsidRPr="00E30B8D">
        <w:rPr>
          <w:rFonts w:eastAsia="Calibri"/>
          <w:b/>
        </w:rPr>
        <w:t> </w:t>
      </w:r>
      <w:r w:rsidRPr="00E30B8D">
        <w:rPr>
          <w:b/>
        </w:rPr>
        <w:t>(∑</w:t>
      </w:r>
      <w:r w:rsidRPr="00E30B8D">
        <w:rPr>
          <w:rFonts w:eastAsia="Calibri"/>
          <w:b/>
          <w:i/>
          <w:vertAlign w:val="subscript"/>
        </w:rPr>
        <w:t>mp</w:t>
      </w:r>
      <w:r w:rsidRPr="00E30B8D">
        <w:rPr>
          <w:rFonts w:eastAsia="Calibri"/>
          <w:b/>
        </w:rPr>
        <w:t> </w:t>
      </w:r>
      <w:r w:rsidRPr="00E30B8D">
        <w:rPr>
          <w:b/>
        </w:rPr>
        <w:t>(</w:t>
      </w:r>
      <w:r w:rsidRPr="00E30B8D">
        <w:rPr>
          <w:rFonts w:eastAsia="Calibri"/>
          <w:b/>
        </w:rPr>
        <w:t>UDAOPT </w:t>
      </w:r>
      <w:r w:rsidRPr="00E30B8D">
        <w:rPr>
          <w:rFonts w:eastAsia="Calibri"/>
          <w:b/>
          <w:i/>
          <w:vertAlign w:val="subscript"/>
        </w:rPr>
        <w:t>mp</w:t>
      </w:r>
      <w:r w:rsidRPr="00E30B8D">
        <w:rPr>
          <w:rFonts w:eastAsia="Calibri"/>
          <w:b/>
          <w:vertAlign w:val="subscript"/>
        </w:rPr>
        <w:t xml:space="preserve"> </w:t>
      </w:r>
      <w:r w:rsidRPr="00E30B8D">
        <w:rPr>
          <w:rFonts w:eastAsia="Calibri"/>
          <w:b/>
        </w:rPr>
        <w:t>+ UDAOBL </w:t>
      </w:r>
      <w:r w:rsidRPr="00E30B8D">
        <w:rPr>
          <w:rFonts w:eastAsia="Calibri"/>
          <w:b/>
          <w:i/>
          <w:vertAlign w:val="subscript"/>
        </w:rPr>
        <w:t>mp</w:t>
      </w:r>
      <w:r w:rsidRPr="00E30B8D">
        <w:rPr>
          <w:rFonts w:eastAsia="Calibri"/>
          <w:b/>
          <w:vertAlign w:val="subscript"/>
        </w:rPr>
        <w:t xml:space="preserve"> </w:t>
      </w:r>
      <w:r w:rsidRPr="000F1BF0">
        <w:rPr>
          <w:rFonts w:eastAsia="Calibri"/>
          <w:b/>
        </w:rPr>
        <w:t>+</w:t>
      </w:r>
      <w:r w:rsidRPr="00E30B8D">
        <w:rPr>
          <w:rFonts w:eastAsia="Calibri"/>
          <w:b/>
          <w:vertAlign w:val="subscript"/>
        </w:rPr>
        <w:t xml:space="preserve"> </w:t>
      </w:r>
      <w:r w:rsidRPr="00E30B8D">
        <w:rPr>
          <w:rFonts w:eastAsia="Calibri"/>
          <w:b/>
        </w:rPr>
        <w:t>UOPTS </w:t>
      </w:r>
      <w:r w:rsidRPr="00E30B8D">
        <w:rPr>
          <w:rFonts w:eastAsia="Calibri"/>
          <w:b/>
          <w:i/>
          <w:vertAlign w:val="subscript"/>
        </w:rPr>
        <w:t>mp</w:t>
      </w:r>
      <w:r w:rsidRPr="00E30B8D">
        <w:rPr>
          <w:rFonts w:eastAsia="Calibri"/>
          <w:b/>
          <w:vertAlign w:val="subscript"/>
        </w:rPr>
        <w:t xml:space="preserve"> </w:t>
      </w:r>
      <w:r w:rsidRPr="000F1BF0">
        <w:rPr>
          <w:rFonts w:eastAsia="Calibri"/>
          <w:b/>
        </w:rPr>
        <w:t>+</w:t>
      </w:r>
      <w:r w:rsidRPr="00E30B8D">
        <w:rPr>
          <w:rFonts w:eastAsia="Calibri"/>
          <w:b/>
          <w:vertAlign w:val="subscript"/>
        </w:rPr>
        <w:t xml:space="preserve"> </w:t>
      </w:r>
      <w:r w:rsidRPr="00E30B8D">
        <w:rPr>
          <w:rFonts w:eastAsia="Calibri"/>
          <w:b/>
        </w:rPr>
        <w:t>UOBLS </w:t>
      </w:r>
      <w:r w:rsidRPr="00E30B8D">
        <w:rPr>
          <w:rFonts w:eastAsia="Calibri"/>
          <w:b/>
          <w:i/>
          <w:vertAlign w:val="subscript"/>
        </w:rPr>
        <w:t>mp</w:t>
      </w:r>
      <w:r w:rsidRPr="00E30B8D">
        <w:rPr>
          <w:b/>
        </w:rPr>
        <w:t>)), ∑</w:t>
      </w:r>
      <w:r w:rsidRPr="00E30B8D">
        <w:rPr>
          <w:rFonts w:eastAsia="Calibri"/>
          <w:b/>
          <w:i/>
          <w:vertAlign w:val="subscript"/>
        </w:rPr>
        <w:t>cp</w:t>
      </w:r>
      <w:r w:rsidRPr="00E30B8D">
        <w:rPr>
          <w:b/>
        </w:rPr>
        <w:t xml:space="preserve"> (∑</w:t>
      </w:r>
      <w:r w:rsidRPr="00E30B8D">
        <w:rPr>
          <w:rFonts w:eastAsia="Calibri"/>
          <w:b/>
          <w:i/>
          <w:vertAlign w:val="subscript"/>
        </w:rPr>
        <w:t>mp</w:t>
      </w:r>
      <w:r w:rsidRPr="00E30B8D">
        <w:rPr>
          <w:rFonts w:eastAsia="Calibri"/>
          <w:b/>
        </w:rPr>
        <w:t> </w:t>
      </w:r>
      <w:r w:rsidRPr="00E30B8D">
        <w:rPr>
          <w:b/>
        </w:rPr>
        <w:t>(</w:t>
      </w:r>
      <w:r w:rsidRPr="00E30B8D">
        <w:rPr>
          <w:rFonts w:eastAsia="Calibri"/>
          <w:b/>
        </w:rPr>
        <w:t>UOPTP </w:t>
      </w:r>
      <w:r w:rsidRPr="00E30B8D">
        <w:rPr>
          <w:rFonts w:eastAsia="Calibri"/>
          <w:b/>
          <w:i/>
          <w:vertAlign w:val="subscript"/>
        </w:rPr>
        <w:t>mp</w:t>
      </w:r>
      <w:r w:rsidRPr="00E30B8D">
        <w:rPr>
          <w:rFonts w:eastAsia="Calibri"/>
          <w:b/>
          <w:vertAlign w:val="subscript"/>
        </w:rPr>
        <w:t xml:space="preserve"> </w:t>
      </w:r>
      <w:r w:rsidRPr="00E30B8D">
        <w:rPr>
          <w:rFonts w:eastAsia="Calibri"/>
          <w:b/>
        </w:rPr>
        <w:t>+ UOBLP </w:t>
      </w:r>
      <w:r w:rsidRPr="00E30B8D">
        <w:rPr>
          <w:rFonts w:eastAsia="Calibri"/>
          <w:b/>
          <w:i/>
          <w:vertAlign w:val="subscript"/>
        </w:rPr>
        <w:t>mp</w:t>
      </w:r>
      <w:r w:rsidRPr="00E30B8D">
        <w:rPr>
          <w:b/>
        </w:rPr>
        <w:t>))) /</w:t>
      </w:r>
    </w:p>
    <w:p w:rsidR="00470790" w:rsidRDefault="00470790" w:rsidP="00470790">
      <w:pPr>
        <w:pStyle w:val="BodyText"/>
        <w:ind w:left="1440"/>
        <w:rPr>
          <w:b/>
        </w:rPr>
      </w:pPr>
      <w:r w:rsidRPr="00E30B8D">
        <w:rPr>
          <w:b/>
        </w:rPr>
        <w:t>∑</w:t>
      </w:r>
      <w:r w:rsidRPr="00E30B8D">
        <w:rPr>
          <w:rFonts w:eastAsia="Calibri"/>
          <w:b/>
          <w:i/>
          <w:vertAlign w:val="subscript"/>
        </w:rPr>
        <w:t>cp</w:t>
      </w:r>
      <w:r w:rsidRPr="00E30B8D">
        <w:rPr>
          <w:b/>
        </w:rPr>
        <w:t xml:space="preserve"> [</w:t>
      </w:r>
      <w:r w:rsidRPr="00E30B8D">
        <w:rPr>
          <w:rFonts w:eastAsia="Calibri"/>
          <w:b/>
        </w:rPr>
        <w:t xml:space="preserve">Max </w:t>
      </w:r>
      <w:r w:rsidRPr="00E30B8D">
        <w:rPr>
          <w:rFonts w:eastAsia="Calibri"/>
          <w:b/>
          <w:i/>
          <w:vertAlign w:val="subscript"/>
        </w:rPr>
        <w:t>cp</w:t>
      </w:r>
      <w:r w:rsidRPr="00E30B8D">
        <w:rPr>
          <w:rFonts w:eastAsia="Calibri"/>
          <w:b/>
        </w:rPr>
        <w:t xml:space="preserve"> (</w:t>
      </w:r>
      <w:r w:rsidRPr="00E30B8D">
        <w:rPr>
          <w:b/>
        </w:rPr>
        <w:t>∑</w:t>
      </w:r>
      <w:r w:rsidRPr="00E30B8D">
        <w:rPr>
          <w:rFonts w:eastAsia="Calibri"/>
          <w:b/>
          <w:i/>
          <w:vertAlign w:val="subscript"/>
        </w:rPr>
        <w:t>cp</w:t>
      </w:r>
      <w:r w:rsidRPr="00E30B8D">
        <w:rPr>
          <w:rFonts w:eastAsia="Calibri"/>
          <w:b/>
        </w:rPr>
        <w:t> (URTMG </w:t>
      </w:r>
      <w:r w:rsidRPr="00E30B8D">
        <w:rPr>
          <w:rFonts w:eastAsia="Calibri"/>
          <w:b/>
          <w:i/>
          <w:vertAlign w:val="subscript"/>
        </w:rPr>
        <w:t>mp</w:t>
      </w:r>
      <w:r w:rsidRPr="00E30B8D">
        <w:rPr>
          <w:rFonts w:eastAsia="Calibri"/>
          <w:b/>
          <w:vertAlign w:val="subscript"/>
        </w:rPr>
        <w:t xml:space="preserve"> </w:t>
      </w:r>
      <w:r w:rsidRPr="00E30B8D">
        <w:rPr>
          <w:rFonts w:eastAsia="Calibri"/>
          <w:b/>
        </w:rPr>
        <w:t>+ URTDCIMP </w:t>
      </w:r>
      <w:r w:rsidRPr="00E30B8D">
        <w:rPr>
          <w:rFonts w:eastAsia="Calibri"/>
          <w:b/>
          <w:i/>
          <w:vertAlign w:val="subscript"/>
        </w:rPr>
        <w:t>mp</w:t>
      </w:r>
      <w:r w:rsidRPr="00E30B8D">
        <w:rPr>
          <w:b/>
        </w:rPr>
        <w:t>)</w:t>
      </w:r>
      <w:r w:rsidRPr="00E30B8D">
        <w:rPr>
          <w:rFonts w:eastAsia="Calibri"/>
          <w:b/>
          <w:vertAlign w:val="subscript"/>
        </w:rPr>
        <w:t xml:space="preserve"> , </w:t>
      </w:r>
      <w:r w:rsidRPr="00E30B8D">
        <w:rPr>
          <w:b/>
        </w:rPr>
        <w:t>∑</w:t>
      </w:r>
      <w:r w:rsidRPr="00E30B8D">
        <w:rPr>
          <w:rFonts w:eastAsia="Calibri"/>
          <w:b/>
          <w:i/>
          <w:vertAlign w:val="subscript"/>
        </w:rPr>
        <w:t>cp</w:t>
      </w:r>
      <w:r w:rsidRPr="00E30B8D">
        <w:rPr>
          <w:rFonts w:eastAsia="Calibri"/>
          <w:b/>
        </w:rPr>
        <w:t> URTAML </w:t>
      </w:r>
      <w:r w:rsidRPr="00E30B8D">
        <w:rPr>
          <w:rFonts w:eastAsia="Calibri"/>
          <w:b/>
          <w:i/>
          <w:vertAlign w:val="subscript"/>
        </w:rPr>
        <w:t>mp</w:t>
      </w:r>
      <w:r w:rsidRPr="00E30B8D">
        <w:rPr>
          <w:rFonts w:eastAsia="Calibri"/>
          <w:b/>
          <w:vertAlign w:val="subscript"/>
        </w:rPr>
        <w:t xml:space="preserve">, </w:t>
      </w:r>
      <w:r w:rsidRPr="00E30B8D">
        <w:rPr>
          <w:b/>
        </w:rPr>
        <w:t>∑</w:t>
      </w:r>
      <w:r w:rsidRPr="00E30B8D">
        <w:rPr>
          <w:rFonts w:eastAsia="Calibri"/>
          <w:b/>
          <w:i/>
          <w:vertAlign w:val="subscript"/>
        </w:rPr>
        <w:t>cp</w:t>
      </w:r>
      <w:r w:rsidRPr="00E30B8D">
        <w:rPr>
          <w:rFonts w:eastAsia="Calibri"/>
          <w:b/>
        </w:rPr>
        <w:t> URTQQES </w:t>
      </w:r>
      <w:r w:rsidRPr="00E30B8D">
        <w:rPr>
          <w:rFonts w:eastAsia="Calibri"/>
          <w:b/>
          <w:i/>
          <w:vertAlign w:val="subscript"/>
        </w:rPr>
        <w:t>mp</w:t>
      </w:r>
      <w:r w:rsidRPr="00E30B8D">
        <w:rPr>
          <w:rFonts w:eastAsia="Calibri"/>
          <w:b/>
          <w:vertAlign w:val="subscript"/>
        </w:rPr>
        <w:t xml:space="preserve">, </w:t>
      </w:r>
      <w:r w:rsidRPr="00E30B8D">
        <w:rPr>
          <w:b/>
        </w:rPr>
        <w:t>∑</w:t>
      </w:r>
      <w:r w:rsidRPr="00E30B8D">
        <w:rPr>
          <w:rFonts w:eastAsia="Calibri"/>
          <w:b/>
          <w:i/>
          <w:vertAlign w:val="subscript"/>
        </w:rPr>
        <w:t>cp</w:t>
      </w:r>
      <w:r w:rsidRPr="00E30B8D">
        <w:rPr>
          <w:rFonts w:eastAsia="Calibri"/>
          <w:b/>
        </w:rPr>
        <w:t xml:space="preserve"> URTQQEP </w:t>
      </w:r>
      <w:r w:rsidRPr="00E30B8D">
        <w:rPr>
          <w:rFonts w:eastAsia="Calibri"/>
          <w:b/>
          <w:i/>
          <w:vertAlign w:val="subscript"/>
        </w:rPr>
        <w:t>mp</w:t>
      </w:r>
      <w:r w:rsidRPr="00E30B8D">
        <w:rPr>
          <w:rFonts w:eastAsia="Calibri"/>
          <w:b/>
          <w:vertAlign w:val="subscript"/>
        </w:rPr>
        <w:t xml:space="preserve">, </w:t>
      </w:r>
      <w:r w:rsidRPr="00E30B8D">
        <w:rPr>
          <w:b/>
        </w:rPr>
        <w:t>∑</w:t>
      </w:r>
      <w:r w:rsidRPr="00E30B8D">
        <w:rPr>
          <w:rFonts w:eastAsia="Calibri"/>
          <w:b/>
          <w:i/>
          <w:vertAlign w:val="subscript"/>
        </w:rPr>
        <w:t>cp</w:t>
      </w:r>
      <w:r w:rsidRPr="00E30B8D">
        <w:rPr>
          <w:rFonts w:eastAsia="Calibri"/>
          <w:b/>
        </w:rPr>
        <w:t> UDAES </w:t>
      </w:r>
      <w:r w:rsidRPr="00E30B8D">
        <w:rPr>
          <w:rFonts w:eastAsia="Calibri"/>
          <w:b/>
          <w:i/>
          <w:vertAlign w:val="subscript"/>
        </w:rPr>
        <w:t>mp</w:t>
      </w:r>
      <w:r w:rsidRPr="00E30B8D">
        <w:rPr>
          <w:rFonts w:eastAsia="Calibri"/>
          <w:b/>
          <w:vertAlign w:val="subscript"/>
        </w:rPr>
        <w:t xml:space="preserve">, </w:t>
      </w:r>
      <w:r w:rsidRPr="00E30B8D">
        <w:rPr>
          <w:b/>
        </w:rPr>
        <w:t>∑</w:t>
      </w:r>
      <w:r w:rsidRPr="00E30B8D">
        <w:rPr>
          <w:rFonts w:eastAsia="Calibri"/>
          <w:b/>
          <w:i/>
          <w:vertAlign w:val="subscript"/>
        </w:rPr>
        <w:t>cp</w:t>
      </w:r>
      <w:r w:rsidRPr="00E30B8D">
        <w:rPr>
          <w:rFonts w:eastAsia="Calibri"/>
          <w:b/>
        </w:rPr>
        <w:t> UDAEP</w:t>
      </w:r>
      <w:r w:rsidRPr="00E30B8D">
        <w:rPr>
          <w:rFonts w:eastAsia="Calibri"/>
          <w:b/>
          <w:i/>
          <w:vertAlign w:val="subscript"/>
        </w:rPr>
        <w:t>mp</w:t>
      </w:r>
      <w:r w:rsidRPr="00E30B8D">
        <w:rPr>
          <w:rFonts w:eastAsia="Calibri"/>
          <w:b/>
          <w:vertAlign w:val="subscript"/>
        </w:rPr>
        <w:t xml:space="preserve">, </w:t>
      </w:r>
      <w:r w:rsidRPr="00E30B8D">
        <w:rPr>
          <w:b/>
        </w:rPr>
        <w:t>∑</w:t>
      </w:r>
      <w:r w:rsidRPr="000F1BF0">
        <w:rPr>
          <w:rFonts w:eastAsia="Calibri"/>
          <w:b/>
          <w:i/>
          <w:vertAlign w:val="subscript"/>
        </w:rPr>
        <w:t>cp</w:t>
      </w:r>
      <w:r w:rsidRPr="00E30B8D">
        <w:rPr>
          <w:rFonts w:eastAsia="Calibri"/>
          <w:b/>
          <w:vertAlign w:val="subscript"/>
        </w:rPr>
        <w:t> </w:t>
      </w:r>
      <w:r w:rsidRPr="00E30B8D">
        <w:rPr>
          <w:rFonts w:eastAsia="Calibri"/>
          <w:b/>
        </w:rPr>
        <w:t>URTOBL </w:t>
      </w:r>
      <w:r w:rsidRPr="00E30B8D">
        <w:rPr>
          <w:rFonts w:eastAsia="Calibri"/>
          <w:b/>
          <w:i/>
          <w:vertAlign w:val="subscript"/>
        </w:rPr>
        <w:t>mp</w:t>
      </w:r>
      <w:r w:rsidRPr="00E30B8D">
        <w:rPr>
          <w:rFonts w:eastAsia="Calibri"/>
          <w:b/>
          <w:vertAlign w:val="subscript"/>
        </w:rPr>
        <w:t xml:space="preserve">, </w:t>
      </w:r>
      <w:r w:rsidRPr="00E30B8D">
        <w:rPr>
          <w:b/>
        </w:rPr>
        <w:t>∑</w:t>
      </w:r>
      <w:r w:rsidRPr="00E30B8D">
        <w:rPr>
          <w:rFonts w:eastAsia="Calibri"/>
          <w:b/>
          <w:i/>
          <w:vertAlign w:val="subscript"/>
        </w:rPr>
        <w:t>cp</w:t>
      </w:r>
      <w:r w:rsidRPr="00E30B8D">
        <w:rPr>
          <w:b/>
        </w:rPr>
        <w:t xml:space="preserve"> (∑</w:t>
      </w:r>
      <w:r w:rsidRPr="00E30B8D">
        <w:rPr>
          <w:rFonts w:eastAsia="Calibri"/>
          <w:b/>
          <w:i/>
          <w:vertAlign w:val="subscript"/>
        </w:rPr>
        <w:t>mp</w:t>
      </w:r>
      <w:r w:rsidRPr="00E30B8D">
        <w:rPr>
          <w:b/>
        </w:rPr>
        <w:t> (</w:t>
      </w:r>
      <w:r w:rsidRPr="00E30B8D">
        <w:rPr>
          <w:rFonts w:eastAsia="Calibri"/>
          <w:b/>
        </w:rPr>
        <w:t>UDAOPT </w:t>
      </w:r>
      <w:r w:rsidRPr="00E30B8D">
        <w:rPr>
          <w:rFonts w:eastAsia="Calibri"/>
          <w:b/>
          <w:i/>
          <w:vertAlign w:val="subscript"/>
        </w:rPr>
        <w:t>mp</w:t>
      </w:r>
      <w:r w:rsidRPr="00E30B8D">
        <w:rPr>
          <w:rFonts w:eastAsia="Calibri"/>
          <w:b/>
          <w:vertAlign w:val="subscript"/>
        </w:rPr>
        <w:t xml:space="preserve"> </w:t>
      </w:r>
      <w:r w:rsidRPr="00E30B8D">
        <w:rPr>
          <w:rFonts w:eastAsia="Calibri"/>
          <w:b/>
        </w:rPr>
        <w:t>+ UDAOBL </w:t>
      </w:r>
      <w:r w:rsidRPr="00E30B8D">
        <w:rPr>
          <w:rFonts w:eastAsia="Calibri"/>
          <w:b/>
          <w:i/>
          <w:vertAlign w:val="subscript"/>
        </w:rPr>
        <w:t>mp</w:t>
      </w:r>
      <w:r w:rsidRPr="00E30B8D">
        <w:rPr>
          <w:rFonts w:eastAsia="Calibri"/>
          <w:b/>
          <w:vertAlign w:val="subscript"/>
        </w:rPr>
        <w:t xml:space="preserve"> </w:t>
      </w:r>
      <w:r w:rsidRPr="000F1BF0">
        <w:rPr>
          <w:rFonts w:eastAsia="Calibri"/>
          <w:b/>
        </w:rPr>
        <w:t>+</w:t>
      </w:r>
      <w:r w:rsidRPr="00E30B8D">
        <w:rPr>
          <w:rFonts w:eastAsia="Calibri"/>
          <w:b/>
          <w:vertAlign w:val="subscript"/>
        </w:rPr>
        <w:t xml:space="preserve"> </w:t>
      </w:r>
      <w:r w:rsidRPr="00E30B8D">
        <w:rPr>
          <w:rFonts w:eastAsia="Calibri"/>
          <w:b/>
        </w:rPr>
        <w:t>UOPTS </w:t>
      </w:r>
      <w:r w:rsidRPr="00E30B8D">
        <w:rPr>
          <w:rFonts w:eastAsia="Calibri"/>
          <w:b/>
          <w:i/>
          <w:vertAlign w:val="subscript"/>
        </w:rPr>
        <w:t>mp</w:t>
      </w:r>
      <w:r w:rsidRPr="00E30B8D">
        <w:rPr>
          <w:rFonts w:eastAsia="Calibri"/>
          <w:b/>
          <w:vertAlign w:val="subscript"/>
        </w:rPr>
        <w:t xml:space="preserve"> </w:t>
      </w:r>
      <w:r w:rsidRPr="000F1BF0">
        <w:rPr>
          <w:rFonts w:eastAsia="Calibri"/>
          <w:b/>
        </w:rPr>
        <w:t>+</w:t>
      </w:r>
      <w:r w:rsidRPr="00E30B8D">
        <w:rPr>
          <w:rFonts w:eastAsia="Calibri"/>
          <w:b/>
          <w:vertAlign w:val="subscript"/>
        </w:rPr>
        <w:t xml:space="preserve"> </w:t>
      </w:r>
      <w:r w:rsidRPr="00E30B8D">
        <w:rPr>
          <w:rFonts w:eastAsia="Calibri"/>
          <w:b/>
        </w:rPr>
        <w:t>UOBLS </w:t>
      </w:r>
      <w:r w:rsidRPr="00E30B8D">
        <w:rPr>
          <w:rFonts w:eastAsia="Calibri"/>
          <w:b/>
          <w:i/>
          <w:vertAlign w:val="subscript"/>
        </w:rPr>
        <w:t>mp</w:t>
      </w:r>
      <w:r w:rsidRPr="00E30B8D">
        <w:rPr>
          <w:b/>
        </w:rPr>
        <w:t>)), ∑</w:t>
      </w:r>
      <w:r w:rsidRPr="00E30B8D">
        <w:rPr>
          <w:rFonts w:eastAsia="Calibri"/>
          <w:b/>
          <w:i/>
          <w:vertAlign w:val="subscript"/>
        </w:rPr>
        <w:t>cp</w:t>
      </w:r>
      <w:r w:rsidRPr="00E30B8D">
        <w:rPr>
          <w:b/>
        </w:rPr>
        <w:t xml:space="preserve"> (∑</w:t>
      </w:r>
      <w:r w:rsidRPr="00E30B8D">
        <w:rPr>
          <w:rFonts w:eastAsia="Calibri"/>
          <w:b/>
          <w:i/>
          <w:vertAlign w:val="subscript"/>
        </w:rPr>
        <w:t>mp</w:t>
      </w:r>
      <w:r w:rsidRPr="00E30B8D">
        <w:rPr>
          <w:b/>
        </w:rPr>
        <w:t> (</w:t>
      </w:r>
      <w:r w:rsidRPr="00E30B8D">
        <w:rPr>
          <w:rFonts w:eastAsia="Calibri"/>
          <w:b/>
        </w:rPr>
        <w:t>UOPTP </w:t>
      </w:r>
      <w:r w:rsidRPr="00E30B8D">
        <w:rPr>
          <w:rFonts w:eastAsia="Calibri"/>
          <w:b/>
          <w:i/>
          <w:vertAlign w:val="subscript"/>
        </w:rPr>
        <w:t>mp</w:t>
      </w:r>
      <w:r w:rsidRPr="00E30B8D">
        <w:rPr>
          <w:rFonts w:eastAsia="Calibri"/>
          <w:b/>
          <w:vertAlign w:val="subscript"/>
        </w:rPr>
        <w:t xml:space="preserve"> </w:t>
      </w:r>
      <w:r w:rsidRPr="00E30B8D">
        <w:rPr>
          <w:rFonts w:eastAsia="Calibri"/>
          <w:b/>
        </w:rPr>
        <w:t>+ UOBLP </w:t>
      </w:r>
      <w:r w:rsidRPr="00E30B8D">
        <w:rPr>
          <w:rFonts w:eastAsia="Calibri"/>
          <w:b/>
          <w:i/>
          <w:vertAlign w:val="subscript"/>
        </w:rPr>
        <w:t>mp</w:t>
      </w:r>
      <w:r w:rsidRPr="00E30B8D">
        <w:rPr>
          <w:b/>
        </w:rPr>
        <w:t>)))]</w:t>
      </w:r>
    </w:p>
    <w:p w:rsidR="00470790" w:rsidRDefault="00470790" w:rsidP="00470790">
      <w:pPr>
        <w:pStyle w:val="BodyText"/>
        <w:ind w:left="720"/>
        <w:rPr>
          <w:rFonts w:eastAsia="Calibri"/>
        </w:rPr>
      </w:pPr>
      <w:r>
        <w:rPr>
          <w:rFonts w:eastAsia="Calibri"/>
        </w:rPr>
        <w:t>Where:</w:t>
      </w:r>
    </w:p>
    <w:p w:rsidR="00470790" w:rsidRDefault="00470790" w:rsidP="00470790">
      <w:pPr>
        <w:pStyle w:val="FormulaBold"/>
        <w:ind w:left="1440" w:firstLine="0"/>
        <w:rPr>
          <w:rFonts w:eastAsia="Calibri"/>
          <w:b w:val="0"/>
        </w:rPr>
      </w:pPr>
      <w:r w:rsidRPr="000F1BF0">
        <w:rPr>
          <w:b w:val="0"/>
        </w:rPr>
        <w:t>URTMG </w:t>
      </w:r>
      <w:r w:rsidRPr="000F1BF0">
        <w:rPr>
          <w:b w:val="0"/>
          <w:i/>
          <w:vertAlign w:val="subscript"/>
        </w:rPr>
        <w:t>mp</w:t>
      </w:r>
      <w:r w:rsidRPr="000F1BF0">
        <w:rPr>
          <w:rFonts w:eastAsia="Calibri"/>
          <w:b w:val="0"/>
        </w:rPr>
        <w:t xml:space="preserve"> = </w:t>
      </w:r>
      <w:r w:rsidRPr="000F1BF0">
        <w:rPr>
          <w:b w:val="0"/>
        </w:rPr>
        <w:t>∑</w:t>
      </w:r>
      <w:r w:rsidRPr="000F1BF0">
        <w:rPr>
          <w:b w:val="0"/>
          <w:i/>
          <w:vertAlign w:val="subscript"/>
        </w:rPr>
        <w:t>p, r, i</w:t>
      </w:r>
      <w:r w:rsidRPr="000F1BF0">
        <w:rPr>
          <w:b w:val="0"/>
        </w:rPr>
        <w:t xml:space="preserve"> (RTMG </w:t>
      </w:r>
      <w:r w:rsidRPr="000F1BF0">
        <w:rPr>
          <w:b w:val="0"/>
          <w:i/>
          <w:vertAlign w:val="subscript"/>
        </w:rPr>
        <w:t>mp, p, r, i</w:t>
      </w:r>
      <w:r w:rsidRPr="000F1BF0">
        <w:rPr>
          <w:b w:val="0"/>
        </w:rPr>
        <w:t xml:space="preserve">), excluding RTMG for RMR Resources and RTMG in </w:t>
      </w:r>
      <w:r>
        <w:rPr>
          <w:b w:val="0"/>
        </w:rPr>
        <w:t>Reliability Unit Commitment (</w:t>
      </w:r>
      <w:r w:rsidRPr="000F1BF0">
        <w:rPr>
          <w:b w:val="0"/>
        </w:rPr>
        <w:t>RUC</w:t>
      </w:r>
      <w:r>
        <w:rPr>
          <w:b w:val="0"/>
        </w:rPr>
        <w:t>)</w:t>
      </w:r>
      <w:r w:rsidRPr="000F1BF0">
        <w:rPr>
          <w:b w:val="0"/>
        </w:rPr>
        <w:t>-Committed Intervals for RUC-committed Resources</w:t>
      </w:r>
    </w:p>
    <w:p w:rsidR="00470790" w:rsidRDefault="00470790" w:rsidP="00470790">
      <w:pPr>
        <w:pStyle w:val="FormulaBold"/>
        <w:ind w:left="1440" w:firstLine="0"/>
        <w:rPr>
          <w:rFonts w:eastAsia="Calibri"/>
          <w:b w:val="0"/>
        </w:rPr>
      </w:pPr>
      <w:r w:rsidRPr="000F1BF0">
        <w:rPr>
          <w:b w:val="0"/>
        </w:rPr>
        <w:t>URTDCIMP </w:t>
      </w:r>
      <w:r w:rsidRPr="000F1BF0">
        <w:rPr>
          <w:b w:val="0"/>
          <w:i/>
          <w:vertAlign w:val="subscript"/>
        </w:rPr>
        <w:t>mp</w:t>
      </w:r>
      <w:r w:rsidRPr="000F1BF0">
        <w:rPr>
          <w:rFonts w:eastAsia="Calibri"/>
          <w:b w:val="0"/>
        </w:rPr>
        <w:t xml:space="preserve"> = </w:t>
      </w:r>
      <w:r w:rsidRPr="000F1BF0">
        <w:rPr>
          <w:b w:val="0"/>
        </w:rPr>
        <w:t>∑</w:t>
      </w:r>
      <w:r w:rsidRPr="000F1BF0">
        <w:rPr>
          <w:b w:val="0"/>
          <w:i/>
          <w:vertAlign w:val="subscript"/>
        </w:rPr>
        <w:t>p, r, i</w:t>
      </w:r>
      <w:r w:rsidRPr="000F1BF0">
        <w:rPr>
          <w:b w:val="0"/>
        </w:rPr>
        <w:t xml:space="preserve"> (RTDCIMP </w:t>
      </w:r>
      <w:r w:rsidRPr="000F1BF0">
        <w:rPr>
          <w:b w:val="0"/>
          <w:i/>
          <w:vertAlign w:val="subscript"/>
        </w:rPr>
        <w:t>mp, p, i</w:t>
      </w:r>
      <w:r w:rsidRPr="000F1BF0">
        <w:rPr>
          <w:b w:val="0"/>
        </w:rPr>
        <w:t>) / 4</w:t>
      </w:r>
    </w:p>
    <w:p w:rsidR="00470790" w:rsidRDefault="00470790" w:rsidP="00470790">
      <w:pPr>
        <w:pStyle w:val="FormulaBold"/>
        <w:ind w:left="1440" w:firstLine="0"/>
        <w:rPr>
          <w:b w:val="0"/>
        </w:rPr>
      </w:pPr>
      <w:r w:rsidRPr="000F1BF0">
        <w:rPr>
          <w:b w:val="0"/>
        </w:rPr>
        <w:t>URTAML </w:t>
      </w:r>
      <w:r w:rsidRPr="000F1BF0">
        <w:rPr>
          <w:b w:val="0"/>
          <w:i/>
          <w:vertAlign w:val="subscript"/>
        </w:rPr>
        <w:t>mp</w:t>
      </w:r>
      <w:r w:rsidRPr="000F1BF0">
        <w:rPr>
          <w:rFonts w:eastAsia="Calibri"/>
          <w:b w:val="0"/>
        </w:rPr>
        <w:t xml:space="preserve"> = </w:t>
      </w:r>
      <w:r w:rsidRPr="000F1BF0">
        <w:rPr>
          <w:b w:val="0"/>
        </w:rPr>
        <w:t>∑</w:t>
      </w:r>
      <w:r w:rsidRPr="000F1BF0">
        <w:rPr>
          <w:b w:val="0"/>
          <w:i/>
          <w:vertAlign w:val="subscript"/>
        </w:rPr>
        <w:t>p, i</w:t>
      </w:r>
      <w:r w:rsidRPr="000F1BF0">
        <w:rPr>
          <w:b w:val="0"/>
        </w:rPr>
        <w:t xml:space="preserve"> (RTAML </w:t>
      </w:r>
      <w:r w:rsidRPr="000F1BF0">
        <w:rPr>
          <w:b w:val="0"/>
          <w:i/>
          <w:vertAlign w:val="subscript"/>
        </w:rPr>
        <w:t>mp, p, i</w:t>
      </w:r>
      <w:r w:rsidRPr="000F1BF0">
        <w:rPr>
          <w:b w:val="0"/>
        </w:rPr>
        <w:t>)</w:t>
      </w:r>
    </w:p>
    <w:p w:rsidR="00470790" w:rsidRDefault="00470790" w:rsidP="00470790">
      <w:pPr>
        <w:pStyle w:val="FormulaBold"/>
        <w:ind w:left="1440" w:firstLine="0"/>
        <w:rPr>
          <w:b w:val="0"/>
        </w:rPr>
      </w:pPr>
      <w:r w:rsidRPr="000F1BF0">
        <w:rPr>
          <w:b w:val="0"/>
        </w:rPr>
        <w:t>URTQQES </w:t>
      </w:r>
      <w:r w:rsidRPr="000F1BF0">
        <w:rPr>
          <w:b w:val="0"/>
          <w:i/>
          <w:vertAlign w:val="subscript"/>
        </w:rPr>
        <w:t>mp</w:t>
      </w:r>
      <w:r w:rsidRPr="000F1BF0">
        <w:rPr>
          <w:rFonts w:eastAsia="Calibri"/>
          <w:b w:val="0"/>
        </w:rPr>
        <w:t xml:space="preserve"> = </w:t>
      </w:r>
      <w:r w:rsidRPr="000F1BF0">
        <w:rPr>
          <w:b w:val="0"/>
        </w:rPr>
        <w:t>∑</w:t>
      </w:r>
      <w:r w:rsidRPr="000F1BF0">
        <w:rPr>
          <w:b w:val="0"/>
          <w:i/>
          <w:vertAlign w:val="subscript"/>
        </w:rPr>
        <w:t>p, i</w:t>
      </w:r>
      <w:r w:rsidRPr="000F1BF0">
        <w:rPr>
          <w:b w:val="0"/>
        </w:rPr>
        <w:t xml:space="preserve"> (</w:t>
      </w:r>
      <w:r w:rsidRPr="000F1BF0">
        <w:rPr>
          <w:rFonts w:eastAsia="Calibri"/>
          <w:b w:val="0"/>
        </w:rPr>
        <w:t>RTQQES </w:t>
      </w:r>
      <w:r w:rsidRPr="000F1BF0">
        <w:rPr>
          <w:b w:val="0"/>
          <w:i/>
          <w:vertAlign w:val="subscript"/>
        </w:rPr>
        <w:t>mp, p, i</w:t>
      </w:r>
      <w:r w:rsidRPr="000F1BF0">
        <w:rPr>
          <w:b w:val="0"/>
        </w:rPr>
        <w:t>)</w:t>
      </w:r>
    </w:p>
    <w:p w:rsidR="00470790" w:rsidRDefault="00470790" w:rsidP="00470790">
      <w:pPr>
        <w:pStyle w:val="FormulaBold"/>
        <w:ind w:left="1440" w:firstLine="0"/>
        <w:rPr>
          <w:b w:val="0"/>
        </w:rPr>
      </w:pPr>
      <w:r w:rsidRPr="000F1BF0">
        <w:rPr>
          <w:b w:val="0"/>
        </w:rPr>
        <w:t>URTQQEP </w:t>
      </w:r>
      <w:r w:rsidRPr="000F1BF0">
        <w:rPr>
          <w:b w:val="0"/>
          <w:i/>
          <w:vertAlign w:val="subscript"/>
        </w:rPr>
        <w:t>mp</w:t>
      </w:r>
      <w:r w:rsidRPr="000F1BF0">
        <w:rPr>
          <w:rFonts w:eastAsia="Calibri"/>
          <w:b w:val="0"/>
        </w:rPr>
        <w:t xml:space="preserve"> = </w:t>
      </w:r>
      <w:r w:rsidRPr="000F1BF0">
        <w:rPr>
          <w:b w:val="0"/>
        </w:rPr>
        <w:t>∑</w:t>
      </w:r>
      <w:r w:rsidRPr="000F1BF0">
        <w:rPr>
          <w:b w:val="0"/>
          <w:i/>
          <w:vertAlign w:val="subscript"/>
        </w:rPr>
        <w:t>p, i</w:t>
      </w:r>
      <w:r w:rsidRPr="000F1BF0">
        <w:rPr>
          <w:b w:val="0"/>
        </w:rPr>
        <w:t xml:space="preserve"> (</w:t>
      </w:r>
      <w:r w:rsidRPr="000F1BF0">
        <w:rPr>
          <w:rFonts w:eastAsia="Calibri"/>
          <w:b w:val="0"/>
        </w:rPr>
        <w:t>RTQQEP </w:t>
      </w:r>
      <w:r w:rsidRPr="000F1BF0">
        <w:rPr>
          <w:b w:val="0"/>
          <w:i/>
          <w:vertAlign w:val="subscript"/>
        </w:rPr>
        <w:t>mp, p, i</w:t>
      </w:r>
      <w:r w:rsidRPr="000F1BF0">
        <w:rPr>
          <w:b w:val="0"/>
        </w:rPr>
        <w:t>)</w:t>
      </w:r>
    </w:p>
    <w:p w:rsidR="00470790" w:rsidRDefault="00470790" w:rsidP="00470790">
      <w:pPr>
        <w:pStyle w:val="FormulaBold"/>
        <w:ind w:left="1440" w:firstLine="0"/>
        <w:rPr>
          <w:b w:val="0"/>
        </w:rPr>
      </w:pPr>
      <w:r w:rsidRPr="000F1BF0">
        <w:rPr>
          <w:b w:val="0"/>
        </w:rPr>
        <w:t>UDAES </w:t>
      </w:r>
      <w:r w:rsidRPr="000F1BF0">
        <w:rPr>
          <w:b w:val="0"/>
          <w:i/>
          <w:vertAlign w:val="subscript"/>
        </w:rPr>
        <w:t>mp</w:t>
      </w:r>
      <w:r w:rsidRPr="000F1BF0">
        <w:rPr>
          <w:rFonts w:eastAsia="Calibri"/>
          <w:b w:val="0"/>
        </w:rPr>
        <w:t xml:space="preserve"> = </w:t>
      </w:r>
      <w:r w:rsidRPr="000F1BF0">
        <w:rPr>
          <w:b w:val="0"/>
        </w:rPr>
        <w:t>∑</w:t>
      </w:r>
      <w:r w:rsidRPr="000F1BF0">
        <w:rPr>
          <w:b w:val="0"/>
          <w:i/>
          <w:vertAlign w:val="subscript"/>
        </w:rPr>
        <w:t>p, h</w:t>
      </w:r>
      <w:r w:rsidRPr="000F1BF0">
        <w:rPr>
          <w:b w:val="0"/>
        </w:rPr>
        <w:t xml:space="preserve"> (</w:t>
      </w:r>
      <w:r w:rsidRPr="000F1BF0">
        <w:rPr>
          <w:rFonts w:eastAsia="Calibri"/>
          <w:b w:val="0"/>
        </w:rPr>
        <w:t>DAES </w:t>
      </w:r>
      <w:r w:rsidRPr="000F1BF0">
        <w:rPr>
          <w:b w:val="0"/>
          <w:i/>
          <w:vertAlign w:val="subscript"/>
        </w:rPr>
        <w:t>mp, p, h</w:t>
      </w:r>
      <w:r w:rsidRPr="000F1BF0">
        <w:rPr>
          <w:b w:val="0"/>
        </w:rPr>
        <w:t>)</w:t>
      </w:r>
    </w:p>
    <w:p w:rsidR="00470790" w:rsidRDefault="00470790" w:rsidP="00470790">
      <w:pPr>
        <w:pStyle w:val="FormulaBold"/>
        <w:ind w:left="1440" w:firstLine="0"/>
        <w:rPr>
          <w:b w:val="0"/>
        </w:rPr>
      </w:pPr>
      <w:r w:rsidRPr="000F1BF0">
        <w:rPr>
          <w:b w:val="0"/>
        </w:rPr>
        <w:t>UDAEP </w:t>
      </w:r>
      <w:r w:rsidRPr="000F1BF0">
        <w:rPr>
          <w:b w:val="0"/>
          <w:i/>
          <w:vertAlign w:val="subscript"/>
        </w:rPr>
        <w:t>mp</w:t>
      </w:r>
      <w:r w:rsidRPr="000F1BF0">
        <w:rPr>
          <w:rFonts w:eastAsia="Calibri"/>
          <w:b w:val="0"/>
        </w:rPr>
        <w:t xml:space="preserve"> = </w:t>
      </w:r>
      <w:r w:rsidRPr="000F1BF0">
        <w:rPr>
          <w:b w:val="0"/>
        </w:rPr>
        <w:t>∑</w:t>
      </w:r>
      <w:r w:rsidRPr="000F1BF0">
        <w:rPr>
          <w:b w:val="0"/>
          <w:i/>
          <w:vertAlign w:val="subscript"/>
        </w:rPr>
        <w:t>p, h</w:t>
      </w:r>
      <w:r w:rsidRPr="000F1BF0">
        <w:rPr>
          <w:b w:val="0"/>
        </w:rPr>
        <w:t xml:space="preserve"> (</w:t>
      </w:r>
      <w:r w:rsidRPr="000F1BF0">
        <w:rPr>
          <w:rFonts w:eastAsia="Calibri"/>
          <w:b w:val="0"/>
        </w:rPr>
        <w:t>DAEP </w:t>
      </w:r>
      <w:r w:rsidRPr="000F1BF0">
        <w:rPr>
          <w:b w:val="0"/>
          <w:i/>
          <w:vertAlign w:val="subscript"/>
        </w:rPr>
        <w:t>mp, p, h</w:t>
      </w:r>
      <w:r w:rsidRPr="000F1BF0">
        <w:rPr>
          <w:b w:val="0"/>
        </w:rPr>
        <w:t>)</w:t>
      </w:r>
    </w:p>
    <w:p w:rsidR="00470790" w:rsidRDefault="00470790" w:rsidP="00470790">
      <w:pPr>
        <w:pStyle w:val="FormulaBold"/>
        <w:ind w:left="1440" w:firstLine="0"/>
        <w:rPr>
          <w:b w:val="0"/>
        </w:rPr>
      </w:pPr>
      <w:r w:rsidRPr="000F1BF0">
        <w:rPr>
          <w:b w:val="0"/>
        </w:rPr>
        <w:t>URTOBL </w:t>
      </w:r>
      <w:r w:rsidRPr="000F1BF0">
        <w:rPr>
          <w:b w:val="0"/>
          <w:i/>
          <w:vertAlign w:val="subscript"/>
        </w:rPr>
        <w:t>mp</w:t>
      </w:r>
      <w:r w:rsidRPr="000F1BF0">
        <w:rPr>
          <w:rFonts w:eastAsia="Calibri"/>
          <w:b w:val="0"/>
        </w:rPr>
        <w:t xml:space="preserve"> = </w:t>
      </w:r>
      <w:r w:rsidRPr="000F1BF0">
        <w:rPr>
          <w:b w:val="0"/>
        </w:rPr>
        <w:t>∑</w:t>
      </w:r>
      <w:r w:rsidRPr="000F1BF0">
        <w:rPr>
          <w:b w:val="0"/>
          <w:i/>
          <w:vertAlign w:val="subscript"/>
        </w:rPr>
        <w:t>(j, k), h</w:t>
      </w:r>
      <w:r w:rsidRPr="000F1BF0">
        <w:rPr>
          <w:b w:val="0"/>
        </w:rPr>
        <w:t xml:space="preserve"> (</w:t>
      </w:r>
      <w:r w:rsidRPr="000F1BF0">
        <w:rPr>
          <w:rFonts w:eastAsia="Calibri"/>
          <w:b w:val="0"/>
        </w:rPr>
        <w:t>RTOBL</w:t>
      </w:r>
      <w:r w:rsidRPr="000F1BF0">
        <w:rPr>
          <w:b w:val="0"/>
          <w:vertAlign w:val="subscript"/>
        </w:rPr>
        <w:t xml:space="preserve"> </w:t>
      </w:r>
      <w:r w:rsidRPr="000F1BF0">
        <w:rPr>
          <w:b w:val="0"/>
          <w:i/>
          <w:vertAlign w:val="subscript"/>
        </w:rPr>
        <w:t>mp, (</w:t>
      </w:r>
      <w:r w:rsidRPr="000F1BF0">
        <w:rPr>
          <w:rFonts w:eastAsia="Calibri"/>
          <w:b w:val="0"/>
          <w:i/>
          <w:vertAlign w:val="subscript"/>
        </w:rPr>
        <w:t>j, k), h</w:t>
      </w:r>
      <w:r w:rsidRPr="000F1BF0">
        <w:rPr>
          <w:b w:val="0"/>
        </w:rPr>
        <w:t>)</w:t>
      </w:r>
    </w:p>
    <w:p w:rsidR="00470790" w:rsidRDefault="00470790" w:rsidP="00470790">
      <w:pPr>
        <w:pStyle w:val="FormulaBold"/>
        <w:ind w:left="1440" w:firstLine="0"/>
        <w:rPr>
          <w:b w:val="0"/>
        </w:rPr>
      </w:pPr>
      <w:r w:rsidRPr="000F1BF0">
        <w:rPr>
          <w:b w:val="0"/>
        </w:rPr>
        <w:t>UDAOPT </w:t>
      </w:r>
      <w:r w:rsidRPr="000F1BF0">
        <w:rPr>
          <w:b w:val="0"/>
          <w:i/>
          <w:vertAlign w:val="subscript"/>
        </w:rPr>
        <w:t>mp</w:t>
      </w:r>
      <w:r w:rsidRPr="000F1BF0">
        <w:rPr>
          <w:rFonts w:eastAsia="Calibri"/>
          <w:b w:val="0"/>
        </w:rPr>
        <w:t xml:space="preserve"> = </w:t>
      </w:r>
      <w:r w:rsidRPr="000F1BF0">
        <w:rPr>
          <w:b w:val="0"/>
        </w:rPr>
        <w:t>∑</w:t>
      </w:r>
      <w:r w:rsidRPr="000F1BF0">
        <w:rPr>
          <w:b w:val="0"/>
          <w:i/>
          <w:vertAlign w:val="subscript"/>
        </w:rPr>
        <w:t>(j, k), h</w:t>
      </w:r>
      <w:r w:rsidRPr="000F1BF0">
        <w:rPr>
          <w:b w:val="0"/>
        </w:rPr>
        <w:t xml:space="preserve"> (</w:t>
      </w:r>
      <w:r w:rsidRPr="000F1BF0">
        <w:rPr>
          <w:rFonts w:eastAsia="Calibri"/>
          <w:b w:val="0"/>
        </w:rPr>
        <w:t>DAOPT</w:t>
      </w:r>
      <w:r w:rsidRPr="000F1BF0">
        <w:rPr>
          <w:b w:val="0"/>
          <w:vertAlign w:val="subscript"/>
        </w:rPr>
        <w:t xml:space="preserve"> </w:t>
      </w:r>
      <w:r w:rsidRPr="000F1BF0">
        <w:rPr>
          <w:b w:val="0"/>
          <w:i/>
          <w:vertAlign w:val="subscript"/>
        </w:rPr>
        <w:t>mp, (</w:t>
      </w:r>
      <w:r w:rsidRPr="000F1BF0">
        <w:rPr>
          <w:rFonts w:eastAsia="Calibri"/>
          <w:b w:val="0"/>
          <w:i/>
          <w:vertAlign w:val="subscript"/>
        </w:rPr>
        <w:t>j, k), h</w:t>
      </w:r>
      <w:r w:rsidRPr="000F1BF0">
        <w:rPr>
          <w:b w:val="0"/>
        </w:rPr>
        <w:t>)</w:t>
      </w:r>
    </w:p>
    <w:p w:rsidR="00470790" w:rsidRDefault="00470790" w:rsidP="00470790">
      <w:pPr>
        <w:pStyle w:val="FormulaBold"/>
        <w:ind w:left="1440" w:firstLine="0"/>
        <w:rPr>
          <w:b w:val="0"/>
        </w:rPr>
      </w:pPr>
      <w:r w:rsidRPr="000F1BF0">
        <w:rPr>
          <w:b w:val="0"/>
        </w:rPr>
        <w:t>UDAOBL </w:t>
      </w:r>
      <w:r w:rsidRPr="000F1BF0">
        <w:rPr>
          <w:b w:val="0"/>
          <w:i/>
          <w:vertAlign w:val="subscript"/>
        </w:rPr>
        <w:t>mp</w:t>
      </w:r>
      <w:r w:rsidRPr="000F1BF0">
        <w:rPr>
          <w:rFonts w:eastAsia="Calibri"/>
          <w:b w:val="0"/>
        </w:rPr>
        <w:t xml:space="preserve"> = </w:t>
      </w:r>
      <w:r w:rsidRPr="000F1BF0">
        <w:rPr>
          <w:b w:val="0"/>
        </w:rPr>
        <w:t>∑</w:t>
      </w:r>
      <w:r w:rsidRPr="000F1BF0">
        <w:rPr>
          <w:b w:val="0"/>
          <w:i/>
          <w:vertAlign w:val="subscript"/>
        </w:rPr>
        <w:t>(j, k), h</w:t>
      </w:r>
      <w:r w:rsidRPr="000F1BF0">
        <w:rPr>
          <w:b w:val="0"/>
        </w:rPr>
        <w:t xml:space="preserve"> (</w:t>
      </w:r>
      <w:r w:rsidRPr="000F1BF0">
        <w:rPr>
          <w:rFonts w:eastAsia="Calibri"/>
          <w:b w:val="0"/>
        </w:rPr>
        <w:t>DAOBL</w:t>
      </w:r>
      <w:r w:rsidRPr="000F1BF0">
        <w:rPr>
          <w:b w:val="0"/>
          <w:vertAlign w:val="subscript"/>
        </w:rPr>
        <w:t xml:space="preserve"> </w:t>
      </w:r>
      <w:r w:rsidRPr="000F1BF0">
        <w:rPr>
          <w:b w:val="0"/>
          <w:i/>
          <w:vertAlign w:val="subscript"/>
        </w:rPr>
        <w:t>mp, (</w:t>
      </w:r>
      <w:r w:rsidRPr="000F1BF0">
        <w:rPr>
          <w:rFonts w:eastAsia="Calibri"/>
          <w:b w:val="0"/>
          <w:i/>
          <w:vertAlign w:val="subscript"/>
        </w:rPr>
        <w:t>j, k), h</w:t>
      </w:r>
      <w:r w:rsidRPr="000F1BF0">
        <w:rPr>
          <w:b w:val="0"/>
        </w:rPr>
        <w:t>)</w:t>
      </w:r>
    </w:p>
    <w:p w:rsidR="00470790" w:rsidRDefault="00470790" w:rsidP="00470790">
      <w:pPr>
        <w:pStyle w:val="FormulaBold"/>
        <w:ind w:left="1440" w:firstLine="0"/>
        <w:rPr>
          <w:b w:val="0"/>
        </w:rPr>
      </w:pPr>
      <w:r w:rsidRPr="000F1BF0">
        <w:rPr>
          <w:b w:val="0"/>
        </w:rPr>
        <w:t>UOPTS </w:t>
      </w:r>
      <w:r w:rsidRPr="000F1BF0">
        <w:rPr>
          <w:b w:val="0"/>
          <w:i/>
          <w:vertAlign w:val="subscript"/>
        </w:rPr>
        <w:t>mp</w:t>
      </w:r>
      <w:r w:rsidRPr="000F1BF0">
        <w:rPr>
          <w:rFonts w:eastAsia="Calibri"/>
          <w:b w:val="0"/>
        </w:rPr>
        <w:t xml:space="preserve"> = </w:t>
      </w:r>
      <w:r w:rsidRPr="000F1BF0">
        <w:rPr>
          <w:b w:val="0"/>
        </w:rPr>
        <w:t>∑</w:t>
      </w:r>
      <w:r w:rsidRPr="000F1BF0">
        <w:rPr>
          <w:b w:val="0"/>
          <w:i/>
          <w:vertAlign w:val="subscript"/>
        </w:rPr>
        <w:t>(j, k), h</w:t>
      </w:r>
      <w:r w:rsidRPr="000F1BF0">
        <w:rPr>
          <w:b w:val="0"/>
        </w:rPr>
        <w:t xml:space="preserve"> (</w:t>
      </w:r>
      <w:r w:rsidRPr="000F1BF0">
        <w:rPr>
          <w:rFonts w:eastAsia="Calibri"/>
          <w:b w:val="0"/>
        </w:rPr>
        <w:t>OPTS</w:t>
      </w:r>
      <w:r w:rsidRPr="000F1BF0">
        <w:rPr>
          <w:b w:val="0"/>
          <w:vertAlign w:val="subscript"/>
        </w:rPr>
        <w:t xml:space="preserve"> </w:t>
      </w:r>
      <w:r w:rsidRPr="000F1BF0">
        <w:rPr>
          <w:b w:val="0"/>
          <w:i/>
          <w:vertAlign w:val="subscript"/>
        </w:rPr>
        <w:t>mp, (</w:t>
      </w:r>
      <w:r w:rsidRPr="000F1BF0">
        <w:rPr>
          <w:rFonts w:eastAsia="Calibri"/>
          <w:b w:val="0"/>
          <w:i/>
          <w:vertAlign w:val="subscript"/>
        </w:rPr>
        <w:t>j, k), h</w:t>
      </w:r>
      <w:r w:rsidRPr="000F1BF0">
        <w:rPr>
          <w:b w:val="0"/>
        </w:rPr>
        <w:t xml:space="preserve">) </w:t>
      </w:r>
    </w:p>
    <w:p w:rsidR="00470790" w:rsidRDefault="00470790" w:rsidP="00470790">
      <w:pPr>
        <w:pStyle w:val="FormulaBold"/>
        <w:ind w:left="1440" w:firstLine="0"/>
        <w:rPr>
          <w:b w:val="0"/>
        </w:rPr>
      </w:pPr>
      <w:r w:rsidRPr="000F1BF0">
        <w:rPr>
          <w:b w:val="0"/>
        </w:rPr>
        <w:t>UOBLS </w:t>
      </w:r>
      <w:r w:rsidRPr="000F1BF0">
        <w:rPr>
          <w:b w:val="0"/>
          <w:i/>
          <w:vertAlign w:val="subscript"/>
        </w:rPr>
        <w:t>mp</w:t>
      </w:r>
      <w:r w:rsidRPr="000F1BF0">
        <w:rPr>
          <w:rFonts w:eastAsia="Calibri"/>
          <w:b w:val="0"/>
        </w:rPr>
        <w:t xml:space="preserve"> = </w:t>
      </w:r>
      <w:r w:rsidRPr="000F1BF0">
        <w:rPr>
          <w:b w:val="0"/>
        </w:rPr>
        <w:t>∑</w:t>
      </w:r>
      <w:r w:rsidRPr="000F1BF0">
        <w:rPr>
          <w:b w:val="0"/>
          <w:i/>
          <w:vertAlign w:val="subscript"/>
        </w:rPr>
        <w:t>(j, k), h</w:t>
      </w:r>
      <w:r w:rsidRPr="000F1BF0">
        <w:rPr>
          <w:b w:val="0"/>
          <w:i/>
        </w:rPr>
        <w:t xml:space="preserve"> </w:t>
      </w:r>
      <w:r w:rsidRPr="000F1BF0">
        <w:rPr>
          <w:b w:val="0"/>
        </w:rPr>
        <w:t>(</w:t>
      </w:r>
      <w:r w:rsidRPr="000F1BF0">
        <w:rPr>
          <w:rFonts w:eastAsia="Calibri"/>
          <w:b w:val="0"/>
        </w:rPr>
        <w:t>OBLS</w:t>
      </w:r>
      <w:r w:rsidRPr="000F1BF0">
        <w:rPr>
          <w:b w:val="0"/>
          <w:vertAlign w:val="subscript"/>
        </w:rPr>
        <w:t xml:space="preserve"> </w:t>
      </w:r>
      <w:r w:rsidRPr="000F1BF0">
        <w:rPr>
          <w:b w:val="0"/>
          <w:i/>
          <w:vertAlign w:val="subscript"/>
        </w:rPr>
        <w:t>mp, (</w:t>
      </w:r>
      <w:r w:rsidRPr="000F1BF0">
        <w:rPr>
          <w:rFonts w:eastAsia="Calibri"/>
          <w:b w:val="0"/>
          <w:i/>
          <w:vertAlign w:val="subscript"/>
        </w:rPr>
        <w:t>j, k), h</w:t>
      </w:r>
      <w:r w:rsidRPr="000F1BF0">
        <w:rPr>
          <w:b w:val="0"/>
        </w:rPr>
        <w:t>)</w:t>
      </w:r>
    </w:p>
    <w:p w:rsidR="00470790" w:rsidRDefault="00470790" w:rsidP="00470790">
      <w:pPr>
        <w:pStyle w:val="FormulaBold"/>
        <w:ind w:left="1440" w:firstLine="0"/>
      </w:pPr>
      <w:r w:rsidRPr="000F1BF0">
        <w:rPr>
          <w:b w:val="0"/>
        </w:rPr>
        <w:t>UOPTP </w:t>
      </w:r>
      <w:r w:rsidRPr="000F1BF0">
        <w:rPr>
          <w:b w:val="0"/>
          <w:i/>
          <w:vertAlign w:val="subscript"/>
        </w:rPr>
        <w:t>mp</w:t>
      </w:r>
      <w:r w:rsidRPr="000F1BF0">
        <w:rPr>
          <w:rFonts w:eastAsia="Calibri"/>
          <w:b w:val="0"/>
        </w:rPr>
        <w:t xml:space="preserve"> = </w:t>
      </w:r>
      <w:r w:rsidRPr="000F1BF0">
        <w:rPr>
          <w:b w:val="0"/>
        </w:rPr>
        <w:t>∑</w:t>
      </w:r>
      <w:r w:rsidRPr="000F1BF0">
        <w:rPr>
          <w:b w:val="0"/>
          <w:i/>
          <w:vertAlign w:val="subscript"/>
        </w:rPr>
        <w:t>(j, k), h</w:t>
      </w:r>
      <w:r w:rsidRPr="000F1BF0">
        <w:rPr>
          <w:b w:val="0"/>
        </w:rPr>
        <w:t xml:space="preserve"> (</w:t>
      </w:r>
      <w:r w:rsidRPr="000F1BF0">
        <w:rPr>
          <w:rFonts w:eastAsia="Calibri"/>
          <w:b w:val="0"/>
        </w:rPr>
        <w:t>OPTP</w:t>
      </w:r>
      <w:r w:rsidRPr="000F1BF0">
        <w:rPr>
          <w:b w:val="0"/>
          <w:vertAlign w:val="subscript"/>
        </w:rPr>
        <w:t xml:space="preserve"> </w:t>
      </w:r>
      <w:r w:rsidRPr="000F1BF0">
        <w:rPr>
          <w:b w:val="0"/>
          <w:i/>
          <w:vertAlign w:val="subscript"/>
        </w:rPr>
        <w:t xml:space="preserve">mp, </w:t>
      </w:r>
      <w:r w:rsidRPr="000F1BF0">
        <w:rPr>
          <w:rFonts w:eastAsia="Calibri"/>
          <w:b w:val="0"/>
          <w:i/>
          <w:vertAlign w:val="subscript"/>
        </w:rPr>
        <w:t>j, h</w:t>
      </w:r>
      <w:r w:rsidRPr="000F1BF0">
        <w:rPr>
          <w:b w:val="0"/>
        </w:rPr>
        <w:t>)</w:t>
      </w:r>
    </w:p>
    <w:p w:rsidR="00470790" w:rsidRDefault="00470790" w:rsidP="00470790">
      <w:pPr>
        <w:pStyle w:val="BodyText"/>
        <w:ind w:left="1440"/>
      </w:pPr>
      <w:r w:rsidRPr="00E30B8D">
        <w:t>UOBLP</w:t>
      </w:r>
      <w:r>
        <w:t> </w:t>
      </w:r>
      <w:r w:rsidRPr="00D011C5">
        <w:rPr>
          <w:i/>
          <w:vertAlign w:val="subscript"/>
        </w:rPr>
        <w:t>mp</w:t>
      </w:r>
      <w:r>
        <w:rPr>
          <w:rFonts w:eastAsia="Calibri"/>
        </w:rPr>
        <w:t xml:space="preserve"> = </w:t>
      </w:r>
      <w:r w:rsidRPr="00CE5650">
        <w:t>∑</w:t>
      </w:r>
      <w:r w:rsidRPr="00D011C5">
        <w:rPr>
          <w:i/>
          <w:vertAlign w:val="subscript"/>
        </w:rPr>
        <w:t>(j, k), h</w:t>
      </w:r>
      <w:r w:rsidRPr="00CE5650">
        <w:t xml:space="preserve"> (</w:t>
      </w:r>
      <w:r>
        <w:rPr>
          <w:rFonts w:eastAsia="Calibri"/>
        </w:rPr>
        <w:t>OBLP</w:t>
      </w:r>
      <w:r w:rsidRPr="00D915E9">
        <w:rPr>
          <w:vertAlign w:val="subscript"/>
        </w:rPr>
        <w:t xml:space="preserve"> </w:t>
      </w:r>
      <w:r w:rsidRPr="00D011C5">
        <w:rPr>
          <w:i/>
          <w:vertAlign w:val="subscript"/>
        </w:rPr>
        <w:t>mp, (</w:t>
      </w:r>
      <w:r w:rsidRPr="00D011C5">
        <w:rPr>
          <w:rFonts w:eastAsia="Calibri"/>
          <w:i/>
          <w:vertAlign w:val="subscript"/>
        </w:rPr>
        <w:t>j, k), h</w:t>
      </w:r>
      <w:r w:rsidRPr="00CE5650">
        <w:t>)</w:t>
      </w:r>
    </w:p>
    <w:p w:rsidR="00470790" w:rsidRPr="00E30B8D" w:rsidRDefault="00470790" w:rsidP="00470790">
      <w:pPr>
        <w:pStyle w:val="BodyText"/>
        <w:spacing w:after="0"/>
        <w:rPr>
          <w:rFonts w:eastAsia="Calibri"/>
        </w:rPr>
      </w:pPr>
      <w:r w:rsidRPr="00E30B8D">
        <w:rPr>
          <w:rFonts w:eastAsia="Calibri"/>
        </w:rP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1965"/>
        <w:gridCol w:w="780"/>
        <w:gridCol w:w="6833"/>
      </w:tblGrid>
      <w:tr w:rsidR="00470790" w:rsidTr="002560C8">
        <w:trPr>
          <w:cantSplit/>
          <w:tblHeader/>
        </w:trPr>
        <w:tc>
          <w:tcPr>
            <w:tcW w:w="1026" w:type="pct"/>
          </w:tcPr>
          <w:p w:rsidR="00470790" w:rsidRDefault="00470790" w:rsidP="002560C8">
            <w:pPr>
              <w:pStyle w:val="TableHead"/>
            </w:pPr>
            <w:r>
              <w:t>Variable</w:t>
            </w:r>
          </w:p>
        </w:tc>
        <w:tc>
          <w:tcPr>
            <w:tcW w:w="407" w:type="pct"/>
          </w:tcPr>
          <w:p w:rsidR="00470790" w:rsidRDefault="00470790" w:rsidP="002560C8">
            <w:pPr>
              <w:pStyle w:val="TableHead"/>
            </w:pPr>
            <w:r>
              <w:t>Unit</w:t>
            </w:r>
          </w:p>
        </w:tc>
        <w:tc>
          <w:tcPr>
            <w:tcW w:w="3567" w:type="pct"/>
          </w:tcPr>
          <w:p w:rsidR="00470790" w:rsidRDefault="00470790" w:rsidP="002560C8">
            <w:pPr>
              <w:pStyle w:val="TableHead"/>
            </w:pPr>
            <w:r>
              <w:t>Definition</w:t>
            </w:r>
          </w:p>
        </w:tc>
      </w:tr>
      <w:tr w:rsidR="00470790" w:rsidTr="002560C8">
        <w:trPr>
          <w:cantSplit/>
        </w:trPr>
        <w:tc>
          <w:tcPr>
            <w:tcW w:w="1026" w:type="pct"/>
          </w:tcPr>
          <w:p w:rsidR="00470790" w:rsidRDefault="00470790" w:rsidP="002560C8">
            <w:pPr>
              <w:pStyle w:val="TableBody"/>
            </w:pPr>
            <w:r w:rsidRPr="00CE5650">
              <w:rPr>
                <w:color w:val="000000"/>
                <w:kern w:val="24"/>
              </w:rPr>
              <w:t>RTMG</w:t>
            </w:r>
            <w:r>
              <w:rPr>
                <w:color w:val="000000"/>
                <w:kern w:val="24"/>
              </w:rPr>
              <w:t xml:space="preserve"> </w:t>
            </w:r>
            <w:r w:rsidRPr="00D915E9">
              <w:rPr>
                <w:color w:val="000000"/>
                <w:kern w:val="24"/>
                <w:vertAlign w:val="subscript"/>
              </w:rPr>
              <w:t>mp, p</w:t>
            </w:r>
            <w:r>
              <w:rPr>
                <w:color w:val="000000"/>
                <w:kern w:val="24"/>
                <w:vertAlign w:val="subscript"/>
              </w:rPr>
              <w:t>, r, i</w:t>
            </w:r>
          </w:p>
        </w:tc>
        <w:tc>
          <w:tcPr>
            <w:tcW w:w="407" w:type="pct"/>
          </w:tcPr>
          <w:p w:rsidR="00470790" w:rsidRDefault="00470790" w:rsidP="002560C8">
            <w:pPr>
              <w:pStyle w:val="TableBody"/>
            </w:pPr>
            <w:r>
              <w:t>MWh</w:t>
            </w:r>
          </w:p>
        </w:tc>
        <w:tc>
          <w:tcPr>
            <w:tcW w:w="3567" w:type="pct"/>
          </w:tcPr>
          <w:p w:rsidR="00470790" w:rsidRDefault="00470790" w:rsidP="002560C8">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470790" w:rsidTr="002560C8">
        <w:trPr>
          <w:cantSplit/>
        </w:trPr>
        <w:tc>
          <w:tcPr>
            <w:tcW w:w="1026" w:type="pct"/>
          </w:tcPr>
          <w:p w:rsidR="00470790" w:rsidRDefault="00470790" w:rsidP="002560C8">
            <w:pPr>
              <w:pStyle w:val="TableBody"/>
            </w:pPr>
            <w:r>
              <w:rPr>
                <w:rFonts w:eastAsia="Calibri"/>
              </w:rPr>
              <w:t xml:space="preserve">URTMG </w:t>
            </w:r>
            <w:r>
              <w:rPr>
                <w:rFonts w:eastAsia="Calibri"/>
                <w:vertAlign w:val="subscript"/>
              </w:rPr>
              <w:t>mp</w:t>
            </w:r>
          </w:p>
        </w:tc>
        <w:tc>
          <w:tcPr>
            <w:tcW w:w="407" w:type="pct"/>
          </w:tcPr>
          <w:p w:rsidR="00470790" w:rsidRDefault="00470790" w:rsidP="002560C8">
            <w:pPr>
              <w:pStyle w:val="TableBody"/>
            </w:pPr>
            <w:r>
              <w:t>MWh</w:t>
            </w:r>
          </w:p>
        </w:tc>
        <w:tc>
          <w:tcPr>
            <w:tcW w:w="3567" w:type="pct"/>
          </w:tcPr>
          <w:p w:rsidR="00470790" w:rsidRDefault="00470790" w:rsidP="002560C8">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470790" w:rsidTr="002560C8">
        <w:trPr>
          <w:cantSplit/>
        </w:trPr>
        <w:tc>
          <w:tcPr>
            <w:tcW w:w="1026" w:type="pct"/>
          </w:tcPr>
          <w:p w:rsidR="00470790" w:rsidRPr="00CE5650" w:rsidRDefault="00470790" w:rsidP="002560C8">
            <w:pPr>
              <w:pStyle w:val="TableBody"/>
              <w:rPr>
                <w:color w:val="000000"/>
                <w:kern w:val="24"/>
              </w:rPr>
            </w:pPr>
            <w:r>
              <w:rPr>
                <w:color w:val="000000"/>
                <w:kern w:val="24"/>
              </w:rPr>
              <w:t xml:space="preserve">RTDCIMP </w:t>
            </w:r>
            <w:r w:rsidRPr="00D915E9">
              <w:rPr>
                <w:color w:val="000000"/>
                <w:kern w:val="24"/>
                <w:vertAlign w:val="subscript"/>
              </w:rPr>
              <w:t>mp, p</w:t>
            </w:r>
            <w:r>
              <w:rPr>
                <w:color w:val="000000"/>
                <w:kern w:val="24"/>
                <w:vertAlign w:val="subscript"/>
              </w:rPr>
              <w:t>, i</w:t>
            </w:r>
          </w:p>
        </w:tc>
        <w:tc>
          <w:tcPr>
            <w:tcW w:w="407" w:type="pct"/>
          </w:tcPr>
          <w:p w:rsidR="00470790" w:rsidRDefault="00470790" w:rsidP="002560C8">
            <w:pPr>
              <w:pStyle w:val="TableBody"/>
            </w:pPr>
            <w:r>
              <w:t>MW</w:t>
            </w:r>
          </w:p>
        </w:tc>
        <w:tc>
          <w:tcPr>
            <w:tcW w:w="3567" w:type="pct"/>
          </w:tcPr>
          <w:p w:rsidR="00470790" w:rsidRDefault="00470790" w:rsidP="002560C8">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470790" w:rsidTr="002560C8">
        <w:trPr>
          <w:cantSplit/>
        </w:trPr>
        <w:tc>
          <w:tcPr>
            <w:tcW w:w="1026" w:type="pct"/>
          </w:tcPr>
          <w:p w:rsidR="00470790" w:rsidRPr="00CE5650" w:rsidRDefault="00470790" w:rsidP="002560C8">
            <w:pPr>
              <w:pStyle w:val="TableBody"/>
              <w:rPr>
                <w:color w:val="000000"/>
                <w:kern w:val="24"/>
              </w:rPr>
            </w:pPr>
            <w:r>
              <w:rPr>
                <w:rFonts w:eastAsia="Calibri"/>
              </w:rPr>
              <w:t xml:space="preserve">URTDCIMP </w:t>
            </w:r>
            <w:r w:rsidRPr="00AA1FED">
              <w:rPr>
                <w:rFonts w:eastAsia="Calibri"/>
                <w:vertAlign w:val="subscript"/>
              </w:rPr>
              <w:t>mp</w:t>
            </w:r>
          </w:p>
        </w:tc>
        <w:tc>
          <w:tcPr>
            <w:tcW w:w="407" w:type="pct"/>
          </w:tcPr>
          <w:p w:rsidR="00470790" w:rsidRDefault="00470790" w:rsidP="002560C8">
            <w:pPr>
              <w:pStyle w:val="TableBody"/>
            </w:pPr>
            <w:r>
              <w:t>MW</w:t>
            </w:r>
          </w:p>
        </w:tc>
        <w:tc>
          <w:tcPr>
            <w:tcW w:w="3567" w:type="pct"/>
          </w:tcPr>
          <w:p w:rsidR="00470790" w:rsidRDefault="00470790" w:rsidP="002560C8">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470790" w:rsidTr="002560C8">
        <w:trPr>
          <w:cantSplit/>
        </w:trPr>
        <w:tc>
          <w:tcPr>
            <w:tcW w:w="1026" w:type="pct"/>
          </w:tcPr>
          <w:p w:rsidR="00470790" w:rsidRDefault="00470790" w:rsidP="002560C8">
            <w:pPr>
              <w:pStyle w:val="TableBody"/>
            </w:pPr>
            <w:r w:rsidRPr="00CE5650">
              <w:rPr>
                <w:color w:val="000000"/>
                <w:kern w:val="24"/>
              </w:rPr>
              <w:t>RT</w:t>
            </w:r>
            <w:r>
              <w:rPr>
                <w:color w:val="000000"/>
                <w:kern w:val="24"/>
              </w:rPr>
              <w:t xml:space="preserve">AML </w:t>
            </w:r>
            <w:r w:rsidRPr="00D915E9">
              <w:rPr>
                <w:color w:val="000000"/>
                <w:kern w:val="24"/>
                <w:vertAlign w:val="subscript"/>
              </w:rPr>
              <w:t>mp, p</w:t>
            </w:r>
            <w:r>
              <w:rPr>
                <w:color w:val="000000"/>
                <w:kern w:val="24"/>
                <w:vertAlign w:val="subscript"/>
              </w:rPr>
              <w:t>, i</w:t>
            </w:r>
          </w:p>
        </w:tc>
        <w:tc>
          <w:tcPr>
            <w:tcW w:w="407" w:type="pct"/>
          </w:tcPr>
          <w:p w:rsidR="00470790" w:rsidRDefault="00470790" w:rsidP="002560C8">
            <w:pPr>
              <w:pStyle w:val="TableBody"/>
            </w:pPr>
            <w:r>
              <w:t>MWh</w:t>
            </w:r>
          </w:p>
        </w:tc>
        <w:tc>
          <w:tcPr>
            <w:tcW w:w="3567" w:type="pct"/>
          </w:tcPr>
          <w:p w:rsidR="00470790" w:rsidRDefault="00470790" w:rsidP="002560C8">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470790" w:rsidTr="002560C8">
        <w:trPr>
          <w:cantSplit/>
        </w:trPr>
        <w:tc>
          <w:tcPr>
            <w:tcW w:w="1026" w:type="pct"/>
          </w:tcPr>
          <w:p w:rsidR="00470790" w:rsidRDefault="00470790" w:rsidP="002560C8">
            <w:pPr>
              <w:pStyle w:val="TableBody"/>
            </w:pPr>
            <w:r>
              <w:rPr>
                <w:rFonts w:eastAsia="Calibri"/>
              </w:rPr>
              <w:t xml:space="preserve">URTAML </w:t>
            </w:r>
            <w:r>
              <w:rPr>
                <w:rFonts w:eastAsia="Calibri"/>
                <w:vertAlign w:val="subscript"/>
              </w:rPr>
              <w:t>mp</w:t>
            </w:r>
          </w:p>
        </w:tc>
        <w:tc>
          <w:tcPr>
            <w:tcW w:w="407" w:type="pct"/>
          </w:tcPr>
          <w:p w:rsidR="00470790" w:rsidRDefault="00470790" w:rsidP="002560C8">
            <w:pPr>
              <w:pStyle w:val="TableBody"/>
            </w:pPr>
            <w:r>
              <w:t>MWh</w:t>
            </w:r>
          </w:p>
        </w:tc>
        <w:tc>
          <w:tcPr>
            <w:tcW w:w="3567" w:type="pct"/>
          </w:tcPr>
          <w:p w:rsidR="00470790" w:rsidRDefault="00470790" w:rsidP="002560C8">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470790" w:rsidTr="002560C8">
        <w:trPr>
          <w:cantSplit/>
        </w:trPr>
        <w:tc>
          <w:tcPr>
            <w:tcW w:w="1026" w:type="pct"/>
          </w:tcPr>
          <w:p w:rsidR="00470790" w:rsidRDefault="00470790" w:rsidP="002560C8">
            <w:pPr>
              <w:pStyle w:val="TableBody"/>
            </w:pPr>
            <w:r>
              <w:rPr>
                <w:rFonts w:eastAsia="Calibri"/>
              </w:rPr>
              <w:t xml:space="preserve">RTQQES </w:t>
            </w:r>
            <w:r w:rsidRPr="00D915E9">
              <w:rPr>
                <w:color w:val="000000"/>
                <w:kern w:val="24"/>
                <w:vertAlign w:val="subscript"/>
              </w:rPr>
              <w:t>mp, p</w:t>
            </w:r>
            <w:r>
              <w:rPr>
                <w:color w:val="000000"/>
                <w:kern w:val="24"/>
                <w:vertAlign w:val="subscript"/>
              </w:rPr>
              <w:t>, i</w:t>
            </w:r>
          </w:p>
        </w:tc>
        <w:tc>
          <w:tcPr>
            <w:tcW w:w="407" w:type="pct"/>
          </w:tcPr>
          <w:p w:rsidR="00470790" w:rsidRDefault="00470790" w:rsidP="002560C8">
            <w:pPr>
              <w:pStyle w:val="TableBody"/>
            </w:pPr>
            <w:r>
              <w:t>MW</w:t>
            </w:r>
          </w:p>
        </w:tc>
        <w:tc>
          <w:tcPr>
            <w:tcW w:w="3567" w:type="pct"/>
          </w:tcPr>
          <w:p w:rsidR="00470790" w:rsidRDefault="00470790" w:rsidP="002560C8">
            <w:pPr>
              <w:pStyle w:val="TableBody"/>
              <w:rPr>
                <w:i/>
              </w:rPr>
            </w:pPr>
            <w:r>
              <w:rPr>
                <w:i/>
              </w:rPr>
              <w:t xml:space="preserve">QSE-to-QSE Energy </w:t>
            </w:r>
            <w:smartTag w:uri="urn:schemas-microsoft-com:office:smarttags" w:element="place">
              <w:smartTag w:uri="urn:schemas-microsoft-com:office:smarttags" w:element="City">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470790" w:rsidTr="002560C8">
        <w:trPr>
          <w:cantSplit/>
        </w:trPr>
        <w:tc>
          <w:tcPr>
            <w:tcW w:w="1026" w:type="pct"/>
          </w:tcPr>
          <w:p w:rsidR="00470790" w:rsidRDefault="00470790" w:rsidP="002560C8">
            <w:pPr>
              <w:pStyle w:val="TableBody"/>
            </w:pPr>
            <w:r>
              <w:rPr>
                <w:rFonts w:eastAsia="Calibri"/>
              </w:rPr>
              <w:t xml:space="preserve">URTQQES </w:t>
            </w:r>
            <w:r>
              <w:rPr>
                <w:rFonts w:eastAsia="Calibri"/>
                <w:vertAlign w:val="subscript"/>
              </w:rPr>
              <w:t>mp</w:t>
            </w:r>
          </w:p>
        </w:tc>
        <w:tc>
          <w:tcPr>
            <w:tcW w:w="407" w:type="pct"/>
          </w:tcPr>
          <w:p w:rsidR="00470790" w:rsidRDefault="00470790" w:rsidP="002560C8">
            <w:pPr>
              <w:pStyle w:val="TableBody"/>
            </w:pPr>
            <w:r>
              <w:t>MWh</w:t>
            </w:r>
          </w:p>
        </w:tc>
        <w:tc>
          <w:tcPr>
            <w:tcW w:w="3567" w:type="pct"/>
          </w:tcPr>
          <w:p w:rsidR="00470790" w:rsidRDefault="00470790" w:rsidP="002560C8">
            <w:pPr>
              <w:pStyle w:val="TableBody"/>
              <w:rPr>
                <w:i/>
              </w:rPr>
            </w:pPr>
            <w:r>
              <w:rPr>
                <w:i/>
              </w:rPr>
              <w:t xml:space="preserve">Uplift QSE-to-QSE Energy </w:t>
            </w:r>
            <w:smartTag w:uri="urn:schemas-microsoft-com:office:smarttags" w:element="place">
              <w:smartTag w:uri="urn:schemas-microsoft-com:office:smarttags" w:element="City">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470790" w:rsidTr="002560C8">
        <w:trPr>
          <w:cantSplit/>
        </w:trPr>
        <w:tc>
          <w:tcPr>
            <w:tcW w:w="1026" w:type="pct"/>
          </w:tcPr>
          <w:p w:rsidR="00470790" w:rsidRDefault="00470790" w:rsidP="002560C8">
            <w:pPr>
              <w:pStyle w:val="TableBody"/>
            </w:pPr>
            <w:r>
              <w:rPr>
                <w:rFonts w:eastAsia="Calibri"/>
              </w:rPr>
              <w:t xml:space="preserve">RTQQEP </w:t>
            </w:r>
            <w:r w:rsidRPr="00D915E9">
              <w:rPr>
                <w:color w:val="000000"/>
                <w:kern w:val="24"/>
                <w:vertAlign w:val="subscript"/>
              </w:rPr>
              <w:t>mp, p</w:t>
            </w:r>
            <w:r>
              <w:rPr>
                <w:color w:val="000000"/>
                <w:kern w:val="24"/>
                <w:vertAlign w:val="subscript"/>
              </w:rPr>
              <w:t>, i</w:t>
            </w:r>
          </w:p>
        </w:tc>
        <w:tc>
          <w:tcPr>
            <w:tcW w:w="407" w:type="pct"/>
          </w:tcPr>
          <w:p w:rsidR="00470790" w:rsidRDefault="00470790" w:rsidP="002560C8">
            <w:pPr>
              <w:pStyle w:val="TableBody"/>
            </w:pPr>
            <w:r>
              <w:t>MW</w:t>
            </w:r>
          </w:p>
        </w:tc>
        <w:tc>
          <w:tcPr>
            <w:tcW w:w="3567" w:type="pct"/>
          </w:tcPr>
          <w:p w:rsidR="00470790" w:rsidRDefault="00470790" w:rsidP="002560C8">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470790" w:rsidTr="002560C8">
        <w:trPr>
          <w:cantSplit/>
        </w:trPr>
        <w:tc>
          <w:tcPr>
            <w:tcW w:w="1026" w:type="pct"/>
          </w:tcPr>
          <w:p w:rsidR="00470790" w:rsidRDefault="00470790" w:rsidP="002560C8">
            <w:pPr>
              <w:pStyle w:val="TableBody"/>
            </w:pPr>
            <w:r>
              <w:rPr>
                <w:rFonts w:eastAsia="Calibri"/>
              </w:rPr>
              <w:t xml:space="preserve">URTQQEP </w:t>
            </w:r>
            <w:r>
              <w:rPr>
                <w:rFonts w:eastAsia="Calibri"/>
                <w:vertAlign w:val="subscript"/>
              </w:rPr>
              <w:t>mp</w:t>
            </w:r>
          </w:p>
        </w:tc>
        <w:tc>
          <w:tcPr>
            <w:tcW w:w="407" w:type="pct"/>
          </w:tcPr>
          <w:p w:rsidR="00470790" w:rsidRDefault="00470790" w:rsidP="002560C8">
            <w:pPr>
              <w:pStyle w:val="TableBody"/>
            </w:pPr>
            <w:r>
              <w:t>MWh</w:t>
            </w:r>
          </w:p>
        </w:tc>
        <w:tc>
          <w:tcPr>
            <w:tcW w:w="3567" w:type="pct"/>
          </w:tcPr>
          <w:p w:rsidR="00470790" w:rsidRPr="00971FA2" w:rsidRDefault="00470790" w:rsidP="002560C8">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470790" w:rsidTr="002560C8">
        <w:trPr>
          <w:cantSplit/>
        </w:trPr>
        <w:tc>
          <w:tcPr>
            <w:tcW w:w="1026" w:type="pct"/>
          </w:tcPr>
          <w:p w:rsidR="00470790" w:rsidRDefault="00470790" w:rsidP="002560C8">
            <w:pPr>
              <w:pStyle w:val="TableBody"/>
            </w:pPr>
            <w:r>
              <w:rPr>
                <w:rFonts w:eastAsia="Calibri"/>
              </w:rPr>
              <w:t xml:space="preserve">DAES </w:t>
            </w:r>
            <w:r w:rsidRPr="00D915E9">
              <w:rPr>
                <w:color w:val="000000"/>
                <w:kern w:val="24"/>
                <w:vertAlign w:val="subscript"/>
              </w:rPr>
              <w:t>mp, p</w:t>
            </w:r>
            <w:r>
              <w:rPr>
                <w:color w:val="000000"/>
                <w:kern w:val="24"/>
                <w:vertAlign w:val="subscript"/>
              </w:rPr>
              <w:t>, h</w:t>
            </w:r>
          </w:p>
        </w:tc>
        <w:tc>
          <w:tcPr>
            <w:tcW w:w="407" w:type="pct"/>
          </w:tcPr>
          <w:p w:rsidR="00470790" w:rsidRDefault="00470790" w:rsidP="002560C8">
            <w:pPr>
              <w:pStyle w:val="TableBody"/>
            </w:pPr>
            <w:r>
              <w:t>MW</w:t>
            </w:r>
          </w:p>
        </w:tc>
        <w:tc>
          <w:tcPr>
            <w:tcW w:w="3567" w:type="pct"/>
          </w:tcPr>
          <w:p w:rsidR="00470790" w:rsidRDefault="00470790" w:rsidP="002560C8">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excluding the offers submitted for RMR Units at the same Settlement Point, for the hour </w:t>
            </w:r>
            <w:r>
              <w:rPr>
                <w:i/>
              </w:rPr>
              <w:t>h</w:t>
            </w:r>
            <w:r>
              <w:t>, where the Market Participant is a QSE.</w:t>
            </w:r>
          </w:p>
        </w:tc>
      </w:tr>
      <w:tr w:rsidR="00470790" w:rsidTr="002560C8">
        <w:trPr>
          <w:cantSplit/>
        </w:trPr>
        <w:tc>
          <w:tcPr>
            <w:tcW w:w="1026" w:type="pct"/>
          </w:tcPr>
          <w:p w:rsidR="00470790" w:rsidRDefault="00470790" w:rsidP="002560C8">
            <w:pPr>
              <w:pStyle w:val="TableBody"/>
            </w:pPr>
            <w:r>
              <w:rPr>
                <w:rFonts w:eastAsia="Calibri"/>
              </w:rPr>
              <w:t xml:space="preserve">UDAES </w:t>
            </w:r>
            <w:r>
              <w:rPr>
                <w:rFonts w:eastAsia="Calibri"/>
                <w:vertAlign w:val="subscript"/>
              </w:rPr>
              <w:t>mp</w:t>
            </w:r>
          </w:p>
        </w:tc>
        <w:tc>
          <w:tcPr>
            <w:tcW w:w="407" w:type="pct"/>
          </w:tcPr>
          <w:p w:rsidR="00470790" w:rsidRDefault="00470790" w:rsidP="002560C8">
            <w:pPr>
              <w:pStyle w:val="TableBody"/>
            </w:pPr>
            <w:r>
              <w:t>MWh</w:t>
            </w:r>
          </w:p>
        </w:tc>
        <w:tc>
          <w:tcPr>
            <w:tcW w:w="3567" w:type="pct"/>
          </w:tcPr>
          <w:p w:rsidR="00470790" w:rsidRDefault="00470790" w:rsidP="002560C8">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470790" w:rsidTr="002560C8">
        <w:trPr>
          <w:cantSplit/>
        </w:trPr>
        <w:tc>
          <w:tcPr>
            <w:tcW w:w="1026" w:type="pct"/>
          </w:tcPr>
          <w:p w:rsidR="00470790" w:rsidRDefault="00470790" w:rsidP="002560C8">
            <w:pPr>
              <w:pStyle w:val="TableBody"/>
            </w:pPr>
            <w:r>
              <w:rPr>
                <w:rFonts w:eastAsia="Calibri"/>
              </w:rPr>
              <w:lastRenderedPageBreak/>
              <w:t xml:space="preserve">DAEP </w:t>
            </w:r>
            <w:r w:rsidRPr="00D915E9">
              <w:rPr>
                <w:color w:val="000000"/>
                <w:kern w:val="24"/>
                <w:vertAlign w:val="subscript"/>
              </w:rPr>
              <w:t>mp, p</w:t>
            </w:r>
            <w:r>
              <w:rPr>
                <w:color w:val="000000"/>
                <w:kern w:val="24"/>
                <w:vertAlign w:val="subscript"/>
              </w:rPr>
              <w:t>, h</w:t>
            </w:r>
          </w:p>
        </w:tc>
        <w:tc>
          <w:tcPr>
            <w:tcW w:w="407" w:type="pct"/>
          </w:tcPr>
          <w:p w:rsidR="00470790" w:rsidRDefault="00470790" w:rsidP="002560C8">
            <w:pPr>
              <w:pStyle w:val="TableBody"/>
            </w:pPr>
            <w:r>
              <w:t>MW</w:t>
            </w:r>
          </w:p>
        </w:tc>
        <w:tc>
          <w:tcPr>
            <w:tcW w:w="3567" w:type="pct"/>
          </w:tcPr>
          <w:p w:rsidR="00470790" w:rsidRDefault="00470790" w:rsidP="002560C8">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470790" w:rsidTr="002560C8">
        <w:trPr>
          <w:cantSplit/>
        </w:trPr>
        <w:tc>
          <w:tcPr>
            <w:tcW w:w="1026" w:type="pct"/>
          </w:tcPr>
          <w:p w:rsidR="00470790" w:rsidRDefault="00470790" w:rsidP="002560C8">
            <w:pPr>
              <w:pStyle w:val="TableBody"/>
            </w:pPr>
            <w:r>
              <w:rPr>
                <w:rFonts w:eastAsia="Calibri"/>
              </w:rPr>
              <w:t xml:space="preserve">UDAEP </w:t>
            </w:r>
            <w:r>
              <w:rPr>
                <w:rFonts w:eastAsia="Calibri"/>
                <w:vertAlign w:val="subscript"/>
              </w:rPr>
              <w:t>mp</w:t>
            </w:r>
          </w:p>
        </w:tc>
        <w:tc>
          <w:tcPr>
            <w:tcW w:w="407" w:type="pct"/>
          </w:tcPr>
          <w:p w:rsidR="00470790" w:rsidRDefault="00470790" w:rsidP="002560C8">
            <w:pPr>
              <w:pStyle w:val="TableBody"/>
            </w:pPr>
            <w:r>
              <w:t>MWh</w:t>
            </w:r>
          </w:p>
        </w:tc>
        <w:tc>
          <w:tcPr>
            <w:tcW w:w="3567" w:type="pct"/>
          </w:tcPr>
          <w:p w:rsidR="00470790" w:rsidRDefault="00470790" w:rsidP="002560C8">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470790" w:rsidTr="002560C8">
        <w:trPr>
          <w:cantSplit/>
        </w:trPr>
        <w:tc>
          <w:tcPr>
            <w:tcW w:w="1026" w:type="pct"/>
          </w:tcPr>
          <w:p w:rsidR="00470790" w:rsidRDefault="00470790" w:rsidP="002560C8">
            <w:pPr>
              <w:pStyle w:val="TableBody"/>
            </w:pPr>
            <w:r>
              <w:t xml:space="preserve">RTOBL </w:t>
            </w:r>
            <w:r>
              <w:rPr>
                <w:vertAlign w:val="subscript"/>
              </w:rPr>
              <w:t>mp, (j, k), h</w:t>
            </w:r>
          </w:p>
        </w:tc>
        <w:tc>
          <w:tcPr>
            <w:tcW w:w="407" w:type="pct"/>
          </w:tcPr>
          <w:p w:rsidR="00470790" w:rsidRDefault="00470790" w:rsidP="002560C8">
            <w:pPr>
              <w:pStyle w:val="TableBody"/>
            </w:pPr>
            <w:r>
              <w:t>MW</w:t>
            </w:r>
          </w:p>
        </w:tc>
        <w:tc>
          <w:tcPr>
            <w:tcW w:w="3567" w:type="pct"/>
          </w:tcPr>
          <w:p w:rsidR="00470790" w:rsidRDefault="00470790" w:rsidP="002560C8">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470790" w:rsidTr="002560C8">
        <w:trPr>
          <w:cantSplit/>
        </w:trPr>
        <w:tc>
          <w:tcPr>
            <w:tcW w:w="1026" w:type="pct"/>
          </w:tcPr>
          <w:p w:rsidR="00470790" w:rsidRDefault="00470790" w:rsidP="002560C8">
            <w:pPr>
              <w:pStyle w:val="TableBody"/>
              <w:rPr>
                <w:bCs/>
              </w:rPr>
            </w:pPr>
            <w:r>
              <w:rPr>
                <w:rFonts w:eastAsia="Calibri"/>
              </w:rPr>
              <w:t xml:space="preserve">URTOBL </w:t>
            </w:r>
            <w:r>
              <w:rPr>
                <w:rFonts w:eastAsia="Calibri"/>
                <w:vertAlign w:val="subscript"/>
              </w:rPr>
              <w:t>mp</w:t>
            </w:r>
          </w:p>
        </w:tc>
        <w:tc>
          <w:tcPr>
            <w:tcW w:w="407" w:type="pct"/>
          </w:tcPr>
          <w:p w:rsidR="00470790" w:rsidRDefault="00470790" w:rsidP="002560C8">
            <w:pPr>
              <w:pStyle w:val="TableBody"/>
              <w:rPr>
                <w:bCs/>
              </w:rPr>
            </w:pPr>
            <w:r>
              <w:t>MWh</w:t>
            </w:r>
          </w:p>
        </w:tc>
        <w:tc>
          <w:tcPr>
            <w:tcW w:w="3567" w:type="pct"/>
          </w:tcPr>
          <w:p w:rsidR="00470790" w:rsidRDefault="00470790" w:rsidP="002560C8">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470790" w:rsidTr="002560C8">
        <w:trPr>
          <w:cantSplit/>
        </w:trPr>
        <w:tc>
          <w:tcPr>
            <w:tcW w:w="1026" w:type="pct"/>
          </w:tcPr>
          <w:p w:rsidR="00470790" w:rsidRDefault="00470790" w:rsidP="002560C8">
            <w:pPr>
              <w:pStyle w:val="TableBody"/>
            </w:pPr>
            <w:r>
              <w:rPr>
                <w:bCs/>
              </w:rPr>
              <w:t xml:space="preserve">DAOPT </w:t>
            </w:r>
            <w:r>
              <w:rPr>
                <w:rFonts w:eastAsia="Calibri"/>
                <w:vertAlign w:val="subscript"/>
              </w:rPr>
              <w:t>mp</w:t>
            </w:r>
            <w:r>
              <w:rPr>
                <w:bCs/>
                <w:vertAlign w:val="subscript"/>
              </w:rPr>
              <w:t>, (j, k), h</w:t>
            </w:r>
          </w:p>
        </w:tc>
        <w:tc>
          <w:tcPr>
            <w:tcW w:w="407" w:type="pct"/>
          </w:tcPr>
          <w:p w:rsidR="00470790" w:rsidRDefault="00470790" w:rsidP="002560C8">
            <w:pPr>
              <w:pStyle w:val="TableBody"/>
            </w:pPr>
            <w:r>
              <w:rPr>
                <w:bCs/>
              </w:rPr>
              <w:t>MW</w:t>
            </w:r>
          </w:p>
        </w:tc>
        <w:tc>
          <w:tcPr>
            <w:tcW w:w="3567" w:type="pct"/>
          </w:tcPr>
          <w:p w:rsidR="00470790" w:rsidRPr="008865FE" w:rsidRDefault="00470790" w:rsidP="002560C8">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470790" w:rsidTr="002560C8">
        <w:trPr>
          <w:cantSplit/>
        </w:trPr>
        <w:tc>
          <w:tcPr>
            <w:tcW w:w="1026" w:type="pct"/>
          </w:tcPr>
          <w:p w:rsidR="00470790" w:rsidRDefault="00470790" w:rsidP="002560C8">
            <w:pPr>
              <w:pStyle w:val="TableBody"/>
              <w:rPr>
                <w:bCs/>
              </w:rPr>
            </w:pPr>
            <w:r>
              <w:rPr>
                <w:rFonts w:eastAsia="Calibri"/>
              </w:rPr>
              <w:t xml:space="preserve">UDAOPT </w:t>
            </w:r>
            <w:r>
              <w:rPr>
                <w:rFonts w:eastAsia="Calibri"/>
                <w:vertAlign w:val="subscript"/>
              </w:rPr>
              <w:t>mp</w:t>
            </w:r>
          </w:p>
        </w:tc>
        <w:tc>
          <w:tcPr>
            <w:tcW w:w="407" w:type="pct"/>
          </w:tcPr>
          <w:p w:rsidR="00470790" w:rsidRDefault="00470790" w:rsidP="002560C8">
            <w:pPr>
              <w:pStyle w:val="TableBody"/>
              <w:rPr>
                <w:bCs/>
              </w:rPr>
            </w:pPr>
            <w:r>
              <w:t>MWh</w:t>
            </w:r>
          </w:p>
        </w:tc>
        <w:tc>
          <w:tcPr>
            <w:tcW w:w="3567" w:type="pct"/>
          </w:tcPr>
          <w:p w:rsidR="00470790" w:rsidRDefault="00470790" w:rsidP="002560C8">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470790" w:rsidTr="002560C8">
        <w:trPr>
          <w:cantSplit/>
        </w:trPr>
        <w:tc>
          <w:tcPr>
            <w:tcW w:w="1026" w:type="pct"/>
          </w:tcPr>
          <w:p w:rsidR="00470790" w:rsidRDefault="00470790" w:rsidP="002560C8">
            <w:pPr>
              <w:pStyle w:val="TableBody"/>
              <w:rPr>
                <w:bCs/>
              </w:rPr>
            </w:pPr>
            <w:r>
              <w:rPr>
                <w:bCs/>
              </w:rPr>
              <w:t xml:space="preserve">DAOBL </w:t>
            </w:r>
            <w:r>
              <w:rPr>
                <w:rFonts w:eastAsia="Calibri"/>
                <w:vertAlign w:val="subscript"/>
              </w:rPr>
              <w:t>mp</w:t>
            </w:r>
            <w:r>
              <w:rPr>
                <w:vertAlign w:val="subscript"/>
              </w:rPr>
              <w:t xml:space="preserve">, </w:t>
            </w:r>
            <w:r>
              <w:rPr>
                <w:bCs/>
                <w:vertAlign w:val="subscript"/>
              </w:rPr>
              <w:t>(j, k), h</w:t>
            </w:r>
          </w:p>
        </w:tc>
        <w:tc>
          <w:tcPr>
            <w:tcW w:w="407" w:type="pct"/>
          </w:tcPr>
          <w:p w:rsidR="00470790" w:rsidRDefault="00470790" w:rsidP="002560C8">
            <w:pPr>
              <w:pStyle w:val="TableBody"/>
            </w:pPr>
            <w:r>
              <w:rPr>
                <w:bCs/>
              </w:rPr>
              <w:t>MW</w:t>
            </w:r>
          </w:p>
        </w:tc>
        <w:tc>
          <w:tcPr>
            <w:tcW w:w="3567" w:type="pct"/>
          </w:tcPr>
          <w:p w:rsidR="00470790" w:rsidRPr="00F42E29" w:rsidRDefault="00470790" w:rsidP="002560C8">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470790" w:rsidTr="002560C8">
        <w:trPr>
          <w:cantSplit/>
        </w:trPr>
        <w:tc>
          <w:tcPr>
            <w:tcW w:w="1026" w:type="pct"/>
          </w:tcPr>
          <w:p w:rsidR="00470790" w:rsidRDefault="00470790" w:rsidP="002560C8">
            <w:pPr>
              <w:pStyle w:val="TableBody"/>
            </w:pPr>
            <w:r>
              <w:rPr>
                <w:rFonts w:eastAsia="Calibri"/>
              </w:rPr>
              <w:t xml:space="preserve">UDAOBL </w:t>
            </w:r>
            <w:r>
              <w:rPr>
                <w:rFonts w:eastAsia="Calibri"/>
                <w:vertAlign w:val="subscript"/>
              </w:rPr>
              <w:t>mp</w:t>
            </w:r>
          </w:p>
        </w:tc>
        <w:tc>
          <w:tcPr>
            <w:tcW w:w="407" w:type="pct"/>
          </w:tcPr>
          <w:p w:rsidR="00470790" w:rsidRDefault="00470790" w:rsidP="002560C8">
            <w:pPr>
              <w:pStyle w:val="TableBody"/>
            </w:pPr>
            <w:r>
              <w:t>MWh</w:t>
            </w:r>
          </w:p>
        </w:tc>
        <w:tc>
          <w:tcPr>
            <w:tcW w:w="3567" w:type="pct"/>
          </w:tcPr>
          <w:p w:rsidR="00470790" w:rsidRDefault="00470790" w:rsidP="002560C8">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470790" w:rsidTr="002560C8">
        <w:trPr>
          <w:cantSplit/>
        </w:trPr>
        <w:tc>
          <w:tcPr>
            <w:tcW w:w="1026" w:type="pct"/>
          </w:tcPr>
          <w:p w:rsidR="00470790" w:rsidRDefault="00470790" w:rsidP="002560C8">
            <w:pPr>
              <w:pStyle w:val="TableBody"/>
            </w:pPr>
            <w:r>
              <w:t xml:space="preserve">OPTS </w:t>
            </w:r>
            <w:r>
              <w:rPr>
                <w:rFonts w:eastAsia="Calibri"/>
                <w:vertAlign w:val="subscript"/>
              </w:rPr>
              <w:t>mp</w:t>
            </w:r>
            <w:r w:rsidRPr="00D935F0">
              <w:rPr>
                <w:vertAlign w:val="subscript"/>
              </w:rPr>
              <w:t>, (j, k), a, h</w:t>
            </w:r>
          </w:p>
        </w:tc>
        <w:tc>
          <w:tcPr>
            <w:tcW w:w="407" w:type="pct"/>
          </w:tcPr>
          <w:p w:rsidR="00470790" w:rsidRDefault="00470790" w:rsidP="002560C8">
            <w:pPr>
              <w:pStyle w:val="TableBody"/>
            </w:pPr>
            <w:r>
              <w:t>MW</w:t>
            </w:r>
          </w:p>
        </w:tc>
        <w:tc>
          <w:tcPr>
            <w:tcW w:w="3567" w:type="pct"/>
          </w:tcPr>
          <w:p w:rsidR="00470790" w:rsidRDefault="00470790" w:rsidP="002560C8">
            <w:pPr>
              <w:pStyle w:val="TableBody"/>
              <w:rPr>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470790" w:rsidTr="002560C8">
        <w:trPr>
          <w:cantSplit/>
        </w:trPr>
        <w:tc>
          <w:tcPr>
            <w:tcW w:w="1026" w:type="pct"/>
          </w:tcPr>
          <w:p w:rsidR="00470790" w:rsidRDefault="00470790" w:rsidP="002560C8">
            <w:pPr>
              <w:pStyle w:val="TableBody"/>
            </w:pPr>
            <w:r>
              <w:rPr>
                <w:rFonts w:eastAsia="Calibri"/>
              </w:rPr>
              <w:t xml:space="preserve">UOPTS </w:t>
            </w:r>
            <w:r>
              <w:rPr>
                <w:rFonts w:eastAsia="Calibri"/>
                <w:vertAlign w:val="subscript"/>
              </w:rPr>
              <w:t>mp</w:t>
            </w:r>
          </w:p>
        </w:tc>
        <w:tc>
          <w:tcPr>
            <w:tcW w:w="407" w:type="pct"/>
          </w:tcPr>
          <w:p w:rsidR="00470790" w:rsidRDefault="00470790" w:rsidP="002560C8">
            <w:pPr>
              <w:pStyle w:val="TableBody"/>
            </w:pPr>
            <w:r>
              <w:t>MWh</w:t>
            </w:r>
          </w:p>
        </w:tc>
        <w:tc>
          <w:tcPr>
            <w:tcW w:w="3567" w:type="pct"/>
          </w:tcPr>
          <w:p w:rsidR="00470790" w:rsidRDefault="00470790" w:rsidP="002560C8">
            <w:pPr>
              <w:pStyle w:val="TableBody"/>
              <w:rPr>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470790" w:rsidTr="002560C8">
        <w:trPr>
          <w:cantSplit/>
        </w:trPr>
        <w:tc>
          <w:tcPr>
            <w:tcW w:w="1026" w:type="pct"/>
          </w:tcPr>
          <w:p w:rsidR="00470790" w:rsidRDefault="00470790" w:rsidP="002560C8">
            <w:pPr>
              <w:pStyle w:val="TableBody"/>
            </w:pPr>
            <w:r>
              <w:t xml:space="preserve">OBLS </w:t>
            </w:r>
            <w:r>
              <w:rPr>
                <w:rFonts w:eastAsia="Calibri"/>
                <w:vertAlign w:val="subscript"/>
              </w:rPr>
              <w:t>mp</w:t>
            </w:r>
            <w:r w:rsidRPr="005E0C43">
              <w:rPr>
                <w:vertAlign w:val="subscript"/>
              </w:rPr>
              <w:t>, (j, k), a, h</w:t>
            </w:r>
          </w:p>
        </w:tc>
        <w:tc>
          <w:tcPr>
            <w:tcW w:w="407" w:type="pct"/>
          </w:tcPr>
          <w:p w:rsidR="00470790" w:rsidRDefault="00470790" w:rsidP="002560C8">
            <w:pPr>
              <w:pStyle w:val="TableBody"/>
            </w:pPr>
            <w:r>
              <w:t>MW</w:t>
            </w:r>
          </w:p>
        </w:tc>
        <w:tc>
          <w:tcPr>
            <w:tcW w:w="3567" w:type="pct"/>
          </w:tcPr>
          <w:p w:rsidR="00470790" w:rsidRDefault="00470790" w:rsidP="002560C8">
            <w:pPr>
              <w:pStyle w:val="TableBody"/>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470790" w:rsidTr="002560C8">
        <w:trPr>
          <w:cantSplit/>
        </w:trPr>
        <w:tc>
          <w:tcPr>
            <w:tcW w:w="1026" w:type="pct"/>
          </w:tcPr>
          <w:p w:rsidR="00470790" w:rsidRDefault="00470790" w:rsidP="002560C8">
            <w:pPr>
              <w:pStyle w:val="TableBody"/>
            </w:pPr>
            <w:r>
              <w:rPr>
                <w:rFonts w:eastAsia="Calibri"/>
              </w:rPr>
              <w:lastRenderedPageBreak/>
              <w:t xml:space="preserve">UOBLS </w:t>
            </w:r>
            <w:r>
              <w:rPr>
                <w:rFonts w:eastAsia="Calibri"/>
                <w:vertAlign w:val="subscript"/>
              </w:rPr>
              <w:t>mp</w:t>
            </w:r>
          </w:p>
        </w:tc>
        <w:tc>
          <w:tcPr>
            <w:tcW w:w="407" w:type="pct"/>
          </w:tcPr>
          <w:p w:rsidR="00470790" w:rsidRDefault="00470790" w:rsidP="002560C8">
            <w:pPr>
              <w:pStyle w:val="TableBody"/>
            </w:pPr>
            <w:r>
              <w:t>MWh</w:t>
            </w:r>
          </w:p>
        </w:tc>
        <w:tc>
          <w:tcPr>
            <w:tcW w:w="3567" w:type="pct"/>
          </w:tcPr>
          <w:p w:rsidR="00470790" w:rsidRDefault="00470790" w:rsidP="002560C8">
            <w:pPr>
              <w:pStyle w:val="TableBody"/>
              <w:rPr>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470790" w:rsidTr="002560C8">
        <w:trPr>
          <w:cantSplit/>
        </w:trPr>
        <w:tc>
          <w:tcPr>
            <w:tcW w:w="1026" w:type="pct"/>
          </w:tcPr>
          <w:p w:rsidR="00470790" w:rsidRDefault="00470790" w:rsidP="002560C8">
            <w:pPr>
              <w:pStyle w:val="TableBody"/>
            </w:pPr>
            <w:r>
              <w:t xml:space="preserve">OPTP </w:t>
            </w:r>
            <w:r>
              <w:rPr>
                <w:rFonts w:eastAsia="Calibri"/>
                <w:vertAlign w:val="subscript"/>
              </w:rPr>
              <w:t>mp</w:t>
            </w:r>
            <w:r w:rsidRPr="00CA7127">
              <w:rPr>
                <w:vertAlign w:val="subscript"/>
              </w:rPr>
              <w:t>, (j, k), a, h</w:t>
            </w:r>
          </w:p>
        </w:tc>
        <w:tc>
          <w:tcPr>
            <w:tcW w:w="407" w:type="pct"/>
          </w:tcPr>
          <w:p w:rsidR="00470790" w:rsidRDefault="00470790" w:rsidP="002560C8">
            <w:pPr>
              <w:pStyle w:val="TableBody"/>
            </w:pPr>
            <w:r>
              <w:t>MW</w:t>
            </w:r>
          </w:p>
        </w:tc>
        <w:tc>
          <w:tcPr>
            <w:tcW w:w="3567" w:type="pct"/>
          </w:tcPr>
          <w:p w:rsidR="00470790" w:rsidRDefault="00470790" w:rsidP="002560C8">
            <w:pPr>
              <w:pStyle w:val="TableBody"/>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470790" w:rsidTr="002560C8">
        <w:trPr>
          <w:cantSplit/>
        </w:trPr>
        <w:tc>
          <w:tcPr>
            <w:tcW w:w="1026" w:type="pct"/>
          </w:tcPr>
          <w:p w:rsidR="00470790" w:rsidRDefault="00470790" w:rsidP="002560C8">
            <w:pPr>
              <w:pStyle w:val="TableBody"/>
            </w:pPr>
            <w:r>
              <w:rPr>
                <w:rFonts w:eastAsia="Calibri"/>
              </w:rPr>
              <w:t xml:space="preserve">UOPTP </w:t>
            </w:r>
            <w:r>
              <w:rPr>
                <w:rFonts w:eastAsia="Calibri"/>
                <w:vertAlign w:val="subscript"/>
              </w:rPr>
              <w:t>mp</w:t>
            </w:r>
          </w:p>
        </w:tc>
        <w:tc>
          <w:tcPr>
            <w:tcW w:w="407" w:type="pct"/>
          </w:tcPr>
          <w:p w:rsidR="00470790" w:rsidRDefault="00470790" w:rsidP="002560C8">
            <w:pPr>
              <w:pStyle w:val="TableBody"/>
            </w:pPr>
            <w:r>
              <w:t>MWh</w:t>
            </w:r>
          </w:p>
        </w:tc>
        <w:tc>
          <w:tcPr>
            <w:tcW w:w="3567" w:type="pct"/>
          </w:tcPr>
          <w:p w:rsidR="00470790" w:rsidRDefault="00470790" w:rsidP="002560C8">
            <w:pPr>
              <w:pStyle w:val="TableBody"/>
              <w:rPr>
                <w:i/>
              </w:rPr>
            </w:pPr>
            <w:r>
              <w:rPr>
                <w:i/>
              </w:rPr>
              <w:t xml:space="preserve">PTP Option Purchase per </w:t>
            </w:r>
            <w:r>
              <w:rPr>
                <w:bCs/>
                <w:i/>
              </w:rPr>
              <w:t>Market Participant</w:t>
            </w:r>
            <w:r>
              <w:t xml:space="preserve">—The MW quantity that represents the monthly total of Market Participant </w:t>
            </w:r>
            <w:r w:rsidRPr="00DF336E">
              <w:rPr>
                <w:i/>
              </w:rPr>
              <w:t>mp</w:t>
            </w:r>
            <w:r>
              <w:t>’s PTP Option bids awarded in CRR Auctions, counting the quantity only once per source and sink pair, where the Market Participant is a CRR Account Holder assigned to the registered Counter-Party.</w:t>
            </w:r>
          </w:p>
        </w:tc>
      </w:tr>
      <w:tr w:rsidR="00470790" w:rsidTr="002560C8">
        <w:trPr>
          <w:cantSplit/>
        </w:trPr>
        <w:tc>
          <w:tcPr>
            <w:tcW w:w="1026" w:type="pct"/>
          </w:tcPr>
          <w:p w:rsidR="00470790" w:rsidRDefault="00470790" w:rsidP="002560C8">
            <w:pPr>
              <w:pStyle w:val="TableBody"/>
            </w:pPr>
            <w:r>
              <w:t xml:space="preserve">OBLP </w:t>
            </w:r>
            <w:r>
              <w:rPr>
                <w:rFonts w:eastAsia="Calibri"/>
                <w:vertAlign w:val="subscript"/>
              </w:rPr>
              <w:t>mp</w:t>
            </w:r>
            <w:r w:rsidRPr="00C32995">
              <w:rPr>
                <w:vertAlign w:val="subscript"/>
              </w:rPr>
              <w:t>, (j, k), a, h</w:t>
            </w:r>
          </w:p>
        </w:tc>
        <w:tc>
          <w:tcPr>
            <w:tcW w:w="407" w:type="pct"/>
          </w:tcPr>
          <w:p w:rsidR="00470790" w:rsidRDefault="00470790" w:rsidP="002560C8">
            <w:pPr>
              <w:pStyle w:val="TableBody"/>
            </w:pPr>
            <w:r>
              <w:t>MW</w:t>
            </w:r>
          </w:p>
        </w:tc>
        <w:tc>
          <w:tcPr>
            <w:tcW w:w="3567" w:type="pct"/>
          </w:tcPr>
          <w:p w:rsidR="00470790" w:rsidRDefault="00470790" w:rsidP="002560C8">
            <w:pPr>
              <w:pStyle w:val="TableBody"/>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470790" w:rsidTr="002560C8">
        <w:trPr>
          <w:cantSplit/>
        </w:trPr>
        <w:tc>
          <w:tcPr>
            <w:tcW w:w="1026" w:type="pct"/>
          </w:tcPr>
          <w:p w:rsidR="00470790" w:rsidRDefault="00470790" w:rsidP="002560C8">
            <w:pPr>
              <w:pStyle w:val="TableBody"/>
              <w:rPr>
                <w:i/>
              </w:rPr>
            </w:pPr>
            <w:r>
              <w:rPr>
                <w:rFonts w:eastAsia="Calibri"/>
              </w:rPr>
              <w:t xml:space="preserve">UOBLP </w:t>
            </w:r>
            <w:r>
              <w:rPr>
                <w:rFonts w:eastAsia="Calibri"/>
                <w:vertAlign w:val="subscript"/>
              </w:rPr>
              <w:t>mp</w:t>
            </w:r>
          </w:p>
        </w:tc>
        <w:tc>
          <w:tcPr>
            <w:tcW w:w="407" w:type="pct"/>
          </w:tcPr>
          <w:p w:rsidR="00470790" w:rsidRDefault="00470790" w:rsidP="002560C8">
            <w:pPr>
              <w:pStyle w:val="TableBody"/>
            </w:pPr>
            <w:r>
              <w:t>MWh</w:t>
            </w:r>
          </w:p>
        </w:tc>
        <w:tc>
          <w:tcPr>
            <w:tcW w:w="3567" w:type="pct"/>
          </w:tcPr>
          <w:p w:rsidR="00470790" w:rsidRDefault="00470790" w:rsidP="002560C8">
            <w:pPr>
              <w:pStyle w:val="TableBody"/>
            </w:pPr>
            <w:r>
              <w:rPr>
                <w:i/>
              </w:rPr>
              <w:t xml:space="preserve">PTP Obligation Purchase per </w:t>
            </w:r>
            <w:r>
              <w:rPr>
                <w:bCs/>
                <w:i/>
              </w:rPr>
              <w:t>Market Participant</w:t>
            </w:r>
            <w:r>
              <w:t xml:space="preserve">—The MW quantity that represents the monthly total of Market Participant </w:t>
            </w:r>
            <w:r w:rsidRPr="00DF336E">
              <w:rPr>
                <w:i/>
              </w:rPr>
              <w:t>mp</w:t>
            </w:r>
            <w:r>
              <w:t>’s PTP Obligation bids awarded in CRR Auctions, counting the quantity only once per source and sink pair, where the Market Participant is a CRR Account Holder assigned to the registered Counter-Party.</w:t>
            </w:r>
          </w:p>
        </w:tc>
      </w:tr>
      <w:tr w:rsidR="00470790" w:rsidTr="002560C8">
        <w:trPr>
          <w:cantSplit/>
        </w:trPr>
        <w:tc>
          <w:tcPr>
            <w:tcW w:w="1026" w:type="pct"/>
          </w:tcPr>
          <w:p w:rsidR="00470790" w:rsidRPr="0014311E" w:rsidRDefault="00470790" w:rsidP="002560C8">
            <w:pPr>
              <w:pStyle w:val="TableBody"/>
            </w:pPr>
            <w:r w:rsidRPr="0014311E">
              <w:t>cp</w:t>
            </w:r>
          </w:p>
        </w:tc>
        <w:tc>
          <w:tcPr>
            <w:tcW w:w="407" w:type="pct"/>
          </w:tcPr>
          <w:p w:rsidR="00470790" w:rsidRDefault="00470790" w:rsidP="002560C8">
            <w:pPr>
              <w:pStyle w:val="TableBody"/>
            </w:pPr>
            <w:r>
              <w:t>none</w:t>
            </w:r>
          </w:p>
        </w:tc>
        <w:tc>
          <w:tcPr>
            <w:tcW w:w="3567" w:type="pct"/>
          </w:tcPr>
          <w:p w:rsidR="00470790" w:rsidRDefault="00470790" w:rsidP="002560C8">
            <w:pPr>
              <w:pStyle w:val="TableBody"/>
            </w:pPr>
            <w:r>
              <w:t>A registered Counter-Party.</w:t>
            </w:r>
          </w:p>
        </w:tc>
      </w:tr>
      <w:tr w:rsidR="00470790" w:rsidTr="002560C8">
        <w:trPr>
          <w:cantSplit/>
        </w:trPr>
        <w:tc>
          <w:tcPr>
            <w:tcW w:w="1026" w:type="pct"/>
          </w:tcPr>
          <w:p w:rsidR="00470790" w:rsidRPr="00C32995" w:rsidRDefault="00470790" w:rsidP="002560C8">
            <w:pPr>
              <w:pStyle w:val="TableBody"/>
              <w:rPr>
                <w:bCs/>
              </w:rPr>
            </w:pPr>
            <w:r w:rsidRPr="00C32995">
              <w:t>mp</w:t>
            </w:r>
          </w:p>
        </w:tc>
        <w:tc>
          <w:tcPr>
            <w:tcW w:w="407" w:type="pct"/>
          </w:tcPr>
          <w:p w:rsidR="00470790" w:rsidRDefault="00470790" w:rsidP="002560C8">
            <w:pPr>
              <w:pStyle w:val="TableBody"/>
              <w:rPr>
                <w:bCs/>
              </w:rPr>
            </w:pPr>
            <w:r>
              <w:t>none</w:t>
            </w:r>
          </w:p>
        </w:tc>
        <w:tc>
          <w:tcPr>
            <w:tcW w:w="3567" w:type="pct"/>
          </w:tcPr>
          <w:p w:rsidR="00470790" w:rsidRDefault="00470790" w:rsidP="002560C8">
            <w:pPr>
              <w:pStyle w:val="TableBody"/>
            </w:pPr>
            <w:r>
              <w:t>A Market Participant that is a non-defaulting QSE or CRR Account Holder.</w:t>
            </w:r>
          </w:p>
        </w:tc>
      </w:tr>
      <w:tr w:rsidR="00470790" w:rsidTr="002560C8">
        <w:trPr>
          <w:cantSplit/>
        </w:trPr>
        <w:tc>
          <w:tcPr>
            <w:tcW w:w="1026" w:type="pct"/>
          </w:tcPr>
          <w:p w:rsidR="00470790" w:rsidRPr="00C32995" w:rsidRDefault="00470790" w:rsidP="002560C8">
            <w:pPr>
              <w:pStyle w:val="TableBody"/>
              <w:rPr>
                <w:bCs/>
              </w:rPr>
            </w:pPr>
            <w:r w:rsidRPr="00C32995">
              <w:rPr>
                <w:bCs/>
              </w:rPr>
              <w:t>j</w:t>
            </w:r>
          </w:p>
        </w:tc>
        <w:tc>
          <w:tcPr>
            <w:tcW w:w="407" w:type="pct"/>
          </w:tcPr>
          <w:p w:rsidR="00470790" w:rsidRDefault="00470790" w:rsidP="002560C8">
            <w:pPr>
              <w:pStyle w:val="TableBody"/>
              <w:rPr>
                <w:bCs/>
              </w:rPr>
            </w:pPr>
            <w:r>
              <w:rPr>
                <w:bCs/>
              </w:rPr>
              <w:t>none</w:t>
            </w:r>
          </w:p>
        </w:tc>
        <w:tc>
          <w:tcPr>
            <w:tcW w:w="3567" w:type="pct"/>
          </w:tcPr>
          <w:p w:rsidR="00470790" w:rsidRDefault="00470790" w:rsidP="002560C8">
            <w:pPr>
              <w:pStyle w:val="TableBody"/>
            </w:pPr>
            <w:r>
              <w:t>A source Settlement Point.</w:t>
            </w:r>
          </w:p>
        </w:tc>
      </w:tr>
      <w:tr w:rsidR="00470790" w:rsidTr="002560C8">
        <w:trPr>
          <w:cantSplit/>
        </w:trPr>
        <w:tc>
          <w:tcPr>
            <w:tcW w:w="1026" w:type="pct"/>
          </w:tcPr>
          <w:p w:rsidR="00470790" w:rsidRPr="00C32995" w:rsidRDefault="00470790" w:rsidP="002560C8">
            <w:pPr>
              <w:pStyle w:val="TableBody"/>
              <w:rPr>
                <w:bCs/>
              </w:rPr>
            </w:pPr>
            <w:r w:rsidRPr="00C32995">
              <w:rPr>
                <w:bCs/>
              </w:rPr>
              <w:t>k</w:t>
            </w:r>
          </w:p>
        </w:tc>
        <w:tc>
          <w:tcPr>
            <w:tcW w:w="407" w:type="pct"/>
          </w:tcPr>
          <w:p w:rsidR="00470790" w:rsidRDefault="00470790" w:rsidP="002560C8">
            <w:pPr>
              <w:pStyle w:val="TableBody"/>
              <w:rPr>
                <w:bCs/>
              </w:rPr>
            </w:pPr>
            <w:r>
              <w:rPr>
                <w:bCs/>
              </w:rPr>
              <w:t>none</w:t>
            </w:r>
          </w:p>
        </w:tc>
        <w:tc>
          <w:tcPr>
            <w:tcW w:w="3567" w:type="pct"/>
          </w:tcPr>
          <w:p w:rsidR="00470790" w:rsidRDefault="00470790" w:rsidP="002560C8">
            <w:pPr>
              <w:pStyle w:val="TableBody"/>
            </w:pPr>
            <w:r>
              <w:t>A sink Settlement Point.</w:t>
            </w:r>
          </w:p>
        </w:tc>
      </w:tr>
      <w:tr w:rsidR="00470790" w:rsidTr="002560C8">
        <w:trPr>
          <w:cantSplit/>
        </w:trPr>
        <w:tc>
          <w:tcPr>
            <w:tcW w:w="1026" w:type="pct"/>
          </w:tcPr>
          <w:p w:rsidR="00470790" w:rsidRPr="0014311E" w:rsidRDefault="00470790" w:rsidP="002560C8">
            <w:pPr>
              <w:pStyle w:val="TableBody"/>
            </w:pPr>
            <w:r w:rsidRPr="0014311E">
              <w:t>a</w:t>
            </w:r>
          </w:p>
        </w:tc>
        <w:tc>
          <w:tcPr>
            <w:tcW w:w="407" w:type="pct"/>
          </w:tcPr>
          <w:p w:rsidR="00470790" w:rsidRDefault="00470790" w:rsidP="002560C8">
            <w:pPr>
              <w:pStyle w:val="TableBody"/>
            </w:pPr>
            <w:r>
              <w:t>none</w:t>
            </w:r>
          </w:p>
        </w:tc>
        <w:tc>
          <w:tcPr>
            <w:tcW w:w="3567" w:type="pct"/>
          </w:tcPr>
          <w:p w:rsidR="00470790" w:rsidRDefault="00470790" w:rsidP="002560C8">
            <w:pPr>
              <w:pStyle w:val="TableBody"/>
            </w:pPr>
            <w:r>
              <w:t>A CRR Auction.</w:t>
            </w:r>
          </w:p>
        </w:tc>
      </w:tr>
      <w:tr w:rsidR="00470790" w:rsidTr="002560C8">
        <w:trPr>
          <w:cantSplit/>
        </w:trPr>
        <w:tc>
          <w:tcPr>
            <w:tcW w:w="1026" w:type="pct"/>
          </w:tcPr>
          <w:p w:rsidR="00470790" w:rsidRPr="0014311E" w:rsidRDefault="00470790" w:rsidP="002560C8">
            <w:pPr>
              <w:pStyle w:val="TableBody"/>
            </w:pPr>
            <w:r w:rsidRPr="0014311E">
              <w:t>p</w:t>
            </w:r>
          </w:p>
        </w:tc>
        <w:tc>
          <w:tcPr>
            <w:tcW w:w="407" w:type="pct"/>
          </w:tcPr>
          <w:p w:rsidR="00470790" w:rsidRDefault="00470790" w:rsidP="002560C8">
            <w:pPr>
              <w:pStyle w:val="TableBody"/>
            </w:pPr>
            <w:r>
              <w:t>none</w:t>
            </w:r>
          </w:p>
        </w:tc>
        <w:tc>
          <w:tcPr>
            <w:tcW w:w="3567" w:type="pct"/>
          </w:tcPr>
          <w:p w:rsidR="00470790" w:rsidRDefault="00470790" w:rsidP="002560C8">
            <w:pPr>
              <w:pStyle w:val="TableBody"/>
            </w:pPr>
            <w:r>
              <w:t>A Settlement Point.</w:t>
            </w:r>
          </w:p>
        </w:tc>
      </w:tr>
      <w:tr w:rsidR="00470790" w:rsidTr="002560C8">
        <w:trPr>
          <w:cantSplit/>
        </w:trPr>
        <w:tc>
          <w:tcPr>
            <w:tcW w:w="1026" w:type="pct"/>
          </w:tcPr>
          <w:p w:rsidR="00470790" w:rsidRPr="0014311E" w:rsidRDefault="00470790" w:rsidP="002560C8">
            <w:pPr>
              <w:pStyle w:val="TableBody"/>
            </w:pPr>
            <w:r w:rsidRPr="0014311E">
              <w:t>i</w:t>
            </w:r>
          </w:p>
        </w:tc>
        <w:tc>
          <w:tcPr>
            <w:tcW w:w="407" w:type="pct"/>
          </w:tcPr>
          <w:p w:rsidR="00470790" w:rsidRDefault="00470790" w:rsidP="002560C8">
            <w:pPr>
              <w:pStyle w:val="TableBody"/>
            </w:pPr>
            <w:r>
              <w:t>none</w:t>
            </w:r>
          </w:p>
        </w:tc>
        <w:tc>
          <w:tcPr>
            <w:tcW w:w="3567" w:type="pct"/>
          </w:tcPr>
          <w:p w:rsidR="00470790" w:rsidRDefault="00470790" w:rsidP="002560C8">
            <w:pPr>
              <w:pStyle w:val="TableBody"/>
            </w:pPr>
            <w:r>
              <w:t>A 15-minute Settlement Interval.</w:t>
            </w:r>
          </w:p>
        </w:tc>
      </w:tr>
      <w:tr w:rsidR="00470790" w:rsidTr="002560C8">
        <w:trPr>
          <w:cantSplit/>
        </w:trPr>
        <w:tc>
          <w:tcPr>
            <w:tcW w:w="1026" w:type="pct"/>
          </w:tcPr>
          <w:p w:rsidR="00470790" w:rsidRPr="0014311E" w:rsidRDefault="00470790" w:rsidP="002560C8">
            <w:pPr>
              <w:pStyle w:val="TableBody"/>
            </w:pPr>
            <w:r w:rsidRPr="0014311E">
              <w:t>h</w:t>
            </w:r>
          </w:p>
        </w:tc>
        <w:tc>
          <w:tcPr>
            <w:tcW w:w="407" w:type="pct"/>
          </w:tcPr>
          <w:p w:rsidR="00470790" w:rsidRDefault="00470790" w:rsidP="002560C8">
            <w:pPr>
              <w:pStyle w:val="TableBody"/>
            </w:pPr>
            <w:r>
              <w:t>none</w:t>
            </w:r>
          </w:p>
        </w:tc>
        <w:tc>
          <w:tcPr>
            <w:tcW w:w="3567" w:type="pct"/>
          </w:tcPr>
          <w:p w:rsidR="00470790" w:rsidRDefault="00470790" w:rsidP="002560C8">
            <w:pPr>
              <w:pStyle w:val="TableBody"/>
            </w:pPr>
            <w:r>
              <w:t xml:space="preserve">The hour that includes the Settlement Interval </w:t>
            </w:r>
            <w:r>
              <w:rPr>
                <w:i/>
              </w:rPr>
              <w:t>i</w:t>
            </w:r>
            <w:r>
              <w:t xml:space="preserve">. </w:t>
            </w:r>
          </w:p>
        </w:tc>
      </w:tr>
    </w:tbl>
    <w:p w:rsidR="00470790" w:rsidRDefault="00470790" w:rsidP="00470790">
      <w:pPr>
        <w:pStyle w:val="List"/>
      </w:pPr>
    </w:p>
    <w:p w:rsidR="00470790" w:rsidDel="00124FF2" w:rsidRDefault="00470790" w:rsidP="00470790">
      <w:pPr>
        <w:pStyle w:val="List"/>
        <w:tabs>
          <w:tab w:val="left" w:pos="720"/>
        </w:tabs>
        <w:rPr>
          <w:del w:id="435" w:author="ERCOT" w:date="2011-03-29T07:56:00Z"/>
        </w:rPr>
      </w:pPr>
      <w:ins w:id="436" w:author="ERCOT" w:date="2011-03-29T07:56:00Z">
        <w:r w:rsidDel="00B4228B">
          <w:t xml:space="preserve"> </w:t>
        </w:r>
      </w:ins>
      <w:del w:id="437" w:author="ERCOT" w:date="2011-03-29T07:56:00Z">
        <w:r w:rsidDel="00B4228B">
          <w:delText>(3</w:delText>
        </w:r>
        <w:r w:rsidRPr="0065195B" w:rsidDel="00B4228B">
          <w:delText>)</w:delText>
        </w:r>
        <w:r w:rsidRPr="0065195B" w:rsidDel="00B4228B">
          <w:tab/>
          <w:delText xml:space="preserve">The </w:delText>
        </w:r>
        <w:r w:rsidDel="00B4228B">
          <w:delText>u</w:delText>
        </w:r>
        <w:r w:rsidRPr="0065195B" w:rsidDel="00B4228B">
          <w:delText>plifted short-paid amount will be allocated to the Market Participants (</w:delText>
        </w:r>
        <w:r w:rsidDel="00B4228B">
          <w:delText>QSEs or CRR Account Holders</w:delText>
        </w:r>
        <w:r w:rsidRPr="0065195B" w:rsidDel="00B4228B">
          <w:delText>) assigned to a registered Counter</w:delText>
        </w:r>
        <w:r w:rsidDel="00B4228B">
          <w:delText>-</w:delText>
        </w:r>
        <w:r w:rsidRPr="0065195B" w:rsidDel="00B4228B">
          <w:delText xml:space="preserve">Party based on the pro-rata share of MWhs </w:delText>
        </w:r>
        <w:r w:rsidRPr="00124DFF" w:rsidDel="00B4228B">
          <w:delText>that the QSE or CRR Account Holder</w:delText>
        </w:r>
        <w:r w:rsidRPr="0065195B" w:rsidDel="00B4228B">
          <w:delText xml:space="preserve"> contributed to </w:delText>
        </w:r>
        <w:r w:rsidDel="00B4228B">
          <w:delText>its</w:delText>
        </w:r>
        <w:r w:rsidRPr="0065195B" w:rsidDel="00B4228B">
          <w:delText xml:space="preserve"> Counter</w:delText>
        </w:r>
        <w:r w:rsidDel="00B4228B">
          <w:delText>-</w:delText>
        </w:r>
        <w:r w:rsidRPr="0065195B" w:rsidDel="00B4228B">
          <w:delText>Party’s maximum MWh activity ratio share.</w:delText>
        </w:r>
      </w:del>
    </w:p>
    <w:p w:rsidR="00470790" w:rsidRDefault="00470790" w:rsidP="00470790">
      <w:pPr>
        <w:pStyle w:val="List"/>
        <w:tabs>
          <w:tab w:val="left" w:pos="720"/>
        </w:tabs>
        <w:rPr>
          <w:ins w:id="438" w:author="SEWG_0418" w:date="2011-04-18T11:59:00Z"/>
        </w:rPr>
      </w:pPr>
      <w:ins w:id="439" w:author="SEWG_0418" w:date="2011-04-18T11:59:00Z">
        <w:r>
          <w:t>(3)</w:t>
        </w:r>
        <w:r>
          <w:tab/>
          <w:t>The uplifted short-paid amount will be allocated to the Market Participants (QSEs or CRR Account Holders) assigned to a registered Counter-Party based on the pro-rata share of MWhs that the QSE or CRR Account Holder contributed to its Counter-Party</w:t>
        </w:r>
      </w:ins>
      <w:ins w:id="440" w:author="SEWG_0418" w:date="2011-04-18T12:00:00Z">
        <w:r>
          <w:t>’s maximum MWh activity ratio share.</w:t>
        </w:r>
      </w:ins>
    </w:p>
    <w:p w:rsidR="00470790" w:rsidRDefault="00470790" w:rsidP="00470790">
      <w:pPr>
        <w:pStyle w:val="List"/>
        <w:tabs>
          <w:tab w:val="left" w:pos="720"/>
        </w:tabs>
      </w:pPr>
      <w:r>
        <w:t>(</w:t>
      </w:r>
      <w:del w:id="441" w:author="ERCOT" w:date="2011-03-29T07:56:00Z">
        <w:r w:rsidDel="00B4228B">
          <w:delText>4</w:delText>
        </w:r>
      </w:del>
      <w:ins w:id="442" w:author="ERCOT" w:date="2011-03-29T07:56:00Z">
        <w:del w:id="443" w:author="SEWG_0418" w:date="2011-04-18T12:00:00Z">
          <w:r w:rsidDel="00124FF2">
            <w:delText>3</w:delText>
          </w:r>
        </w:del>
      </w:ins>
      <w:ins w:id="444" w:author="SEWG_0418" w:date="2011-04-18T12:00:00Z">
        <w:r>
          <w:t>4</w:t>
        </w:r>
      </w:ins>
      <w:r>
        <w:t>)</w:t>
      </w:r>
      <w:r>
        <w:tab/>
        <w:t xml:space="preserve">Any uplifted short-paid amount greater than $2,500,000 must be scheduled so that no amount greater than $2,500,000 is charged on each set of Default Uplift Invoices until </w:t>
      </w:r>
      <w:r>
        <w:lastRenderedPageBreak/>
        <w:t>ERCOT uplifts the total short-paid amount.  ERCOT must issue Default Uplift Invoices at least 30 days apart from each other.</w:t>
      </w:r>
    </w:p>
    <w:p w:rsidR="00470790" w:rsidRDefault="00470790" w:rsidP="00470790">
      <w:pPr>
        <w:pStyle w:val="BodyText"/>
        <w:ind w:left="720" w:hanging="720"/>
      </w:pPr>
      <w:r>
        <w:t>(</w:t>
      </w:r>
      <w:del w:id="445" w:author="ERCOT" w:date="2011-03-29T07:56:00Z">
        <w:r w:rsidDel="00B4228B">
          <w:delText>5</w:delText>
        </w:r>
      </w:del>
      <w:ins w:id="446" w:author="ERCOT" w:date="2011-03-29T07:56:00Z">
        <w:del w:id="447" w:author="SEWG_0418" w:date="2011-04-18T12:00:00Z">
          <w:r w:rsidDel="00124FF2">
            <w:delText>4</w:delText>
          </w:r>
        </w:del>
      </w:ins>
      <w:ins w:id="448" w:author="SEWG_0418" w:date="2011-04-18T12:00:00Z">
        <w:r>
          <w:t>5</w:t>
        </w:r>
      </w:ins>
      <w:r>
        <w:t>)</w:t>
      </w:r>
      <w:r>
        <w:tab/>
        <w:t xml:space="preserve">ERCOT shall issue Default Uplift Invoices no earlier than 180 days following a short-pay of a </w:t>
      </w:r>
      <w:del w:id="449" w:author="ERCOT" w:date="2011-04-04T10:07:00Z">
        <w:r w:rsidDel="00CE75DE">
          <w:delText>DAM/RTM</w:delText>
        </w:r>
      </w:del>
      <w:ins w:id="450" w:author="ERCOT" w:date="2011-04-04T10:07:00Z">
        <w:r>
          <w:t>Settlement</w:t>
        </w:r>
      </w:ins>
      <w:r>
        <w:t xml:space="preserve"> Invoice on the date specified in the Settlement Calendar.  The Invoice Recipient is responsible for accessing the Invoice on the MIS Certified Area once posted by ERCOT.</w:t>
      </w:r>
    </w:p>
    <w:p w:rsidR="00470790" w:rsidRDefault="00470790" w:rsidP="00470790">
      <w:pPr>
        <w:pStyle w:val="BodyTextNumbered"/>
      </w:pPr>
      <w:r>
        <w:t>(</w:t>
      </w:r>
      <w:del w:id="451" w:author="ERCOT" w:date="2011-03-29T07:56:00Z">
        <w:r w:rsidDel="00B4228B">
          <w:delText>6</w:delText>
        </w:r>
      </w:del>
      <w:ins w:id="452" w:author="ERCOT" w:date="2011-03-29T07:56:00Z">
        <w:del w:id="453" w:author="SEWG_0418" w:date="2011-04-18T12:00:00Z">
          <w:r w:rsidDel="00124FF2">
            <w:delText>5</w:delText>
          </w:r>
        </w:del>
      </w:ins>
      <w:ins w:id="454" w:author="SEWG_0418" w:date="2011-04-18T12:00:00Z">
        <w:r>
          <w:t>6</w:t>
        </w:r>
      </w:ins>
      <w:r>
        <w:t>)</w:t>
      </w:r>
      <w:r>
        <w:tab/>
        <w:t>Each Default Uplift Invoice must contain:</w:t>
      </w:r>
    </w:p>
    <w:p w:rsidR="00470790" w:rsidRDefault="00470790" w:rsidP="00470790">
      <w:pPr>
        <w:pStyle w:val="List"/>
        <w:ind w:left="1440"/>
      </w:pPr>
      <w:r>
        <w:t>(a)</w:t>
      </w:r>
      <w:r>
        <w:tab/>
        <w:t>The Invoice Recipient’s name;</w:t>
      </w:r>
    </w:p>
    <w:p w:rsidR="00470790" w:rsidRDefault="00470790" w:rsidP="00470790">
      <w:pPr>
        <w:pStyle w:val="List"/>
        <w:ind w:left="1440"/>
      </w:pPr>
      <w:r>
        <w:t>(b)</w:t>
      </w:r>
      <w:r>
        <w:tab/>
        <w:t>The ERCOT identifier (Settlement identification number issued by ERCOT);</w:t>
      </w:r>
    </w:p>
    <w:p w:rsidR="00470790" w:rsidRDefault="00470790" w:rsidP="00470790">
      <w:pPr>
        <w:pStyle w:val="List"/>
        <w:ind w:left="1440"/>
      </w:pPr>
      <w:r>
        <w:t>(c)</w:t>
      </w:r>
      <w:r>
        <w:tab/>
        <w:t>Net Amount Due or Payable – the aggregate summary of all charges owed by a Default Uplift Invoice Recipient;</w:t>
      </w:r>
    </w:p>
    <w:p w:rsidR="00470790" w:rsidRDefault="00470790" w:rsidP="00470790">
      <w:pPr>
        <w:pStyle w:val="List"/>
        <w:ind w:left="1440"/>
      </w:pPr>
      <w:r>
        <w:t>(d)</w:t>
      </w:r>
      <w:r>
        <w:tab/>
        <w:t>Run Date – the date on which ERCOT created and published the Default Uplift Invoice;</w:t>
      </w:r>
    </w:p>
    <w:p w:rsidR="00470790" w:rsidRDefault="00470790" w:rsidP="00470790">
      <w:pPr>
        <w:pStyle w:val="List"/>
        <w:ind w:left="1440"/>
      </w:pPr>
      <w:r>
        <w:t>(e)</w:t>
      </w:r>
      <w:r>
        <w:tab/>
        <w:t>Invoice Reference Number – a unique number generated by the ERCOT applications for payment tracking purposes;</w:t>
      </w:r>
    </w:p>
    <w:p w:rsidR="00470790" w:rsidRDefault="00470790" w:rsidP="00470790">
      <w:pPr>
        <w:pStyle w:val="List"/>
        <w:ind w:left="1440"/>
      </w:pPr>
      <w:r>
        <w:t>(f)</w:t>
      </w:r>
      <w:r>
        <w:tab/>
        <w:t>Default Uplift Invoice Reference – an identification code used to reference the amount uplifted;</w:t>
      </w:r>
    </w:p>
    <w:p w:rsidR="00470790" w:rsidRDefault="00470790" w:rsidP="00470790">
      <w:pPr>
        <w:pStyle w:val="List"/>
        <w:ind w:left="1440"/>
      </w:pPr>
      <w:r>
        <w:t>(g)</w:t>
      </w:r>
      <w:r>
        <w:tab/>
        <w:t>Payment Date and Time – the date and time that Default Uplift Invoice amounts must be paid;</w:t>
      </w:r>
    </w:p>
    <w:p w:rsidR="00470790" w:rsidRDefault="00470790" w:rsidP="00470790">
      <w:pPr>
        <w:pStyle w:val="List"/>
        <w:ind w:left="144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rsidR="00470790" w:rsidRDefault="00470790" w:rsidP="00470790">
      <w:pPr>
        <w:pStyle w:val="BodyText"/>
        <w:ind w:left="1440" w:hanging="720"/>
      </w:pPr>
      <w:r>
        <w:t>(i)</w:t>
      </w:r>
      <w:r>
        <w:tab/>
        <w:t xml:space="preserve">Overdue Terms – the terms that would apply if the </w:t>
      </w:r>
      <w:del w:id="455" w:author="ERCOT" w:date="2011-03-29T08:22:00Z">
        <w:r w:rsidDel="00BD1A18">
          <w:delText>Market Participant</w:delText>
        </w:r>
      </w:del>
      <w:ins w:id="456" w:author="ERCOT" w:date="2011-03-29T08:22:00Z">
        <w:del w:id="457" w:author="SEWG_0418" w:date="2011-04-18T12:01:00Z">
          <w:r w:rsidDel="00124FF2">
            <w:delText>Counter-Party</w:delText>
          </w:r>
        </w:del>
      </w:ins>
      <w:ins w:id="458" w:author="SEWG_0418" w:date="2011-04-18T12:00:00Z">
        <w:r>
          <w:t xml:space="preserve"> Market Participant</w:t>
        </w:r>
      </w:ins>
      <w:r>
        <w:t xml:space="preserve"> makes a late payment.</w:t>
      </w:r>
    </w:p>
    <w:p w:rsidR="00470790" w:rsidRDefault="00470790" w:rsidP="00470790">
      <w:pPr>
        <w:pStyle w:val="BodyText"/>
        <w:ind w:left="720" w:hanging="720"/>
        <w:pPrChange w:id="459" w:author="ERCOT" w:date="2011-04-06T14:31:00Z">
          <w:pPr>
            <w:pStyle w:val="BodyText"/>
            <w:ind w:left="1440" w:hanging="720"/>
          </w:pPr>
        </w:pPrChange>
      </w:pPr>
      <w:r>
        <w:t>(7)</w:t>
      </w:r>
      <w:r>
        <w:tab/>
        <w:t>Each Invoice Recipient shall pay any net debit shown on the Default Uplift Invoice on the payment due date whether or not there is any Settlement and billing dispute regarding the amount of the debit.</w:t>
      </w:r>
    </w:p>
    <w:p w:rsidR="00470790" w:rsidRDefault="00470790" w:rsidP="00470790">
      <w:pPr>
        <w:pStyle w:val="H4"/>
      </w:pPr>
    </w:p>
    <w:p w:rsidR="00470790" w:rsidRDefault="00470790" w:rsidP="00470790">
      <w:pPr>
        <w:pStyle w:val="H4"/>
      </w:pPr>
      <w:r>
        <w:t>9.19.2.2</w:t>
      </w:r>
      <w:r>
        <w:tab/>
        <w:t>ERCOT Payment to Invoice Recipients for Default Uplift</w:t>
      </w:r>
      <w:bookmarkEnd w:id="424"/>
    </w:p>
    <w:p w:rsidR="00470790" w:rsidRDefault="00470790" w:rsidP="00470790">
      <w:pPr>
        <w:pStyle w:val="BodyTextNumbered"/>
      </w:pPr>
      <w:r>
        <w:t>(1)</w:t>
      </w:r>
      <w:r>
        <w:tab/>
        <w:t xml:space="preserve">Subject to the availability of funds as discussed in paragraph (2) below, uplifted funds received from Default Uplift Invoices must be paid by ERCOT to short-paid Invoice </w:t>
      </w:r>
      <w:r>
        <w:lastRenderedPageBreak/>
        <w:t xml:space="preserve">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rsidR="00470790" w:rsidRDefault="00470790" w:rsidP="00470790">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(d) of </w:t>
      </w:r>
      <w:r w:rsidRPr="00B36CF0">
        <w:rPr>
          <w:iCs w:val="0"/>
        </w:rPr>
        <w:t xml:space="preserve">Section </w:t>
      </w:r>
      <w:r w:rsidRPr="00AC79F9">
        <w:rPr>
          <w:iCs w:val="0"/>
        </w:rPr>
        <w:t>9.19</w:t>
      </w:r>
      <w:r>
        <w:rPr>
          <w:iCs w:val="0"/>
        </w:rPr>
        <w:t>, Partial Payments by Invoice Recipients</w:t>
      </w:r>
      <w:r>
        <w:t xml:space="preserve">. </w:t>
      </w:r>
    </w:p>
    <w:p w:rsidR="00470790" w:rsidRDefault="00470790" w:rsidP="00470790">
      <w:pPr>
        <w:pStyle w:val="BodyText"/>
        <w:ind w:left="720" w:hanging="720"/>
      </w:pPr>
      <w:r>
        <w:t>(3)</w:t>
      </w:r>
      <w:r>
        <w:tab/>
        <w:t xml:space="preserve">Any short and late payments of Default Uplift Invoices must be handled under Section </w:t>
      </w:r>
      <w:r w:rsidRPr="00AC79F9">
        <w:t>9.7.</w:t>
      </w:r>
      <w:r>
        <w:t xml:space="preserve">4, Late Fees and Late Fee Invoices for the </w:t>
      </w:r>
      <w:del w:id="460" w:author="ERCOT" w:date="2011-03-24T16:22:00Z">
        <w:r w:rsidDel="008F0193">
          <w:delText xml:space="preserve">RTM </w:delText>
        </w:r>
      </w:del>
      <w:ins w:id="461" w:author="ERCOT" w:date="2011-03-24T16:22:00Z">
        <w:r>
          <w:t xml:space="preserve">Settlement Invoices </w:t>
        </w:r>
      </w:ins>
      <w:r>
        <w:t>and Default Uplift Invoices,</w:t>
      </w:r>
      <w:r w:rsidRPr="00AC79F9">
        <w:t xml:space="preserve"> and Section 9.19</w:t>
      </w:r>
      <w:r>
        <w:t>, respectively.</w:t>
      </w:r>
    </w:p>
    <w:p w:rsidR="00470790" w:rsidRDefault="00470790" w:rsidP="00470790">
      <w:pPr>
        <w:pStyle w:val="H3"/>
        <w:spacing w:after="120"/>
      </w:pPr>
      <w:bookmarkStart w:id="462" w:name="_Toc283790676"/>
      <w:r>
        <w:t>16.11.4</w:t>
      </w:r>
      <w:r>
        <w:tab/>
        <w:t>Determination and Monitoring of Counter-Party Credit Exposure</w:t>
      </w:r>
      <w:bookmarkEnd w:id="462"/>
    </w:p>
    <w:p w:rsidR="00470790" w:rsidRDefault="00470790" w:rsidP="00470790">
      <w:pPr>
        <w:pStyle w:val="H4"/>
      </w:pPr>
      <w:bookmarkStart w:id="463" w:name="_Toc283790677"/>
      <w:commentRangeStart w:id="464"/>
      <w:r>
        <w:t>16.11.4.1</w:t>
      </w:r>
      <w:r>
        <w:tab/>
        <w:t>Determination of Total Potential Exposure for a Counter-Party</w:t>
      </w:r>
      <w:bookmarkEnd w:id="463"/>
      <w:commentRangeEnd w:id="464"/>
      <w:r w:rsidR="003B18A5">
        <w:rPr>
          <w:rStyle w:val="CommentReference"/>
          <w:b w:val="0"/>
          <w:bCs w:val="0"/>
          <w:snapToGrid/>
          <w:lang w:val="en-US" w:eastAsia="en-US"/>
        </w:rPr>
        <w:commentReference w:id="464"/>
      </w:r>
    </w:p>
    <w:p w:rsidR="00470790" w:rsidRDefault="00470790" w:rsidP="00470790">
      <w:pPr>
        <w:pStyle w:val="BodyTextNumbered"/>
      </w:pPr>
      <w:r>
        <w:t>(1)</w:t>
      </w:r>
      <w:r>
        <w:tab/>
        <w:t xml:space="preserve">A Counter-Party’s “Total Potential Exposure” (TPE) is:  (i) for a Counter-Party that has granted ERCOT a first priority security interest in receivables generated under or in connection with the Counter-Party Agreement or is an EC or an Entity created under Texas Water Code (TWC) § 222.001, Creation, the algebraic sum of its current and future credit exposures, and (ii) for every other Counter-Party, the sum of its current credit exposure, if positive, and Future Credit Exposures (FCEs), if positive. </w:t>
      </w:r>
    </w:p>
    <w:p w:rsidR="00470790" w:rsidRDefault="00470790" w:rsidP="00470790">
      <w:pPr>
        <w:pStyle w:val="List"/>
      </w:pPr>
      <w:r>
        <w:t>(a)</w:t>
      </w:r>
      <w:r>
        <w:tab/>
        <w:t>Current credit exposure is calculated as the Initial Estimated Liability (IEL) or the greater of its Estimated Aggregate Liability (EAL), Aggregate Incremental Liability (AIL) or the sum of its EAL and AIL.  Current credit exposure includes the following:</w:t>
      </w:r>
    </w:p>
    <w:p w:rsidR="00470790" w:rsidRDefault="00470790" w:rsidP="00470790">
      <w:pPr>
        <w:pStyle w:val="List2"/>
      </w:pPr>
      <w:r>
        <w:t>(i)</w:t>
      </w:r>
      <w:r>
        <w:tab/>
        <w:t xml:space="preserve">Obligations as a result of the Adjustment Period operations and Real-Time operations, including emergency operations;  </w:t>
      </w:r>
    </w:p>
    <w:p w:rsidR="00470790" w:rsidRDefault="00470790" w:rsidP="00470790">
      <w:pPr>
        <w:pStyle w:val="List2"/>
      </w:pPr>
      <w:r>
        <w:t>(ii)</w:t>
      </w:r>
      <w:r>
        <w:tab/>
        <w:t xml:space="preserve">Known obligations in the DAM; and </w:t>
      </w:r>
    </w:p>
    <w:p w:rsidR="00470790" w:rsidRDefault="00470790" w:rsidP="00470790">
      <w:pPr>
        <w:pStyle w:val="List2"/>
      </w:pPr>
      <w:r>
        <w:t>(iii)</w:t>
      </w:r>
      <w:r>
        <w:tab/>
        <w:t xml:space="preserve">CRR-related known obligations. </w:t>
      </w:r>
    </w:p>
    <w:p w:rsidR="00470790" w:rsidRDefault="00470790" w:rsidP="00470790">
      <w:pPr>
        <w:pStyle w:val="List"/>
      </w:pPr>
      <w:r>
        <w:t>(b)</w:t>
      </w:r>
      <w:r>
        <w:tab/>
        <w:t>FCE is calculated as the FCE that reflects the future mark-to-market value of CRRs registered in the name of the Counter-Party.</w:t>
      </w:r>
    </w:p>
    <w:p w:rsidR="00470790" w:rsidRDefault="00470790" w:rsidP="00470790">
      <w:pPr>
        <w:pStyle w:val="BodyTextNumbered"/>
      </w:pPr>
      <w:r>
        <w:t>(2)</w:t>
      </w:r>
      <w:r>
        <w:tab/>
        <w:t>For a Counter-Party that has granted ERCOT a first priority security interest in receivables generated under or in connection with the Counter-Party Agreement or is an EC or an Entity created under TWC § 222.001:</w:t>
      </w:r>
    </w:p>
    <w:p w:rsidR="00470790" w:rsidRDefault="00470790" w:rsidP="00470790">
      <w:pPr>
        <w:pStyle w:val="BodyText"/>
        <w:ind w:firstLine="720"/>
      </w:pPr>
      <w:r>
        <w:t xml:space="preserve">TPE = </w:t>
      </w:r>
      <w:r>
        <w:tab/>
      </w:r>
      <w:ins w:id="465" w:author="ERCOT" w:date="2011-03-29T13:37:00Z">
        <w:r>
          <w:t>Max [0, [</w:t>
        </w:r>
      </w:ins>
      <w:r w:rsidRPr="00B9523D">
        <w:t>Max [(IEL for the first 60 day</w:t>
      </w:r>
      <w:r>
        <w:t>s), EAL, AIL, (EAL+AIL)] + FCE</w:t>
      </w:r>
      <w:ins w:id="466" w:author="ERCOT" w:date="2011-03-29T13:37:00Z">
        <w:r>
          <w:t>]]</w:t>
        </w:r>
      </w:ins>
    </w:p>
    <w:p w:rsidR="00470790" w:rsidRDefault="00470790" w:rsidP="00470790">
      <w:pPr>
        <w:pStyle w:val="BodyText"/>
        <w:ind w:left="2160" w:hanging="1440"/>
      </w:pPr>
      <w:r>
        <w:lastRenderedPageBreak/>
        <w:t>For all other Counter-Parties:</w:t>
      </w:r>
    </w:p>
    <w:p w:rsidR="00470790" w:rsidRDefault="00470790" w:rsidP="00470790">
      <w:pPr>
        <w:pStyle w:val="BodyText"/>
        <w:tabs>
          <w:tab w:val="left" w:pos="1440"/>
        </w:tabs>
        <w:ind w:left="2160" w:hanging="1440"/>
      </w:pPr>
      <w:r>
        <w:t xml:space="preserve">TPE </w:t>
      </w:r>
      <w:r>
        <w:tab/>
        <w:t xml:space="preserve">= </w:t>
      </w:r>
      <w:r>
        <w:tab/>
        <w:t>Max [0, (IEL for the first 60 days), EAL, AIL, (EAL+AIL)] + Max [0, FCE]</w:t>
      </w:r>
    </w:p>
    <w:p w:rsidR="00470790" w:rsidRDefault="00470790" w:rsidP="00470790">
      <w:pPr>
        <w:pStyle w:val="BodyText"/>
        <w:numPr>
          <w:ilvl w:val="0"/>
          <w:numId w:val="24"/>
        </w:numPr>
        <w:tabs>
          <w:tab w:val="left" w:pos="720"/>
        </w:tabs>
        <w:ind w:left="720" w:hanging="720"/>
        <w:rPr>
          <w:ins w:id="467" w:author="ERCOT" w:date="2011-03-29T08:33:00Z"/>
        </w:rPr>
        <w:pPrChange w:id="468" w:author="ERCOT" w:date="2011-03-29T08:34:00Z">
          <w:pPr>
            <w:pStyle w:val="BodyText"/>
            <w:tabs>
              <w:tab w:val="left" w:pos="1440"/>
            </w:tabs>
            <w:ind w:left="2160" w:hanging="1440"/>
          </w:pPr>
        </w:pPrChange>
      </w:pPr>
      <w:ins w:id="469" w:author="ERCOT" w:date="2011-03-29T08:33:00Z">
        <w:r>
          <w:t>However, if a Counter-Party has a Credit Rating below BB or B</w:t>
        </w:r>
      </w:ins>
      <w:ins w:id="470" w:author="ERCOT" w:date="2011-03-29T13:26:00Z">
        <w:r>
          <w:t>a3</w:t>
        </w:r>
      </w:ins>
      <w:ins w:id="471" w:author="ERCOT" w:date="2011-03-29T08:33:00Z">
        <w:r>
          <w:t xml:space="preserve"> or an Equity to Asset Ratio of less than 10%, the following calculation will be used in place of the calculation in </w:t>
        </w:r>
      </w:ins>
      <w:ins w:id="472" w:author="ERCOT" w:date="2011-04-06T14:32:00Z">
        <w:r>
          <w:t xml:space="preserve">paragraph </w:t>
        </w:r>
      </w:ins>
      <w:ins w:id="473" w:author="ERCOT" w:date="2011-03-29T08:33:00Z">
        <w:r>
          <w:t>(2) above</w:t>
        </w:r>
      </w:ins>
    </w:p>
    <w:p w:rsidR="00470790" w:rsidRDefault="00470790" w:rsidP="00470790">
      <w:pPr>
        <w:pStyle w:val="BodyText"/>
        <w:ind w:left="1440" w:hanging="720"/>
        <w:rPr>
          <w:ins w:id="474" w:author="ERCOT" w:date="2011-03-29T08:33:00Z"/>
        </w:rPr>
      </w:pPr>
      <w:ins w:id="475" w:author="ERCOT" w:date="2011-04-06T14:33:00Z">
        <w:r>
          <w:t>(a)</w:t>
        </w:r>
        <w:r>
          <w:tab/>
        </w:r>
      </w:ins>
      <w:ins w:id="476" w:author="ERCOT" w:date="2011-03-29T08:33:00Z">
        <w:r>
          <w:t>If a Counter-Party has granted ERCOT a first priority security interest in receivables generated under or in connection with the Counter-Party Agreement or is an EC or an Entity created under TWC § 222.001:</w:t>
        </w:r>
      </w:ins>
    </w:p>
    <w:p w:rsidR="00470790" w:rsidDel="00494AAB" w:rsidRDefault="00470790" w:rsidP="00470790">
      <w:pPr>
        <w:pStyle w:val="BodyText"/>
        <w:tabs>
          <w:tab w:val="left" w:pos="1440"/>
        </w:tabs>
        <w:ind w:left="1080"/>
        <w:rPr>
          <w:del w:id="477" w:author="ERCOT" w:date="2011-04-06T14:33:00Z"/>
        </w:rPr>
      </w:pPr>
      <w:ins w:id="478" w:author="ERCOT" w:date="2011-03-29T08:33:00Z">
        <w:r>
          <w:t xml:space="preserve">TPE     = </w:t>
        </w:r>
        <w:r>
          <w:tab/>
          <w:t>Max [</w:t>
        </w:r>
        <w:r w:rsidRPr="00B9523D">
          <w:t>MCE, [Max [(IEL for the first 60 days), EAL, AIL, (EAL+AIL)] + FCE]]</w:t>
        </w:r>
      </w:ins>
    </w:p>
    <w:p w:rsidR="00470790" w:rsidRPr="00B9523D" w:rsidRDefault="00470790" w:rsidP="00470790">
      <w:pPr>
        <w:pStyle w:val="BodyText"/>
        <w:tabs>
          <w:tab w:val="left" w:pos="1440"/>
        </w:tabs>
        <w:ind w:left="1080"/>
        <w:rPr>
          <w:ins w:id="479" w:author="ERCOT" w:date="2011-04-06T14:33:00Z"/>
        </w:rPr>
      </w:pPr>
    </w:p>
    <w:p w:rsidR="00470790" w:rsidRDefault="00470790" w:rsidP="00470790">
      <w:pPr>
        <w:pStyle w:val="BodyText"/>
        <w:tabs>
          <w:tab w:val="left" w:pos="1440"/>
        </w:tabs>
        <w:ind w:left="1440" w:hanging="720"/>
        <w:rPr>
          <w:ins w:id="480" w:author="ERCOT" w:date="2011-03-29T08:33:00Z"/>
        </w:rPr>
      </w:pPr>
      <w:ins w:id="481" w:author="ERCOT" w:date="2011-04-06T14:33:00Z">
        <w:r>
          <w:t>(b)</w:t>
        </w:r>
        <w:r>
          <w:tab/>
        </w:r>
      </w:ins>
      <w:ins w:id="482" w:author="ERCOT" w:date="2011-03-29T08:33:00Z">
        <w:r w:rsidRPr="00B9523D">
          <w:t xml:space="preserve">Otherwise: </w:t>
        </w:r>
      </w:ins>
    </w:p>
    <w:p w:rsidR="00470790" w:rsidRDefault="00470790" w:rsidP="00470790">
      <w:pPr>
        <w:pStyle w:val="BodyText"/>
        <w:tabs>
          <w:tab w:val="left" w:pos="1440"/>
        </w:tabs>
        <w:ind w:left="2160" w:hanging="1440"/>
        <w:rPr>
          <w:ins w:id="483" w:author="ERCOT" w:date="2011-03-29T08:33:00Z"/>
        </w:rPr>
      </w:pPr>
      <w:ins w:id="484" w:author="ERCOT" w:date="2011-03-29T08:33:00Z">
        <w:r w:rsidRPr="00B9523D">
          <w:t xml:space="preserve">       TPE </w:t>
        </w:r>
        <w:r w:rsidRPr="00B9523D">
          <w:tab/>
          <w:t xml:space="preserve">= </w:t>
        </w:r>
        <w:r w:rsidRPr="00B9523D">
          <w:tab/>
          <w:t>Max [MCE, [Max [0, (IEL for the first 60 days), EAL, AIL, (EAL+AIL)] + Max [0, FCE]]]</w:t>
        </w:r>
      </w:ins>
    </w:p>
    <w:p w:rsidR="00470790" w:rsidRDefault="00470790" w:rsidP="00470790">
      <w:pPr>
        <w:pStyle w:val="BodyText"/>
        <w:tabs>
          <w:tab w:val="left" w:pos="1440"/>
        </w:tabs>
        <w:rPr>
          <w:ins w:id="485" w:author="ERCOT" w:date="2011-03-29T08:33:00Z"/>
        </w:rPr>
      </w:pPr>
    </w:p>
    <w:p w:rsidR="00470790" w:rsidRDefault="00470790" w:rsidP="00470790">
      <w:pPr>
        <w:pStyle w:val="BodyTextNumbered"/>
        <w:rPr>
          <w:ins w:id="486" w:author="ERCOT" w:date="2011-03-29T08:33:00Z"/>
        </w:rPr>
        <w:pPrChange w:id="487" w:author="ERCOT" w:date="2011-03-28T13:39:00Z">
          <w:pPr>
            <w:pStyle w:val="List"/>
          </w:pPr>
        </w:pPrChange>
      </w:pPr>
      <w:ins w:id="488" w:author="ERCOT" w:date="2011-03-29T08:33:00Z">
        <w:r>
          <w:t>(4)</w:t>
        </w:r>
        <w:r>
          <w:tab/>
          <w:t xml:space="preserve">For a Counter-Party, ERCOT shall calculate the </w:t>
        </w:r>
      </w:ins>
      <w:ins w:id="489" w:author="PRS 042111" w:date="2011-04-21T14:49:00Z">
        <w:r>
          <w:t>Minimum Current Exposure (</w:t>
        </w:r>
      </w:ins>
      <w:ins w:id="490" w:author="ERCOT" w:date="2011-03-29T08:33:00Z">
        <w:r>
          <w:t>MCE</w:t>
        </w:r>
      </w:ins>
      <w:ins w:id="491" w:author="PRS 042111" w:date="2011-04-21T14:49:00Z">
        <w:r>
          <w:t>)</w:t>
        </w:r>
      </w:ins>
      <w:ins w:id="492" w:author="ERCOT" w:date="2011-03-29T08:33:00Z">
        <w:r>
          <w:t xml:space="preserve"> using the following formula: </w:t>
        </w:r>
      </w:ins>
    </w:p>
    <w:p w:rsidR="00470790" w:rsidRDefault="00470790" w:rsidP="00470790">
      <w:pPr>
        <w:pStyle w:val="List"/>
        <w:ind w:firstLine="0"/>
        <w:rPr>
          <w:ins w:id="493" w:author="ERCOT" w:date="2011-03-29T08:33:00Z"/>
          <w:b/>
          <w:lang w:val="es-ES"/>
        </w:rPr>
        <w:pPrChange w:id="494" w:author="ERCOT" w:date="2011-03-28T13:39:00Z">
          <w:pPr>
            <w:pStyle w:val="List"/>
          </w:pPr>
        </w:pPrChange>
      </w:pPr>
      <w:ins w:id="495" w:author="ERCOT" w:date="2011-03-29T08:33:00Z">
        <w:r>
          <w:rPr>
            <w:b/>
            <w:lang w:val="es-ES"/>
          </w:rPr>
          <w:t>MCE = OUT + PUL + RTLO + MRTFL * md + FCE</w:t>
        </w:r>
      </w:ins>
    </w:p>
    <w:p w:rsidR="00470790" w:rsidRDefault="00470790" w:rsidP="00470790">
      <w:pPr>
        <w:pStyle w:val="BodyTextIndent"/>
        <w:spacing w:after="0"/>
        <w:ind w:left="0"/>
        <w:rPr>
          <w:ins w:id="496" w:author="ERCOT" w:date="2011-03-29T08:33:00Z"/>
          <w:iCs w:val="0"/>
        </w:rPr>
      </w:pPr>
      <w:ins w:id="497" w:author="ERCOT" w:date="2011-03-29T08:33:00Z">
        <w:r>
          <w:rPr>
            <w:iCs w:val="0"/>
          </w:rPr>
          <w:t>The above variables are defined as follows: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574"/>
        <w:gridCol w:w="839"/>
        <w:gridCol w:w="6588"/>
      </w:tblGrid>
      <w:tr w:rsidR="00470790" w:rsidTr="002560C8">
        <w:trPr>
          <w:ins w:id="498" w:author="ERCOT" w:date="2011-03-29T08:33:00Z"/>
        </w:trPr>
        <w:tc>
          <w:tcPr>
            <w:tcW w:w="1574" w:type="dxa"/>
          </w:tcPr>
          <w:p w:rsidR="00470790" w:rsidRDefault="00470790" w:rsidP="002560C8">
            <w:pPr>
              <w:pStyle w:val="TableHead"/>
              <w:rPr>
                <w:ins w:id="499" w:author="ERCOT" w:date="2011-03-29T08:33:00Z"/>
              </w:rPr>
            </w:pPr>
            <w:ins w:id="500" w:author="ERCOT" w:date="2011-03-29T08:33:00Z">
              <w:r>
                <w:t>Variable</w:t>
              </w:r>
            </w:ins>
          </w:p>
        </w:tc>
        <w:tc>
          <w:tcPr>
            <w:tcW w:w="839" w:type="dxa"/>
          </w:tcPr>
          <w:p w:rsidR="00470790" w:rsidRDefault="00470790" w:rsidP="002560C8">
            <w:pPr>
              <w:pStyle w:val="TableHead"/>
              <w:jc w:val="center"/>
              <w:rPr>
                <w:ins w:id="501" w:author="ERCOT" w:date="2011-03-29T08:33:00Z"/>
              </w:rPr>
            </w:pPr>
            <w:ins w:id="502" w:author="ERCOT" w:date="2011-03-29T08:33:00Z">
              <w:r>
                <w:t>Unit</w:t>
              </w:r>
            </w:ins>
          </w:p>
        </w:tc>
        <w:tc>
          <w:tcPr>
            <w:tcW w:w="6588" w:type="dxa"/>
          </w:tcPr>
          <w:p w:rsidR="00470790" w:rsidRDefault="00470790" w:rsidP="002560C8">
            <w:pPr>
              <w:pStyle w:val="TableHead"/>
              <w:rPr>
                <w:ins w:id="503" w:author="ERCOT" w:date="2011-03-29T08:33:00Z"/>
              </w:rPr>
            </w:pPr>
            <w:ins w:id="504" w:author="ERCOT" w:date="2011-03-29T08:33:00Z">
              <w:r>
                <w:t>Description</w:t>
              </w:r>
            </w:ins>
          </w:p>
        </w:tc>
      </w:tr>
      <w:tr w:rsidR="00470790" w:rsidTr="002560C8">
        <w:trPr>
          <w:ins w:id="505" w:author="ERCOT" w:date="2011-03-29T08:33:00Z"/>
        </w:trPr>
        <w:tc>
          <w:tcPr>
            <w:tcW w:w="1574" w:type="dxa"/>
          </w:tcPr>
          <w:p w:rsidR="00470790" w:rsidRDefault="00470790" w:rsidP="002560C8">
            <w:pPr>
              <w:pStyle w:val="TableBody"/>
              <w:rPr>
                <w:ins w:id="506" w:author="ERCOT" w:date="2011-03-29T08:33:00Z"/>
              </w:rPr>
            </w:pPr>
            <w:ins w:id="507" w:author="ERCOT" w:date="2011-03-29T08:33:00Z">
              <w:r>
                <w:t>OUT</w:t>
              </w:r>
            </w:ins>
          </w:p>
        </w:tc>
        <w:tc>
          <w:tcPr>
            <w:tcW w:w="839" w:type="dxa"/>
          </w:tcPr>
          <w:p w:rsidR="00470790" w:rsidRDefault="00470790" w:rsidP="002560C8">
            <w:pPr>
              <w:pStyle w:val="TableBody"/>
              <w:rPr>
                <w:ins w:id="508" w:author="ERCOT" w:date="2011-03-29T08:33:00Z"/>
              </w:rPr>
            </w:pPr>
            <w:ins w:id="509" w:author="ERCOT" w:date="2011-03-29T08:33:00Z">
              <w:r>
                <w:t>$</w:t>
              </w:r>
            </w:ins>
          </w:p>
        </w:tc>
        <w:tc>
          <w:tcPr>
            <w:tcW w:w="6588" w:type="dxa"/>
          </w:tcPr>
          <w:p w:rsidR="00470790" w:rsidRDefault="00470790" w:rsidP="002560C8">
            <w:pPr>
              <w:pStyle w:val="TableBody"/>
              <w:rPr>
                <w:ins w:id="510" w:author="ERCOT" w:date="2011-03-29T08:33:00Z"/>
              </w:rPr>
            </w:pPr>
            <w:ins w:id="511" w:author="ERCOT" w:date="2011-03-29T08:33:00Z">
              <w:r w:rsidRPr="00B67540">
                <w:rPr>
                  <w:i/>
                </w:rPr>
                <w:t>Outstanding Unpaid Transactions</w:t>
              </w:r>
              <w:r>
                <w:t xml:space="preserve">—Outstanding, unpaid transactions of the Counter-Party, which include (1) outstanding Invoices to the Counter-Party, including Invoices for DAM activity and CRR Auction activity,  (2) estimated unbilled items to the Counter-Party, to the extent not adequately accommodated in the ADTE calculation (including resettlements and other known liabilities), and (3) estimated CRR Auction revenue available for distribution for the next two months, to the extent not invoiced to the Counter-Party.  Invoices will not be considered outstanding for purposes of this calculation the Business Day after that Invoice payment is received. </w:t>
              </w:r>
            </w:ins>
          </w:p>
        </w:tc>
      </w:tr>
      <w:tr w:rsidR="00470790" w:rsidTr="002560C8">
        <w:trPr>
          <w:ins w:id="512" w:author="ERCOT" w:date="2011-03-29T08:33:00Z"/>
        </w:trPr>
        <w:tc>
          <w:tcPr>
            <w:tcW w:w="1574" w:type="dxa"/>
          </w:tcPr>
          <w:p w:rsidR="00470790" w:rsidRDefault="00470790" w:rsidP="002560C8">
            <w:pPr>
              <w:pStyle w:val="TableBody"/>
              <w:rPr>
                <w:ins w:id="513" w:author="ERCOT" w:date="2011-03-29T08:33:00Z"/>
              </w:rPr>
            </w:pPr>
            <w:ins w:id="514" w:author="ERCOT" w:date="2011-03-29T08:33:00Z">
              <w:r>
                <w:t>PUL</w:t>
              </w:r>
            </w:ins>
          </w:p>
        </w:tc>
        <w:tc>
          <w:tcPr>
            <w:tcW w:w="839" w:type="dxa"/>
          </w:tcPr>
          <w:p w:rsidR="00470790" w:rsidRDefault="00470790" w:rsidP="002560C8">
            <w:pPr>
              <w:pStyle w:val="TableBody"/>
              <w:rPr>
                <w:ins w:id="515" w:author="ERCOT" w:date="2011-03-29T08:33:00Z"/>
              </w:rPr>
            </w:pPr>
            <w:ins w:id="516" w:author="ERCOT" w:date="2011-03-29T08:33:00Z">
              <w:r>
                <w:t>$</w:t>
              </w:r>
            </w:ins>
          </w:p>
        </w:tc>
        <w:tc>
          <w:tcPr>
            <w:tcW w:w="6588" w:type="dxa"/>
          </w:tcPr>
          <w:p w:rsidR="00470790" w:rsidRDefault="00470790" w:rsidP="002560C8">
            <w:pPr>
              <w:pStyle w:val="TableBody"/>
              <w:rPr>
                <w:ins w:id="517" w:author="ERCOT" w:date="2011-03-29T08:33:00Z"/>
              </w:rPr>
            </w:pPr>
            <w:ins w:id="518" w:author="ERCOT" w:date="2011-03-29T08:33:00Z">
              <w:r w:rsidRPr="00B67540">
                <w:rPr>
                  <w:i/>
                </w:rPr>
                <w:t>Potential Uplift</w:t>
              </w:r>
              <w:r>
                <w:t>—Potential uplift to the Counter-Party, to the extent and in the proportion that the Counter-Party represents Entities to which an uplift of a short payment will be made pursuant to Section 9.19, Partial Payments by Invoice Recipients.  It is calculated as the sum of:</w:t>
              </w:r>
            </w:ins>
          </w:p>
          <w:p w:rsidR="00470790" w:rsidRPr="00B67540" w:rsidRDefault="00470790" w:rsidP="002560C8">
            <w:pPr>
              <w:pStyle w:val="List3"/>
              <w:tabs>
                <w:tab w:val="left" w:pos="1800"/>
              </w:tabs>
              <w:ind w:left="252" w:hanging="252"/>
              <w:rPr>
                <w:ins w:id="519" w:author="ERCOT" w:date="2011-03-29T08:33:00Z"/>
                <w:iCs/>
                <w:sz w:val="20"/>
              </w:rPr>
            </w:pPr>
            <w:ins w:id="520" w:author="ERCOT" w:date="2011-03-29T08:33:00Z">
              <w:r w:rsidRPr="00B67540">
                <w:rPr>
                  <w:iCs/>
                  <w:sz w:val="20"/>
                </w:rPr>
                <w:t>(a) Amounts expected to be uplifted within one year of the date of the calculation; and</w:t>
              </w:r>
            </w:ins>
          </w:p>
          <w:p w:rsidR="00470790" w:rsidRDefault="00470790" w:rsidP="002560C8">
            <w:pPr>
              <w:pStyle w:val="TableBody"/>
              <w:rPr>
                <w:ins w:id="521" w:author="ERCOT" w:date="2011-03-29T08:33:00Z"/>
              </w:rPr>
            </w:pPr>
            <w:ins w:id="522" w:author="ERCOT" w:date="2011-03-29T08:33:00Z">
              <w:r w:rsidRPr="00B67540">
                <w:t xml:space="preserve">(b) 25%, or such other percentage based on available statistics regarding payment default under bankruptcy reorganization plans, of any short payment </w:t>
              </w:r>
              <w:r w:rsidRPr="00B67540">
                <w:lastRenderedPageBreak/>
                <w:t xml:space="preserve">amounts being repaid to ERCOT under a bankruptcy reorganization plan that are due more than one year from the date of the calculation. </w:t>
              </w:r>
            </w:ins>
          </w:p>
        </w:tc>
      </w:tr>
      <w:tr w:rsidR="00470790" w:rsidTr="002560C8">
        <w:trPr>
          <w:ins w:id="523" w:author="ERCOT" w:date="2011-03-29T08:33:00Z"/>
        </w:trPr>
        <w:tc>
          <w:tcPr>
            <w:tcW w:w="1574" w:type="dxa"/>
          </w:tcPr>
          <w:p w:rsidR="00470790" w:rsidRDefault="00470790" w:rsidP="002560C8">
            <w:pPr>
              <w:pStyle w:val="TableBody"/>
              <w:rPr>
                <w:ins w:id="524" w:author="ERCOT" w:date="2011-03-29T08:33:00Z"/>
              </w:rPr>
            </w:pPr>
            <w:ins w:id="525" w:author="ERCOT" w:date="2011-03-29T08:33:00Z">
              <w:r>
                <w:lastRenderedPageBreak/>
                <w:t>RTLO</w:t>
              </w:r>
            </w:ins>
          </w:p>
        </w:tc>
        <w:tc>
          <w:tcPr>
            <w:tcW w:w="839" w:type="dxa"/>
          </w:tcPr>
          <w:p w:rsidR="00470790" w:rsidRDefault="00470790" w:rsidP="002560C8">
            <w:pPr>
              <w:pStyle w:val="TableBody"/>
              <w:rPr>
                <w:ins w:id="526" w:author="ERCOT" w:date="2011-03-29T08:33:00Z"/>
              </w:rPr>
            </w:pPr>
            <w:ins w:id="527" w:author="ERCOT" w:date="2011-03-29T08:33:00Z">
              <w:r w:rsidRPr="00B67540">
                <w:rPr>
                  <w:iCs w:val="0"/>
                </w:rPr>
                <w:t>$</w:t>
              </w:r>
            </w:ins>
          </w:p>
        </w:tc>
        <w:tc>
          <w:tcPr>
            <w:tcW w:w="6588" w:type="dxa"/>
          </w:tcPr>
          <w:p w:rsidR="00470790" w:rsidRPr="00B67540" w:rsidRDefault="00470790" w:rsidP="002560C8">
            <w:pPr>
              <w:pStyle w:val="BodyTextIndent"/>
              <w:tabs>
                <w:tab w:val="left" w:pos="1440"/>
                <w:tab w:val="left" w:pos="1800"/>
              </w:tabs>
              <w:ind w:left="0"/>
              <w:rPr>
                <w:ins w:id="528" w:author="ERCOT" w:date="2011-03-29T08:33:00Z"/>
                <w:iCs w:val="0"/>
                <w:sz w:val="20"/>
              </w:rPr>
            </w:pPr>
            <w:ins w:id="529" w:author="ERCOT" w:date="2011-03-29T08:33:00Z">
              <w:r w:rsidRPr="00B67540">
                <w:rPr>
                  <w:i/>
                  <w:iCs w:val="0"/>
                  <w:sz w:val="20"/>
                </w:rPr>
                <w:t>Real-Time Liabilit</w:t>
              </w:r>
              <w:r>
                <w:rPr>
                  <w:i/>
                  <w:iCs w:val="0"/>
                  <w:sz w:val="20"/>
                </w:rPr>
                <w:t>y Outstanding</w:t>
              </w:r>
              <w:r w:rsidRPr="00B67540">
                <w:rPr>
                  <w:iCs w:val="0"/>
                  <w:sz w:val="20"/>
                </w:rPr>
                <w:t>—The estimated or settled amounts due from or to ERCOT due to activities in the Real</w:t>
              </w:r>
              <w:r>
                <w:rPr>
                  <w:iCs w:val="0"/>
                  <w:sz w:val="20"/>
                </w:rPr>
                <w:t>-</w:t>
              </w:r>
              <w:r w:rsidRPr="00B67540">
                <w:rPr>
                  <w:iCs w:val="0"/>
                  <w:sz w:val="20"/>
                </w:rPr>
                <w:t>Time and Adjustment Period.  Real-Time Liability</w:t>
              </w:r>
              <w:r>
                <w:rPr>
                  <w:iCs w:val="0"/>
                  <w:sz w:val="20"/>
                </w:rPr>
                <w:t xml:space="preserve"> (RTL)</w:t>
              </w:r>
              <w:r w:rsidRPr="00B67540">
                <w:rPr>
                  <w:iCs w:val="0"/>
                  <w:sz w:val="20"/>
                </w:rPr>
                <w:t xml:space="preserve"> is the amounts for Load increased by amounts for awarded DAM energy offers, and Energy Trade sales and is decreased by amounts for awarded DAM Energy Bids, Energy Trade purchases, and estimated or settled amounts for generation. </w:t>
              </w:r>
              <w:r>
                <w:rPr>
                  <w:iCs w:val="0"/>
                  <w:sz w:val="20"/>
                </w:rPr>
                <w:t xml:space="preserve"> </w:t>
              </w:r>
              <w:r w:rsidRPr="00B67540">
                <w:rPr>
                  <w:iCs w:val="0"/>
                  <w:sz w:val="20"/>
                </w:rPr>
                <w:t xml:space="preserve">In addition </w:t>
              </w:r>
              <w:r>
                <w:rPr>
                  <w:iCs w:val="0"/>
                  <w:sz w:val="20"/>
                </w:rPr>
                <w:t>RTL</w:t>
              </w:r>
              <w:r w:rsidRPr="00B67540">
                <w:rPr>
                  <w:iCs w:val="0"/>
                  <w:sz w:val="20"/>
                </w:rPr>
                <w:t xml:space="preserve"> will be adjusted for CRRs settled in Real</w:t>
              </w:r>
              <w:r>
                <w:rPr>
                  <w:iCs w:val="0"/>
                  <w:sz w:val="20"/>
                </w:rPr>
                <w:t>-</w:t>
              </w:r>
              <w:r w:rsidRPr="00B67540">
                <w:rPr>
                  <w:iCs w:val="0"/>
                  <w:sz w:val="20"/>
                </w:rPr>
                <w:t xml:space="preserve">Time and for other amounts due to or from ERCOT by the Counter-Party.  </w:t>
              </w:r>
              <w:r>
                <w:rPr>
                  <w:iCs w:val="0"/>
                  <w:sz w:val="20"/>
                </w:rPr>
                <w:t>RTL</w:t>
              </w:r>
              <w:r w:rsidRPr="00B67540">
                <w:rPr>
                  <w:iCs w:val="0"/>
                  <w:sz w:val="20"/>
                </w:rPr>
                <w:t xml:space="preserve"> is determined over all Settlement Points and all Settlement Intervals over all relevant days, as follows: </w:t>
              </w:r>
            </w:ins>
          </w:p>
          <w:p w:rsidR="00470790" w:rsidRPr="00B67540" w:rsidRDefault="00470790" w:rsidP="002560C8">
            <w:pPr>
              <w:pStyle w:val="List3"/>
              <w:tabs>
                <w:tab w:val="left" w:pos="1800"/>
              </w:tabs>
              <w:ind w:left="299" w:hanging="299"/>
              <w:rPr>
                <w:ins w:id="530" w:author="ERCOT" w:date="2011-03-29T08:33:00Z"/>
                <w:iCs/>
                <w:sz w:val="20"/>
              </w:rPr>
            </w:pPr>
            <w:ins w:id="531" w:author="ERCOT" w:date="2011-03-29T08:33:00Z">
              <w:r w:rsidRPr="00B67540">
                <w:rPr>
                  <w:iCs/>
                  <w:sz w:val="20"/>
                </w:rPr>
                <w:t>(a) For each Operating Day that is completed and settled but for which no Invoice has been issued, ERCOT shall calculate RTL using Settlement Statement data;</w:t>
              </w:r>
              <w:r>
                <w:rPr>
                  <w:iCs/>
                  <w:sz w:val="20"/>
                </w:rPr>
                <w:t xml:space="preserve"> and</w:t>
              </w:r>
            </w:ins>
          </w:p>
          <w:p w:rsidR="00470790" w:rsidRDefault="00470790" w:rsidP="002560C8">
            <w:pPr>
              <w:pStyle w:val="List3"/>
              <w:tabs>
                <w:tab w:val="left" w:pos="720"/>
                <w:tab w:val="left" w:pos="1800"/>
                <w:tab w:val="left" w:pos="2340"/>
              </w:tabs>
              <w:ind w:left="299" w:hanging="299"/>
              <w:rPr>
                <w:ins w:id="532" w:author="ERCOT" w:date="2011-03-29T08:33:00Z"/>
              </w:rPr>
            </w:pPr>
            <w:ins w:id="533" w:author="ERCOT" w:date="2011-03-29T08:33:00Z">
              <w:r w:rsidRPr="00B67540">
                <w:rPr>
                  <w:iCs/>
                  <w:sz w:val="20"/>
                </w:rPr>
                <w:t>(b)</w:t>
              </w:r>
              <w:r w:rsidRPr="00B67540">
                <w:rPr>
                  <w:iCs/>
                  <w:sz w:val="20"/>
                </w:rPr>
                <w:tab/>
                <w:t>For each Operating Day that is completed but not settled or for which no Invoice has been issued, ERCOT shall calculate RTL as the higher of ERCOT’s estimate of the Counter-Party’s RTL for the day or the Counter-Party’s estimate of RTL for the day;</w:t>
              </w:r>
            </w:ins>
          </w:p>
        </w:tc>
      </w:tr>
      <w:tr w:rsidR="00470790" w:rsidTr="002560C8">
        <w:trPr>
          <w:ins w:id="534" w:author="ERCOT" w:date="2011-03-29T08:33:00Z"/>
        </w:trPr>
        <w:tc>
          <w:tcPr>
            <w:tcW w:w="1574" w:type="dxa"/>
          </w:tcPr>
          <w:p w:rsidR="00470790" w:rsidRDefault="00470790" w:rsidP="002560C8">
            <w:pPr>
              <w:pStyle w:val="TableBody"/>
              <w:rPr>
                <w:ins w:id="535" w:author="ERCOT" w:date="2011-03-29T08:33:00Z"/>
              </w:rPr>
            </w:pPr>
            <w:ins w:id="536" w:author="ERCOT" w:date="2011-03-29T08:33:00Z">
              <w:r>
                <w:t>MRTFL</w:t>
              </w:r>
            </w:ins>
          </w:p>
        </w:tc>
        <w:tc>
          <w:tcPr>
            <w:tcW w:w="839" w:type="dxa"/>
          </w:tcPr>
          <w:p w:rsidR="00470790" w:rsidRDefault="00470790" w:rsidP="002560C8">
            <w:pPr>
              <w:pStyle w:val="TableBody"/>
              <w:rPr>
                <w:ins w:id="537" w:author="ERCOT" w:date="2011-03-29T08:33:00Z"/>
              </w:rPr>
            </w:pPr>
            <w:ins w:id="538" w:author="ERCOT" w:date="2011-03-29T08:33:00Z">
              <w:r>
                <w:t>$</w:t>
              </w:r>
            </w:ins>
          </w:p>
        </w:tc>
        <w:tc>
          <w:tcPr>
            <w:tcW w:w="6588" w:type="dxa"/>
          </w:tcPr>
          <w:p w:rsidR="00470790" w:rsidRPr="00C24D19" w:rsidRDefault="00470790" w:rsidP="002560C8">
            <w:pPr>
              <w:pStyle w:val="TableBody"/>
              <w:rPr>
                <w:ins w:id="539" w:author="ERCOT" w:date="2011-03-29T08:33:00Z"/>
              </w:rPr>
            </w:pPr>
            <w:ins w:id="540" w:author="ERCOT" w:date="2011-03-29T08:33:00Z">
              <w:r w:rsidRPr="00C24D19">
                <w:rPr>
                  <w:i/>
                </w:rPr>
                <w:t xml:space="preserve">Minimum Real-Time Forward Liability </w:t>
              </w:r>
              <w:r w:rsidRPr="00C24D19">
                <w:rPr>
                  <w:color w:val="000000"/>
                </w:rPr>
                <w:sym w:font="Symbol" w:char="F0BE"/>
              </w:r>
              <w:r w:rsidRPr="00C24D19">
                <w:rPr>
                  <w:color w:val="000000"/>
                </w:rPr>
                <w:t xml:space="preserve">  The Counter-Party’s Minimum Real-Time Forward Liability shall be calculated as the Maximum of Daily Highest Real Time Imbalance Volume in most recent 30 days, Highest Real Time Load Volume in most recent 30 days, 20% of Highest Real Time Generation Volume in most recent 30 days; multiplied by </w:t>
              </w:r>
              <w:r w:rsidRPr="00EF07CA">
                <w:rPr>
                  <w:color w:val="000000"/>
                  <w:rPrChange w:id="541" w:author="ERCOT" w:date="2011-03-29T13:39:00Z">
                    <w:rPr>
                      <w:color w:val="000000"/>
                      <w:highlight w:val="yellow"/>
                    </w:rPr>
                  </w:rPrChange>
                </w:rPr>
                <w:t>120% of</w:t>
              </w:r>
              <w:r w:rsidRPr="00C24D19">
                <w:rPr>
                  <w:color w:val="000000"/>
                </w:rPr>
                <w:t xml:space="preserve"> the associated derived Average Price per Mwh. If Counter-Party has no Real Time Imbalance Volume, Real Time Load Volume or Real Time Generation Volume  in the most recent 30 days, then it is 0. </w:t>
              </w:r>
              <w:r w:rsidRPr="00EF07CA">
                <w:rPr>
                  <w:color w:val="000000"/>
                  <w:rPrChange w:id="542" w:author="ERCOT" w:date="2011-03-29T13:39:00Z">
                    <w:rPr>
                      <w:color w:val="000000"/>
                      <w:highlight w:val="yellow"/>
                    </w:rPr>
                  </w:rPrChange>
                </w:rPr>
                <w:t>ERCOT may review and set</w:t>
              </w:r>
            </w:ins>
            <w:ins w:id="543" w:author="ERCOT" w:date="2011-04-07T09:10:00Z">
              <w:r>
                <w:rPr>
                  <w:color w:val="000000"/>
                </w:rPr>
                <w:t xml:space="preserve"> </w:t>
              </w:r>
            </w:ins>
            <w:ins w:id="544" w:author="ERCOT" w:date="2011-03-29T08:33:00Z">
              <w:r w:rsidRPr="00EF07CA">
                <w:rPr>
                  <w:color w:val="000000"/>
                  <w:rPrChange w:id="545" w:author="ERCOT" w:date="2011-03-29T13:39:00Z">
                    <w:rPr>
                      <w:color w:val="000000"/>
                      <w:highlight w:val="yellow"/>
                    </w:rPr>
                  </w:rPrChange>
                </w:rPr>
                <w:t>limits for the derived average prices.</w:t>
              </w:r>
            </w:ins>
          </w:p>
        </w:tc>
      </w:tr>
      <w:tr w:rsidR="00470790" w:rsidTr="002560C8">
        <w:trPr>
          <w:ins w:id="546" w:author="ERCOT" w:date="2011-03-29T08:33:00Z"/>
        </w:trPr>
        <w:tc>
          <w:tcPr>
            <w:tcW w:w="1574" w:type="dxa"/>
          </w:tcPr>
          <w:p w:rsidR="00470790" w:rsidRDefault="00470790" w:rsidP="002560C8">
            <w:pPr>
              <w:pStyle w:val="TableBody"/>
              <w:rPr>
                <w:ins w:id="547" w:author="ERCOT" w:date="2011-03-29T08:33:00Z"/>
              </w:rPr>
            </w:pPr>
            <w:ins w:id="548" w:author="ERCOT" w:date="2011-03-29T08:33:00Z">
              <w:r>
                <w:t>md</w:t>
              </w:r>
            </w:ins>
          </w:p>
        </w:tc>
        <w:tc>
          <w:tcPr>
            <w:tcW w:w="839" w:type="dxa"/>
          </w:tcPr>
          <w:p w:rsidR="00470790" w:rsidRDefault="00470790" w:rsidP="002560C8">
            <w:pPr>
              <w:pStyle w:val="TableBody"/>
              <w:rPr>
                <w:ins w:id="549" w:author="ERCOT" w:date="2011-03-29T08:33:00Z"/>
              </w:rPr>
            </w:pPr>
            <w:ins w:id="550" w:author="ERCOT" w:date="2011-03-29T08:33:00Z">
              <w:r>
                <w:t>none</w:t>
              </w:r>
            </w:ins>
          </w:p>
        </w:tc>
        <w:tc>
          <w:tcPr>
            <w:tcW w:w="6588" w:type="dxa"/>
          </w:tcPr>
          <w:p w:rsidR="00470790" w:rsidRPr="00C24D19" w:rsidRDefault="00470790" w:rsidP="002560C8">
            <w:pPr>
              <w:pStyle w:val="TableBody"/>
              <w:rPr>
                <w:ins w:id="551" w:author="ERCOT" w:date="2011-03-29T08:33:00Z"/>
              </w:rPr>
            </w:pPr>
            <w:ins w:id="552" w:author="ERCOT" w:date="2011-03-29T08:33:00Z">
              <w:r w:rsidRPr="00C24D19">
                <w:t xml:space="preserve">Minimum Days for which Real Time Exposure should be covered. </w:t>
              </w:r>
              <w:r w:rsidRPr="00EF07CA">
                <w:rPr>
                  <w:rPrChange w:id="553" w:author="ERCOT" w:date="2011-03-29T13:39:00Z">
                    <w:rPr>
                      <w:highlight w:val="yellow"/>
                    </w:rPr>
                  </w:rPrChange>
                </w:rPr>
                <w:t>This value is currently 2 days.</w:t>
              </w:r>
            </w:ins>
          </w:p>
        </w:tc>
      </w:tr>
      <w:tr w:rsidR="00470790" w:rsidTr="002560C8">
        <w:trPr>
          <w:ins w:id="554" w:author="ERCOT" w:date="2011-03-29T08:33:00Z"/>
        </w:trPr>
        <w:tc>
          <w:tcPr>
            <w:tcW w:w="1574" w:type="dxa"/>
          </w:tcPr>
          <w:p w:rsidR="00470790" w:rsidRDefault="00470790" w:rsidP="002560C8">
            <w:pPr>
              <w:pStyle w:val="TableBody"/>
              <w:rPr>
                <w:ins w:id="555" w:author="ERCOT" w:date="2011-03-29T08:33:00Z"/>
              </w:rPr>
            </w:pPr>
            <w:ins w:id="556" w:author="ERCOT" w:date="2011-03-29T08:33:00Z">
              <w:r>
                <w:t>FCE</w:t>
              </w:r>
            </w:ins>
          </w:p>
        </w:tc>
        <w:tc>
          <w:tcPr>
            <w:tcW w:w="839" w:type="dxa"/>
          </w:tcPr>
          <w:p w:rsidR="00470790" w:rsidRDefault="00470790" w:rsidP="002560C8">
            <w:pPr>
              <w:pStyle w:val="TableBody"/>
              <w:rPr>
                <w:ins w:id="557" w:author="ERCOT" w:date="2011-03-29T08:33:00Z"/>
              </w:rPr>
            </w:pPr>
            <w:ins w:id="558" w:author="ERCOT" w:date="2011-03-29T08:33:00Z">
              <w:r>
                <w:t>$</w:t>
              </w:r>
            </w:ins>
          </w:p>
        </w:tc>
        <w:tc>
          <w:tcPr>
            <w:tcW w:w="6588" w:type="dxa"/>
          </w:tcPr>
          <w:p w:rsidR="00470790" w:rsidRPr="00C24D19" w:rsidRDefault="00470790" w:rsidP="002560C8">
            <w:pPr>
              <w:pStyle w:val="TableBody"/>
              <w:rPr>
                <w:ins w:id="559" w:author="ERCOT" w:date="2011-03-29T08:33:00Z"/>
              </w:rPr>
            </w:pPr>
            <w:ins w:id="560" w:author="ERCOT" w:date="2011-03-29T08:33:00Z">
              <w:r w:rsidRPr="00C24D19">
                <w:rPr>
                  <w:i/>
                </w:rPr>
                <w:t>Future Credit Exposure</w:t>
              </w:r>
              <w:r w:rsidRPr="00C24D19">
                <w:t>—Counter-Party FCE for all CRRs held by the Counter-Party as owner of record at ERCOT, for all Operating Days that have not yet occurred and for CRRs that have not settled.</w:t>
              </w:r>
            </w:ins>
          </w:p>
        </w:tc>
      </w:tr>
    </w:tbl>
    <w:p w:rsidR="00470790" w:rsidRDefault="00470790" w:rsidP="00470790">
      <w:pPr>
        <w:pStyle w:val="BodyTextNumbered"/>
        <w:rPr>
          <w:ins w:id="561" w:author="ERCOT" w:date="2011-03-29T08:33:00Z"/>
        </w:rPr>
      </w:pPr>
    </w:p>
    <w:p w:rsidR="00470790" w:rsidRDefault="00470790" w:rsidP="00470790">
      <w:pPr>
        <w:pStyle w:val="BodyTextNumbered"/>
        <w:rPr>
          <w:ins w:id="562" w:author="ERCOT" w:date="2011-03-29T08:33:00Z"/>
        </w:rPr>
      </w:pPr>
      <w:ins w:id="563" w:author="ERCOT" w:date="2011-03-29T08:33:00Z">
        <w:r>
          <w:t>(5</w:t>
        </w:r>
        <w:del w:id="564" w:author="ERCOT" w:date="2011-03-28T15:37:00Z">
          <w:r w:rsidDel="0037560E">
            <w:delText>4</w:delText>
          </w:r>
        </w:del>
        <w:r>
          <w:t>)</w:t>
        </w:r>
      </w:ins>
      <w:r>
        <w:t xml:space="preserve"> </w:t>
      </w:r>
      <w:r>
        <w:tab/>
        <w:t>If ERCOT, in its sole discretion, determines that the TPE for a Counter-Party calculated under paragraph (1) above does not adequately match the financial risk created by that Counter-Party’s activities under these Protocols, then ERCOT may set a different TPE for that Counter-Party.  ERCOT shall, to the extent practical, give to the Counter-Party the information used to determine that different TPE.  ERCOT shall provide written or electronic notice to the Counter-Party of the basis for ERCOT’s assessment of the Counter-Party’s financial risk and the resulting creditworthiness requirements.</w:t>
      </w:r>
    </w:p>
    <w:p w:rsidR="00470790" w:rsidRDefault="00470790" w:rsidP="00470790">
      <w:pPr>
        <w:pStyle w:val="BodyTextNumbered"/>
      </w:pPr>
      <w:ins w:id="565" w:author="ERCOT" w:date="2011-03-29T08:33:00Z">
        <w:r>
          <w:t>(6</w:t>
        </w:r>
        <w:del w:id="566" w:author="ERCOT" w:date="2011-03-28T13:39:00Z">
          <w:r w:rsidDel="00121B08">
            <w:delText>4</w:delText>
          </w:r>
        </w:del>
        <w:r>
          <w:t>)</w:t>
        </w:r>
      </w:ins>
      <w:r>
        <w:tab/>
        <w:t>ERCOT shall monitor and calculate each Counter-Party’s TPE daily.</w:t>
      </w:r>
    </w:p>
    <w:p w:rsidR="00470790" w:rsidRDefault="00470790" w:rsidP="00470790">
      <w:pPr>
        <w:pStyle w:val="H4"/>
      </w:pPr>
      <w:bookmarkStart w:id="567" w:name="_Toc283790679"/>
      <w:r>
        <w:t>16.11.4.3</w:t>
      </w:r>
      <w:r>
        <w:tab/>
        <w:t>Determination of Counter-Party Estimated Aggregate Liability</w:t>
      </w:r>
      <w:bookmarkEnd w:id="567"/>
    </w:p>
    <w:p w:rsidR="00470790" w:rsidRDefault="00470790" w:rsidP="00470790">
      <w:pPr>
        <w:pStyle w:val="BodyText"/>
      </w:pPr>
      <w:r>
        <w:t xml:space="preserve">After a Counter-Party receives its first Invoice, ERCOT shall monitor and calculate the Counter Party’s EAL based on the formula below.  </w:t>
      </w:r>
    </w:p>
    <w:p w:rsidR="00470790" w:rsidRDefault="00470790" w:rsidP="00470790">
      <w:pPr>
        <w:pStyle w:val="FormulaBold"/>
      </w:pPr>
      <w:r>
        <w:lastRenderedPageBreak/>
        <w:t xml:space="preserve">EAL </w:t>
      </w:r>
      <w:r>
        <w:tab/>
        <w:t xml:space="preserve">= </w:t>
      </w:r>
      <w:r>
        <w:tab/>
        <w:t xml:space="preserve">Max [IEL during the first 60-day period, Max (ADTE during the previous 60-day period)] </w:t>
      </w:r>
      <w:r>
        <w:br/>
        <w:t xml:space="preserve">+ OUT + PUL + DALE </w:t>
      </w:r>
    </w:p>
    <w:p w:rsidR="00470790" w:rsidRDefault="00470790" w:rsidP="00470790">
      <w:pPr>
        <w:pStyle w:val="BodyTextIndent"/>
        <w:spacing w:after="0"/>
        <w:ind w:left="0"/>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503"/>
        <w:gridCol w:w="886"/>
        <w:gridCol w:w="6701"/>
      </w:tblGrid>
      <w:tr w:rsidR="00470790" w:rsidTr="002560C8">
        <w:trPr>
          <w:trHeight w:val="351"/>
          <w:tblHeader/>
        </w:trPr>
        <w:tc>
          <w:tcPr>
            <w:tcW w:w="1503" w:type="dxa"/>
          </w:tcPr>
          <w:p w:rsidR="00470790" w:rsidRDefault="00470790" w:rsidP="002560C8">
            <w:pPr>
              <w:pStyle w:val="TableHead"/>
            </w:pPr>
            <w:r>
              <w:t>Variable</w:t>
            </w:r>
          </w:p>
        </w:tc>
        <w:tc>
          <w:tcPr>
            <w:tcW w:w="886" w:type="dxa"/>
          </w:tcPr>
          <w:p w:rsidR="00470790" w:rsidRDefault="00470790" w:rsidP="002560C8">
            <w:pPr>
              <w:pStyle w:val="TableHead"/>
            </w:pPr>
            <w:r>
              <w:t>Unit</w:t>
            </w:r>
          </w:p>
        </w:tc>
        <w:tc>
          <w:tcPr>
            <w:tcW w:w="6701" w:type="dxa"/>
          </w:tcPr>
          <w:p w:rsidR="00470790" w:rsidRDefault="00470790" w:rsidP="002560C8">
            <w:pPr>
              <w:pStyle w:val="TableHead"/>
            </w:pPr>
            <w:r>
              <w:t>Description</w:t>
            </w:r>
          </w:p>
        </w:tc>
      </w:tr>
      <w:tr w:rsidR="00470790" w:rsidTr="002560C8">
        <w:trPr>
          <w:trHeight w:val="519"/>
        </w:trPr>
        <w:tc>
          <w:tcPr>
            <w:tcW w:w="1503" w:type="dxa"/>
          </w:tcPr>
          <w:p w:rsidR="00470790" w:rsidRDefault="00470790" w:rsidP="002560C8">
            <w:pPr>
              <w:pStyle w:val="TableBody"/>
            </w:pPr>
            <w:r>
              <w:t>EAL</w:t>
            </w:r>
          </w:p>
        </w:tc>
        <w:tc>
          <w:tcPr>
            <w:tcW w:w="886" w:type="dxa"/>
          </w:tcPr>
          <w:p w:rsidR="00470790" w:rsidRDefault="00470790" w:rsidP="002560C8">
            <w:pPr>
              <w:pStyle w:val="TableBody"/>
            </w:pPr>
            <w:r>
              <w:t>$</w:t>
            </w:r>
          </w:p>
        </w:tc>
        <w:tc>
          <w:tcPr>
            <w:tcW w:w="6701" w:type="dxa"/>
          </w:tcPr>
          <w:p w:rsidR="00470790" w:rsidRDefault="00470790" w:rsidP="002560C8">
            <w:pPr>
              <w:pStyle w:val="TableBody"/>
            </w:pPr>
            <w:r w:rsidRPr="00B67540">
              <w:rPr>
                <w:i/>
              </w:rPr>
              <w:t>Estimated Aggregate Liability</w:t>
            </w:r>
            <w:r>
              <w:t>—EAL for the Counter-Party.</w:t>
            </w:r>
          </w:p>
        </w:tc>
      </w:tr>
      <w:tr w:rsidR="00470790" w:rsidTr="002560C8">
        <w:trPr>
          <w:trHeight w:val="91"/>
        </w:trPr>
        <w:tc>
          <w:tcPr>
            <w:tcW w:w="1503" w:type="dxa"/>
          </w:tcPr>
          <w:p w:rsidR="00470790" w:rsidRDefault="00470790" w:rsidP="002560C8">
            <w:pPr>
              <w:pStyle w:val="TableBody"/>
            </w:pPr>
            <w:r>
              <w:t>IEL</w:t>
            </w:r>
          </w:p>
        </w:tc>
        <w:tc>
          <w:tcPr>
            <w:tcW w:w="886" w:type="dxa"/>
          </w:tcPr>
          <w:p w:rsidR="00470790" w:rsidRDefault="00470790" w:rsidP="002560C8">
            <w:pPr>
              <w:pStyle w:val="TableBody"/>
            </w:pPr>
            <w:r>
              <w:t>$</w:t>
            </w:r>
          </w:p>
        </w:tc>
        <w:tc>
          <w:tcPr>
            <w:tcW w:w="6701" w:type="dxa"/>
          </w:tcPr>
          <w:p w:rsidR="00470790" w:rsidRDefault="00470790" w:rsidP="002560C8">
            <w:pPr>
              <w:pStyle w:val="TableBody"/>
            </w:pPr>
            <w:r w:rsidRPr="00B67540">
              <w:rPr>
                <w:i/>
              </w:rPr>
              <w:t>Initial Estimated Liability</w:t>
            </w:r>
            <w:r>
              <w:t>—IEL (as defined in Section 16.11.4.2, Determination of Counter-Party Initial Estimated Liability) for the Counter-Party.</w:t>
            </w:r>
          </w:p>
        </w:tc>
      </w:tr>
      <w:tr w:rsidR="00470790" w:rsidTr="002560C8">
        <w:trPr>
          <w:trHeight w:val="593"/>
        </w:trPr>
        <w:tc>
          <w:tcPr>
            <w:tcW w:w="1503" w:type="dxa"/>
          </w:tcPr>
          <w:p w:rsidR="00470790" w:rsidRDefault="00470790" w:rsidP="002560C8">
            <w:pPr>
              <w:pStyle w:val="TableBody"/>
            </w:pPr>
            <w:r>
              <w:t>ADTE</w:t>
            </w:r>
          </w:p>
        </w:tc>
        <w:tc>
          <w:tcPr>
            <w:tcW w:w="886" w:type="dxa"/>
          </w:tcPr>
          <w:p w:rsidR="00470790" w:rsidRDefault="00470790" w:rsidP="002560C8">
            <w:pPr>
              <w:pStyle w:val="TableBody"/>
            </w:pPr>
            <w:r>
              <w:t>$</w:t>
            </w:r>
          </w:p>
        </w:tc>
        <w:tc>
          <w:tcPr>
            <w:tcW w:w="6701" w:type="dxa"/>
          </w:tcPr>
          <w:p w:rsidR="00470790" w:rsidRDefault="00470790" w:rsidP="002560C8">
            <w:pPr>
              <w:pStyle w:val="TableBody"/>
            </w:pPr>
            <w:r w:rsidRPr="00B67540">
              <w:rPr>
                <w:i/>
              </w:rPr>
              <w:t xml:space="preserve">Average Daily Transaction </w:t>
            </w:r>
            <w:r w:rsidRPr="00C24D19">
              <w:rPr>
                <w:i/>
              </w:rPr>
              <w:t>Extrapolated</w:t>
            </w:r>
            <w:r w:rsidRPr="00C24D19">
              <w:t>—</w:t>
            </w:r>
            <w:del w:id="568" w:author="ERCOT" w:date="2011-03-08T12:11:00Z">
              <w:r w:rsidRPr="00C24D19">
                <w:delText>40</w:delText>
              </w:r>
            </w:del>
            <w:ins w:id="569" w:author="ERCOT" w:date="2011-03-08T18:09:00Z">
              <w:r w:rsidRPr="00EF07CA">
                <w:rPr>
                  <w:rPrChange w:id="570" w:author="ERCOT" w:date="2011-03-29T13:45:00Z">
                    <w:rPr>
                      <w:highlight w:val="yellow"/>
                    </w:rPr>
                  </w:rPrChange>
                </w:rPr>
                <w:t>3</w:t>
              </w:r>
            </w:ins>
            <w:ins w:id="571" w:author="ERCOT" w:date="2011-03-29T13:44:00Z">
              <w:r w:rsidRPr="00EF07CA">
                <w:rPr>
                  <w:rPrChange w:id="572" w:author="ERCOT" w:date="2011-03-29T13:45:00Z">
                    <w:rPr>
                      <w:highlight w:val="yellow"/>
                    </w:rPr>
                  </w:rPrChange>
                </w:rPr>
                <w:t>5</w:t>
              </w:r>
            </w:ins>
            <w:r w:rsidRPr="00C24D19">
              <w:t xml:space="preserve"> days multiplied</w:t>
            </w:r>
            <w:r>
              <w:t xml:space="preserve"> by the sum of the net amount due from or to ERCOT by the Counter-Party in </w:t>
            </w:r>
            <w:ins w:id="573" w:author="ERCOT" w:date="2011-03-08T16:23:00Z">
              <w:r>
                <w:t xml:space="preserve">Real-Time </w:t>
              </w:r>
            </w:ins>
            <w:r>
              <w:t>Initial Settlement Statements</w:t>
            </w:r>
            <w:ins w:id="574" w:author="ERCOT" w:date="2011-03-08T16:23:00Z">
              <w:r>
                <w:t xml:space="preserve"> generated in the </w:t>
              </w:r>
            </w:ins>
            <w:ins w:id="575" w:author="ERCOT" w:date="2011-03-08T18:15:00Z">
              <w:r>
                <w:t xml:space="preserve">14 </w:t>
              </w:r>
            </w:ins>
            <w:ins w:id="576" w:author="ERCOT" w:date="2011-03-08T16:23:00Z">
              <w:r>
                <w:t xml:space="preserve">most recent calendar </w:t>
              </w:r>
            </w:ins>
            <w:ins w:id="577" w:author="ERCOT" w:date="2011-03-08T16:27:00Z">
              <w:r>
                <w:t xml:space="preserve">days </w:t>
              </w:r>
            </w:ins>
            <w:del w:id="578" w:author="ERCOT" w:date="2011-03-08T16:24:00Z">
              <w:r w:rsidDel="00F0423E">
                <w:delText xml:space="preserve"> included in the Counter-Party’s two most recent Real-Time Settlement Invoices </w:delText>
              </w:r>
            </w:del>
            <w:r>
              <w:t xml:space="preserve">divided by the number of </w:t>
            </w:r>
            <w:ins w:id="579" w:author="ERCOT" w:date="2011-03-08T16:25:00Z">
              <w:r>
                <w:t xml:space="preserve">Real-Time </w:t>
              </w:r>
            </w:ins>
            <w:r>
              <w:t>Initial Settlement Statement</w:t>
            </w:r>
            <w:ins w:id="580" w:author="ERCOT" w:date="2011-03-08T16:25:00Z">
              <w:r>
                <w:t xml:space="preserve">s generated </w:t>
              </w:r>
            </w:ins>
            <w:ins w:id="581" w:author="ERCOT" w:date="2011-03-08T18:12:00Z">
              <w:r>
                <w:t xml:space="preserve">for the Counter-Party </w:t>
              </w:r>
            </w:ins>
            <w:ins w:id="582" w:author="ERCOT" w:date="2011-03-08T16:25:00Z">
              <w:r>
                <w:t>in t</w:t>
              </w:r>
            </w:ins>
            <w:ins w:id="583" w:author="ERCOT" w:date="2011-03-08T16:26:00Z">
              <w:r>
                <w:t>h</w:t>
              </w:r>
            </w:ins>
            <w:ins w:id="584" w:author="ERCOT" w:date="2011-03-08T16:25:00Z">
              <w:r>
                <w:t xml:space="preserve">e </w:t>
              </w:r>
            </w:ins>
            <w:ins w:id="585" w:author="ERCOT" w:date="2011-03-08T18:16:00Z">
              <w:r>
                <w:t xml:space="preserve">14 </w:t>
              </w:r>
            </w:ins>
            <w:ins w:id="586" w:author="ERCOT" w:date="2011-03-08T16:25:00Z">
              <w:r>
                <w:t>most recent calendar days.</w:t>
              </w:r>
            </w:ins>
            <w:del w:id="587" w:author="ERCOT" w:date="2011-03-08T16:26:00Z">
              <w:r w:rsidDel="00F0423E">
                <w:delText>s included in those two Settlement Invoices</w:delText>
              </w:r>
            </w:del>
            <w:del w:id="588" w:author="ERCOT" w:date="2011-04-06T14:36:00Z">
              <w:r w:rsidDel="00EC030E">
                <w:delText xml:space="preserve">. </w:delText>
              </w:r>
            </w:del>
            <w:r>
              <w:t xml:space="preserve"> </w:t>
            </w:r>
            <w:ins w:id="589" w:author="ERCOT" w:date="2011-04-06T14:36:00Z">
              <w:r>
                <w:t xml:space="preserve"> </w:t>
              </w:r>
            </w:ins>
            <w:r>
              <w:t>Forward extrapolation for the Counter-Party’s CRR Account Holder activity is excluded from this calculation.</w:t>
            </w:r>
          </w:p>
        </w:tc>
      </w:tr>
      <w:tr w:rsidR="00470790" w:rsidTr="002560C8">
        <w:trPr>
          <w:trHeight w:val="350"/>
        </w:trPr>
        <w:tc>
          <w:tcPr>
            <w:tcW w:w="1503" w:type="dxa"/>
          </w:tcPr>
          <w:p w:rsidR="00470790" w:rsidRDefault="00470790" w:rsidP="002560C8">
            <w:pPr>
              <w:pStyle w:val="TableBody"/>
            </w:pPr>
            <w:r>
              <w:t>OUT</w:t>
            </w:r>
          </w:p>
        </w:tc>
        <w:tc>
          <w:tcPr>
            <w:tcW w:w="886" w:type="dxa"/>
          </w:tcPr>
          <w:p w:rsidR="00470790" w:rsidRDefault="00470790" w:rsidP="002560C8">
            <w:pPr>
              <w:pStyle w:val="TableBody"/>
            </w:pPr>
            <w:r>
              <w:t>$</w:t>
            </w:r>
          </w:p>
        </w:tc>
        <w:tc>
          <w:tcPr>
            <w:tcW w:w="6701" w:type="dxa"/>
          </w:tcPr>
          <w:p w:rsidR="00470790" w:rsidRDefault="00470790" w:rsidP="002560C8">
            <w:pPr>
              <w:pStyle w:val="TableBody"/>
            </w:pPr>
            <w:r w:rsidRPr="00B67540">
              <w:rPr>
                <w:i/>
              </w:rPr>
              <w:t>Outstanding Unpaid Transactions</w:t>
            </w:r>
            <w:r>
              <w:t xml:space="preserve">—Outstanding, </w:t>
            </w:r>
            <w:r w:rsidRPr="001A2F1F">
              <w:t>unpaid transactions of the Counter-Party, which include (</w:t>
            </w:r>
            <w:ins w:id="590" w:author="ERCOT" w:date="2011-04-06T14:38:00Z">
              <w:r>
                <w:t>a</w:t>
              </w:r>
            </w:ins>
            <w:del w:id="591" w:author="ERCOT" w:date="2011-04-06T14:38:00Z">
              <w:r w:rsidRPr="001A2F1F" w:rsidDel="00EC030E">
                <w:delText>1</w:delText>
              </w:r>
            </w:del>
            <w:r w:rsidRPr="001A2F1F">
              <w:t>) outstanding Invoices to the Counter-Party</w:t>
            </w:r>
            <w:del w:id="592" w:author="ERCOT" w:date="2011-03-08T13:13:00Z">
              <w:r>
                <w:delText>, including Invoices for DAM activity and CRR Auction activity</w:delText>
              </w:r>
            </w:del>
            <w:ins w:id="593" w:author="ERCOT" w:date="2011-04-06T14:36:00Z">
              <w:r>
                <w:t>;</w:t>
              </w:r>
            </w:ins>
            <w:del w:id="594" w:author="ERCOT" w:date="2011-04-06T14:36:00Z">
              <w:r w:rsidDel="00EC030E">
                <w:delText xml:space="preserve">, </w:delText>
              </w:r>
            </w:del>
            <w:del w:id="595" w:author="ERCOT" w:date="2011-03-28T13:37:00Z">
              <w:r w:rsidDel="00121B08">
                <w:delText>and</w:delText>
              </w:r>
            </w:del>
            <w:r>
              <w:t xml:space="preserve"> (</w:t>
            </w:r>
            <w:ins w:id="596" w:author="ERCOT" w:date="2011-04-06T14:38:00Z">
              <w:r>
                <w:t>b</w:t>
              </w:r>
            </w:ins>
            <w:del w:id="597" w:author="ERCOT" w:date="2011-04-06T14:38:00Z">
              <w:r w:rsidDel="00EC030E">
                <w:delText>2</w:delText>
              </w:r>
            </w:del>
            <w:r>
              <w:t>) estimated unbilled items to the Counter-Party, to the extent not adequately accommodated in the ADTE calculation (including resettlements and other known liabilities)</w:t>
            </w:r>
            <w:ins w:id="598" w:author="ERCOT" w:date="2011-04-06T14:37:00Z">
              <w:r>
                <w:t>;</w:t>
              </w:r>
            </w:ins>
            <w:ins w:id="599" w:author="ERCOT" w:date="2011-03-28T13:37:00Z">
              <w:del w:id="600" w:author="ERCOT" w:date="2011-04-06T14:36:00Z">
                <w:r w:rsidDel="00EC030E">
                  <w:delText>,</w:delText>
                </w:r>
              </w:del>
              <w:r>
                <w:t xml:space="preserve"> and (</w:t>
              </w:r>
            </w:ins>
            <w:ins w:id="601" w:author="ERCOT" w:date="2011-04-06T14:38:00Z">
              <w:r>
                <w:t>c</w:t>
              </w:r>
            </w:ins>
            <w:ins w:id="602" w:author="ERCOT" w:date="2011-03-28T13:37:00Z">
              <w:r>
                <w:t>) estimated CRR Auction revenue available for distribution for the next two months, to the extent not invoiced to the Counter-Party</w:t>
              </w:r>
            </w:ins>
            <w:r>
              <w:t>.  Invoices will not be considered outstanding for purposes of this calculation the Business Day after that Invoice payment is received.</w:t>
            </w:r>
          </w:p>
        </w:tc>
      </w:tr>
      <w:tr w:rsidR="00470790" w:rsidTr="002560C8">
        <w:tblPrEx>
          <w:tblLook w:val="01E0"/>
        </w:tblPrEx>
        <w:trPr>
          <w:trHeight w:val="260"/>
        </w:trPr>
        <w:tc>
          <w:tcPr>
            <w:tcW w:w="1503" w:type="dxa"/>
          </w:tcPr>
          <w:p w:rsidR="00470790" w:rsidRDefault="00470790" w:rsidP="002560C8">
            <w:pPr>
              <w:pStyle w:val="TableBody"/>
            </w:pPr>
            <w:r>
              <w:t>PUL</w:t>
            </w:r>
          </w:p>
        </w:tc>
        <w:tc>
          <w:tcPr>
            <w:tcW w:w="886" w:type="dxa"/>
          </w:tcPr>
          <w:p w:rsidR="00470790" w:rsidRDefault="00470790" w:rsidP="002560C8">
            <w:pPr>
              <w:pStyle w:val="TableBody"/>
            </w:pPr>
            <w:r>
              <w:t>$</w:t>
            </w:r>
          </w:p>
        </w:tc>
        <w:tc>
          <w:tcPr>
            <w:tcW w:w="6701" w:type="dxa"/>
          </w:tcPr>
          <w:p w:rsidR="00470790" w:rsidDel="00EC030E" w:rsidRDefault="00470790" w:rsidP="002560C8">
            <w:pPr>
              <w:pStyle w:val="TableBody"/>
              <w:rPr>
                <w:del w:id="603" w:author="ERCOT" w:date="2011-04-06T14:37:00Z"/>
              </w:rPr>
            </w:pPr>
            <w:r w:rsidRPr="00B67540">
              <w:rPr>
                <w:i/>
              </w:rPr>
              <w:t>Potential Uplift</w:t>
            </w:r>
            <w:r>
              <w:t>—Potential uplift to the Counter-Party, to the extent and in the proportion that the Counter-Party represents Entities to which an uplift of a short payment will be made pursuant to Section 9.19, Partial Payments by Invoice Recipients.  It is calculated as the sum of:</w:t>
            </w:r>
            <w:ins w:id="604" w:author="ERCOT" w:date="2011-04-06T14:37:00Z">
              <w:r>
                <w:t xml:space="preserve"> </w:t>
              </w:r>
            </w:ins>
          </w:p>
          <w:p w:rsidR="00470790" w:rsidRDefault="00470790" w:rsidP="002560C8">
            <w:pPr>
              <w:pStyle w:val="TableBody"/>
              <w:rPr>
                <w:del w:id="605" w:author="ERCOT" w:date="2011-04-06T14:37:00Z"/>
              </w:rPr>
              <w:pPrChange w:id="606" w:author="ERCOT" w:date="2011-04-06T14:37:00Z">
                <w:pPr>
                  <w:pStyle w:val="List3"/>
                  <w:tabs>
                    <w:tab w:val="left" w:pos="1800"/>
                  </w:tabs>
                  <w:ind w:left="252" w:hanging="252"/>
                </w:pPr>
              </w:pPrChange>
            </w:pPr>
            <w:r w:rsidRPr="00B67540">
              <w:t>(a) Amounts expected to be uplifted within one year of the date of the calculation; and</w:t>
            </w:r>
            <w:ins w:id="607" w:author="ERCOT" w:date="2011-04-06T14:37:00Z">
              <w:r>
                <w:t xml:space="preserve"> </w:t>
              </w:r>
            </w:ins>
          </w:p>
          <w:p w:rsidR="00470790" w:rsidRDefault="00470790" w:rsidP="002560C8">
            <w:pPr>
              <w:pStyle w:val="TableBody"/>
              <w:pPrChange w:id="608" w:author="ERCOT" w:date="2011-04-06T14:37:00Z">
                <w:pPr>
                  <w:pStyle w:val="List3"/>
                  <w:tabs>
                    <w:tab w:val="left" w:pos="1800"/>
                  </w:tabs>
                  <w:spacing w:after="0"/>
                  <w:ind w:left="252" w:hanging="252"/>
                </w:pPr>
              </w:pPrChange>
            </w:pPr>
            <w:r w:rsidRPr="00B67540">
              <w:t xml:space="preserve">(b)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470790" w:rsidTr="002560C8">
        <w:tblPrEx>
          <w:tblLook w:val="01E0"/>
        </w:tblPrEx>
        <w:trPr>
          <w:trHeight w:val="350"/>
        </w:trPr>
        <w:tc>
          <w:tcPr>
            <w:tcW w:w="0" w:type="auto"/>
          </w:tcPr>
          <w:p w:rsidR="00470790" w:rsidRDefault="00470790" w:rsidP="002560C8">
            <w:pPr>
              <w:pStyle w:val="TableBody"/>
            </w:pPr>
            <w:r>
              <w:t>DALE</w:t>
            </w:r>
          </w:p>
        </w:tc>
        <w:tc>
          <w:tcPr>
            <w:tcW w:w="886" w:type="dxa"/>
          </w:tcPr>
          <w:p w:rsidR="00470790" w:rsidRDefault="00470790" w:rsidP="002560C8">
            <w:pPr>
              <w:pStyle w:val="TableBody"/>
            </w:pPr>
            <w:r>
              <w:t>$</w:t>
            </w:r>
          </w:p>
        </w:tc>
        <w:tc>
          <w:tcPr>
            <w:tcW w:w="6701" w:type="dxa"/>
          </w:tcPr>
          <w:p w:rsidR="00470790" w:rsidRDefault="00470790" w:rsidP="002560C8">
            <w:pPr>
              <w:pStyle w:val="TableBody"/>
            </w:pPr>
            <w:r w:rsidRPr="00B67540">
              <w:rPr>
                <w:i/>
              </w:rPr>
              <w:t>Average Daily Day Ahead Liability Extrapolated</w:t>
            </w:r>
            <w:r>
              <w:t>—16 days multiplied by the sum of the net amount due to or from ERCOT</w:t>
            </w:r>
            <w:ins w:id="609" w:author="ERCOT" w:date="2011-03-08T18:24:00Z">
              <w:r>
                <w:t xml:space="preserve"> by the Counter-Party</w:t>
              </w:r>
            </w:ins>
            <w:r>
              <w:t xml:space="preserve"> in the DAM Settlement Statements </w:t>
            </w:r>
            <w:ins w:id="610" w:author="ERCOT" w:date="2011-03-08T18:20:00Z">
              <w:r>
                <w:t xml:space="preserve">generated in the </w:t>
              </w:r>
            </w:ins>
            <w:ins w:id="611" w:author="ERCOT" w:date="2011-04-06T14:37:00Z">
              <w:r>
                <w:t>seven</w:t>
              </w:r>
            </w:ins>
            <w:ins w:id="612" w:author="ERCOT" w:date="2011-03-08T18:25:00Z">
              <w:r>
                <w:t xml:space="preserve"> </w:t>
              </w:r>
            </w:ins>
            <w:ins w:id="613" w:author="ERCOT" w:date="2011-03-08T18:20:00Z">
              <w:r>
                <w:t xml:space="preserve">most recent calendar days </w:t>
              </w:r>
            </w:ins>
            <w:r>
              <w:t xml:space="preserve">that includes </w:t>
            </w:r>
            <w:r w:rsidRPr="00B67540">
              <w:rPr>
                <w:iCs w:val="0"/>
              </w:rPr>
              <w:t xml:space="preserve">Ancillary Services and </w:t>
            </w:r>
            <w:r>
              <w:t xml:space="preserve">Point-to-Point (PTP) Obligations bought in the DAM </w:t>
            </w:r>
            <w:del w:id="614" w:author="ERCOT" w:date="2011-03-08T18:22:00Z">
              <w:r w:rsidDel="00B37794">
                <w:delText xml:space="preserve">included in the seven most recent DAM Settlement Invoices </w:delText>
              </w:r>
            </w:del>
            <w:r>
              <w:t xml:space="preserve">divided by the number of DAM Settlement Statements </w:t>
            </w:r>
            <w:ins w:id="615" w:author="ERCOT" w:date="2011-03-08T18:22:00Z">
              <w:r>
                <w:t>generated</w:t>
              </w:r>
            </w:ins>
            <w:ins w:id="616" w:author="ERCOT" w:date="2011-03-08T18:24:00Z">
              <w:r>
                <w:t xml:space="preserve"> for the Counter-Party in the </w:t>
              </w:r>
            </w:ins>
            <w:ins w:id="617" w:author="ERCOT" w:date="2011-04-06T14:37:00Z">
              <w:r>
                <w:t>seven</w:t>
              </w:r>
            </w:ins>
            <w:ins w:id="618" w:author="ERCOT" w:date="2011-04-06T21:02:00Z">
              <w:r>
                <w:t xml:space="preserve"> </w:t>
              </w:r>
            </w:ins>
            <w:ins w:id="619" w:author="ERCOT" w:date="2011-03-08T18:24:00Z">
              <w:r>
                <w:t>most recent calendar days</w:t>
              </w:r>
            </w:ins>
            <w:del w:id="620" w:author="ERCOT" w:date="2011-03-08T18:25:00Z">
              <w:r w:rsidDel="00B37794">
                <w:delText>included in those seven DAM Settlement Invoices</w:delText>
              </w:r>
            </w:del>
            <w:r>
              <w:t>.</w:t>
            </w:r>
            <w:r w:rsidRPr="00B67540">
              <w:rPr>
                <w:b/>
              </w:rPr>
              <w:t xml:space="preserve"> </w:t>
            </w:r>
            <w:r>
              <w:t xml:space="preserve"> Forward extrapolation for the Counter-Party’s CRR Account Holder activity is excluded from this calculation.</w:t>
            </w:r>
          </w:p>
        </w:tc>
      </w:tr>
    </w:tbl>
    <w:p w:rsidR="00470790" w:rsidRDefault="00470790" w:rsidP="00470790"/>
    <w:p w:rsidR="00470790" w:rsidRDefault="00470790" w:rsidP="00470790"/>
    <w:p w:rsidR="00470790" w:rsidRDefault="00470790" w:rsidP="00470790">
      <w:pPr>
        <w:pStyle w:val="H4"/>
      </w:pPr>
      <w:bookmarkStart w:id="621" w:name="_Toc283790680"/>
      <w:r>
        <w:lastRenderedPageBreak/>
        <w:t>16.11.4.4</w:t>
      </w:r>
      <w:r>
        <w:tab/>
        <w:t>Determination of Counter-Party Aggregate Incremental Liability</w:t>
      </w:r>
      <w:bookmarkEnd w:id="621"/>
      <w:r>
        <w:t xml:space="preserve"> </w:t>
      </w:r>
    </w:p>
    <w:p w:rsidR="00470790" w:rsidRDefault="00470790" w:rsidP="00470790">
      <w:pPr>
        <w:pStyle w:val="BodyText"/>
      </w:pPr>
      <w:r>
        <w:t>ERCOT shall monitor and calculate an AIL for each Counter-Party using the formula below:</w:t>
      </w:r>
    </w:p>
    <w:p w:rsidR="00470790" w:rsidRDefault="00470790" w:rsidP="00470790">
      <w:pPr>
        <w:pStyle w:val="FormulaBold"/>
        <w:rPr>
          <w:lang w:val="fr-FR"/>
        </w:rPr>
      </w:pPr>
      <w:r>
        <w:rPr>
          <w:lang w:val="fr-FR"/>
        </w:rPr>
        <w:t>AIL</w:t>
      </w:r>
      <w:r>
        <w:rPr>
          <w:lang w:val="fr-FR"/>
        </w:rPr>
        <w:tab/>
        <w:t>=</w:t>
      </w:r>
      <w:r>
        <w:rPr>
          <w:lang w:val="fr-FR"/>
        </w:rPr>
        <w:tab/>
      </w:r>
      <w:r w:rsidRPr="00FC1C5F">
        <w:rPr>
          <w:position w:val="-20"/>
        </w:rPr>
        <w:object w:dxaOrig="2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22.5pt" o:ole="">
            <v:imagedata r:id="rId11" o:title=""/>
          </v:shape>
          <o:OLEObject Type="Embed" ProgID="Equation.3" ShapeID="_x0000_i1025" DrawAspect="Content" ObjectID="_1365592396" r:id="rId12"/>
        </w:object>
      </w:r>
      <w:r>
        <w:rPr>
          <w:lang w:val="fr-FR"/>
        </w:rPr>
        <w:t xml:space="preserve"> (RTL </w:t>
      </w:r>
      <w:r>
        <w:rPr>
          <w:i/>
          <w:vertAlign w:val="subscript"/>
          <w:lang w:val="fr-FR"/>
        </w:rPr>
        <w:t>d</w:t>
      </w:r>
      <w:r>
        <w:rPr>
          <w:lang w:val="fr-FR"/>
        </w:rPr>
        <w:t xml:space="preserve">) – Max [0, (MAX (ADTE during previous 60-day period) / </w:t>
      </w:r>
      <w:del w:id="622" w:author="PRS 042111" w:date="2011-04-21T14:50:00Z">
        <w:r w:rsidDel="00EC5300">
          <w:rPr>
            <w:lang w:val="fr-FR"/>
          </w:rPr>
          <w:delText xml:space="preserve">40 </w:delText>
        </w:r>
      </w:del>
      <w:ins w:id="623" w:author="PRS 042111" w:date="2011-04-21T14:50:00Z">
        <w:r>
          <w:rPr>
            <w:lang w:val="fr-FR"/>
          </w:rPr>
          <w:t xml:space="preserve">35 </w:t>
        </w:r>
      </w:ins>
      <w:r>
        <w:t>*</w:t>
      </w:r>
      <w:r>
        <w:rPr>
          <w:lang w:val="fr-FR"/>
        </w:rPr>
        <w:t xml:space="preserve"> N </w:t>
      </w:r>
      <w:r>
        <w:t>*</w:t>
      </w:r>
      <w:r>
        <w:rPr>
          <w:lang w:val="fr-FR"/>
        </w:rPr>
        <w:t xml:space="preserve"> 0.9)]   </w:t>
      </w:r>
    </w:p>
    <w:p w:rsidR="00470790" w:rsidRDefault="00470790" w:rsidP="00470790">
      <w:pPr>
        <w:pStyle w:val="ListIntroduction"/>
        <w:spacing w:after="0"/>
      </w:pPr>
      <w:r>
        <w:t>The above variables are defined as follows:</w:t>
      </w:r>
    </w:p>
    <w:tbl>
      <w:tblPr>
        <w:tblW w:w="919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489"/>
        <w:gridCol w:w="941"/>
        <w:gridCol w:w="6768"/>
      </w:tblGrid>
      <w:tr w:rsidR="00470790" w:rsidTr="002560C8">
        <w:trPr>
          <w:trHeight w:val="351"/>
          <w:tblHeader/>
        </w:trPr>
        <w:tc>
          <w:tcPr>
            <w:tcW w:w="1489" w:type="dxa"/>
          </w:tcPr>
          <w:p w:rsidR="00470790" w:rsidRDefault="00470790" w:rsidP="002560C8">
            <w:pPr>
              <w:pStyle w:val="TableHead"/>
              <w:keepNext/>
            </w:pPr>
            <w:r>
              <w:t>Variable</w:t>
            </w:r>
          </w:p>
        </w:tc>
        <w:tc>
          <w:tcPr>
            <w:tcW w:w="941" w:type="dxa"/>
          </w:tcPr>
          <w:p w:rsidR="00470790" w:rsidRDefault="00470790" w:rsidP="002560C8">
            <w:pPr>
              <w:pStyle w:val="TableHead"/>
            </w:pPr>
            <w:r>
              <w:t>Unit</w:t>
            </w:r>
          </w:p>
        </w:tc>
        <w:tc>
          <w:tcPr>
            <w:tcW w:w="6768" w:type="dxa"/>
          </w:tcPr>
          <w:p w:rsidR="00470790" w:rsidRDefault="00470790" w:rsidP="002560C8">
            <w:pPr>
              <w:pStyle w:val="TableHead"/>
            </w:pPr>
            <w:r>
              <w:t>Description</w:t>
            </w:r>
          </w:p>
        </w:tc>
      </w:tr>
      <w:tr w:rsidR="00470790" w:rsidTr="002560C8">
        <w:trPr>
          <w:trHeight w:val="519"/>
        </w:trPr>
        <w:tc>
          <w:tcPr>
            <w:tcW w:w="1489" w:type="dxa"/>
          </w:tcPr>
          <w:p w:rsidR="00470790" w:rsidRDefault="00470790" w:rsidP="002560C8">
            <w:pPr>
              <w:pStyle w:val="TableBody"/>
            </w:pPr>
            <w:r>
              <w:t>AIL</w:t>
            </w:r>
          </w:p>
        </w:tc>
        <w:tc>
          <w:tcPr>
            <w:tcW w:w="941" w:type="dxa"/>
          </w:tcPr>
          <w:p w:rsidR="00470790" w:rsidRPr="00B67540" w:rsidRDefault="00470790" w:rsidP="002560C8">
            <w:pPr>
              <w:pStyle w:val="TableBody"/>
              <w:rPr>
                <w:iCs w:val="0"/>
              </w:rPr>
            </w:pPr>
            <w:r w:rsidRPr="00B67540">
              <w:rPr>
                <w:iCs w:val="0"/>
              </w:rPr>
              <w:t>$</w:t>
            </w:r>
          </w:p>
        </w:tc>
        <w:tc>
          <w:tcPr>
            <w:tcW w:w="6768" w:type="dxa"/>
          </w:tcPr>
          <w:p w:rsidR="00470790" w:rsidRDefault="00470790" w:rsidP="002560C8">
            <w:pPr>
              <w:pStyle w:val="TableBody"/>
            </w:pPr>
            <w:r w:rsidRPr="00B67540">
              <w:rPr>
                <w:i/>
                <w:iCs w:val="0"/>
              </w:rPr>
              <w:t>Aggregate Incremental Liability</w:t>
            </w:r>
            <w:r w:rsidRPr="00B67540">
              <w:rPr>
                <w:iCs w:val="0"/>
              </w:rPr>
              <w:t xml:space="preserve">—The amount by which the calculated incremental liability of the Counter-Party for all relevant days, N, exceeds the ADTE. </w:t>
            </w:r>
          </w:p>
        </w:tc>
      </w:tr>
      <w:tr w:rsidR="00470790" w:rsidTr="002560C8">
        <w:trPr>
          <w:trHeight w:val="91"/>
        </w:trPr>
        <w:tc>
          <w:tcPr>
            <w:tcW w:w="1489" w:type="dxa"/>
          </w:tcPr>
          <w:p w:rsidR="00470790" w:rsidRDefault="00470790" w:rsidP="002560C8">
            <w:pPr>
              <w:pStyle w:val="TableBody"/>
            </w:pPr>
            <w:r>
              <w:t>RTL</w:t>
            </w:r>
          </w:p>
        </w:tc>
        <w:tc>
          <w:tcPr>
            <w:tcW w:w="941" w:type="dxa"/>
          </w:tcPr>
          <w:p w:rsidR="00470790" w:rsidRPr="00B67540" w:rsidRDefault="00470790" w:rsidP="002560C8">
            <w:pPr>
              <w:pStyle w:val="BodyTextIndent"/>
              <w:tabs>
                <w:tab w:val="left" w:pos="1440"/>
                <w:tab w:val="left" w:pos="1800"/>
              </w:tabs>
              <w:ind w:left="0"/>
              <w:rPr>
                <w:iCs w:val="0"/>
                <w:sz w:val="20"/>
              </w:rPr>
            </w:pPr>
            <w:r w:rsidRPr="00B67540">
              <w:rPr>
                <w:iCs w:val="0"/>
                <w:sz w:val="20"/>
              </w:rPr>
              <w:t>$</w:t>
            </w:r>
          </w:p>
        </w:tc>
        <w:tc>
          <w:tcPr>
            <w:tcW w:w="6768" w:type="dxa"/>
          </w:tcPr>
          <w:p w:rsidR="00470790" w:rsidRPr="00B67540" w:rsidRDefault="00470790" w:rsidP="002560C8">
            <w:pPr>
              <w:pStyle w:val="BodyTextIndent"/>
              <w:tabs>
                <w:tab w:val="left" w:pos="1440"/>
                <w:tab w:val="left" w:pos="1800"/>
              </w:tabs>
              <w:ind w:left="0"/>
              <w:rPr>
                <w:iCs w:val="0"/>
                <w:sz w:val="20"/>
              </w:rPr>
            </w:pPr>
            <w:r w:rsidRPr="00B67540">
              <w:rPr>
                <w:i/>
                <w:iCs w:val="0"/>
                <w:sz w:val="20"/>
              </w:rPr>
              <w:t>Real-Time Liability</w:t>
            </w:r>
            <w:r w:rsidRPr="00B67540">
              <w:rPr>
                <w:iCs w:val="0"/>
                <w:sz w:val="20"/>
              </w:rPr>
              <w:t>—The estimated or settled amounts due from or to ERCOT due to activities in the Real</w:t>
            </w:r>
            <w:r>
              <w:rPr>
                <w:iCs w:val="0"/>
                <w:sz w:val="20"/>
              </w:rPr>
              <w:t>-</w:t>
            </w:r>
            <w:r w:rsidRPr="00B67540">
              <w:rPr>
                <w:iCs w:val="0"/>
                <w:sz w:val="20"/>
              </w:rPr>
              <w:t>Time and Adjustment Period.  Real-Time Liability</w:t>
            </w:r>
            <w:r>
              <w:rPr>
                <w:iCs w:val="0"/>
                <w:sz w:val="20"/>
              </w:rPr>
              <w:t xml:space="preserve"> (RTL)</w:t>
            </w:r>
            <w:r w:rsidRPr="00B67540">
              <w:rPr>
                <w:iCs w:val="0"/>
                <w:sz w:val="20"/>
              </w:rPr>
              <w:t xml:space="preserve"> is the amounts for Load increased by amounts for awarded DAM energy offers, and Energy Trade sales and is decreased by amounts for awarded DAM Energy Bids, Energy Trade purchases, and estimated or settled amounts for generation. </w:t>
            </w:r>
            <w:r>
              <w:rPr>
                <w:iCs w:val="0"/>
                <w:sz w:val="20"/>
              </w:rPr>
              <w:t xml:space="preserve"> </w:t>
            </w:r>
            <w:r w:rsidRPr="00B67540">
              <w:rPr>
                <w:iCs w:val="0"/>
                <w:sz w:val="20"/>
              </w:rPr>
              <w:t xml:space="preserve">In addition </w:t>
            </w:r>
            <w:r>
              <w:rPr>
                <w:iCs w:val="0"/>
                <w:sz w:val="20"/>
              </w:rPr>
              <w:t>RTL</w:t>
            </w:r>
            <w:r w:rsidRPr="00B67540">
              <w:rPr>
                <w:iCs w:val="0"/>
                <w:sz w:val="20"/>
              </w:rPr>
              <w:t xml:space="preserve"> will be adjusted for CRRs settled in Real</w:t>
            </w:r>
            <w:r>
              <w:rPr>
                <w:iCs w:val="0"/>
                <w:sz w:val="20"/>
              </w:rPr>
              <w:t>-</w:t>
            </w:r>
            <w:r w:rsidRPr="00B67540">
              <w:rPr>
                <w:iCs w:val="0"/>
                <w:sz w:val="20"/>
              </w:rPr>
              <w:t xml:space="preserve">Time and for other amounts due to or from ERCOT by the Counter-Party.  </w:t>
            </w:r>
            <w:r>
              <w:rPr>
                <w:iCs w:val="0"/>
                <w:sz w:val="20"/>
              </w:rPr>
              <w:t>RTL</w:t>
            </w:r>
            <w:r w:rsidRPr="00B67540">
              <w:rPr>
                <w:iCs w:val="0"/>
                <w:sz w:val="20"/>
              </w:rPr>
              <w:t xml:space="preserve"> is determined over all Settlement Points and all Settlement Intervals over all relevant days, as follows: </w:t>
            </w:r>
          </w:p>
          <w:p w:rsidR="00470790" w:rsidRPr="00B67540" w:rsidRDefault="00470790" w:rsidP="002560C8">
            <w:pPr>
              <w:pStyle w:val="List3"/>
              <w:tabs>
                <w:tab w:val="left" w:pos="1800"/>
              </w:tabs>
              <w:ind w:left="299" w:hanging="299"/>
              <w:rPr>
                <w:iCs/>
                <w:sz w:val="20"/>
              </w:rPr>
            </w:pPr>
            <w:r w:rsidRPr="00B67540">
              <w:rPr>
                <w:iCs/>
                <w:sz w:val="20"/>
              </w:rPr>
              <w:t>(a) For each Operating Day that is completed and settled but for which no Invoice has been issued, ERCOT shall calculate RTL using Settlement Statement data;</w:t>
            </w:r>
          </w:p>
          <w:p w:rsidR="00470790" w:rsidRPr="00B67540" w:rsidRDefault="00470790" w:rsidP="002560C8">
            <w:pPr>
              <w:pStyle w:val="List3"/>
              <w:tabs>
                <w:tab w:val="left" w:pos="720"/>
                <w:tab w:val="left" w:pos="1800"/>
                <w:tab w:val="left" w:pos="2340"/>
              </w:tabs>
              <w:ind w:left="299" w:hanging="299"/>
              <w:rPr>
                <w:iCs/>
                <w:sz w:val="20"/>
              </w:rPr>
            </w:pPr>
            <w:r w:rsidRPr="00B67540">
              <w:rPr>
                <w:iCs/>
                <w:sz w:val="20"/>
              </w:rPr>
              <w:t>(b)</w:t>
            </w:r>
            <w:r w:rsidRPr="00B67540">
              <w:rPr>
                <w:iCs/>
                <w:sz w:val="20"/>
              </w:rPr>
              <w:tab/>
              <w:t>For each Operating Day that is completed but not settled or for which no Invoice has been issued, ERCOT shall calculate RTL as the higher of ERCOT’s estimate of the Counter-Party’s RTL for the day or the Counter-Party’s estimate of RTL for the day; and</w:t>
            </w:r>
          </w:p>
          <w:p w:rsidR="00470790" w:rsidRPr="00B67540" w:rsidRDefault="00470790" w:rsidP="002560C8">
            <w:pPr>
              <w:pStyle w:val="TableBody"/>
              <w:ind w:left="299" w:hanging="299"/>
              <w:rPr>
                <w:b/>
              </w:rPr>
            </w:pPr>
            <w:r>
              <w:t>(c)</w:t>
            </w:r>
            <w:r>
              <w:tab/>
              <w:t>For seven Operating Days that are not yet completed, ERCOT shall calculate RTL as the higher of 150% of ERCOT’s estimate of the Counter-Party’s RTL for the most recent seven days or the Counter-Party’s forecast of RTL for the next seven days.</w:t>
            </w:r>
          </w:p>
        </w:tc>
      </w:tr>
      <w:tr w:rsidR="00470790" w:rsidTr="002560C8">
        <w:tblPrEx>
          <w:tblLook w:val="01E0"/>
        </w:tblPrEx>
        <w:trPr>
          <w:trHeight w:val="350"/>
        </w:trPr>
        <w:tc>
          <w:tcPr>
            <w:tcW w:w="1489" w:type="dxa"/>
          </w:tcPr>
          <w:p w:rsidR="00470790" w:rsidRDefault="00470790" w:rsidP="002560C8">
            <w:pPr>
              <w:pStyle w:val="TableBody"/>
            </w:pPr>
            <w:r>
              <w:t>ADTE</w:t>
            </w:r>
          </w:p>
        </w:tc>
        <w:tc>
          <w:tcPr>
            <w:tcW w:w="941" w:type="dxa"/>
          </w:tcPr>
          <w:p w:rsidR="00470790" w:rsidRDefault="00470790" w:rsidP="002560C8">
            <w:pPr>
              <w:pStyle w:val="TableBody"/>
            </w:pPr>
            <w:r>
              <w:t>$</w:t>
            </w:r>
          </w:p>
        </w:tc>
        <w:tc>
          <w:tcPr>
            <w:tcW w:w="6768" w:type="dxa"/>
          </w:tcPr>
          <w:p w:rsidR="00470790" w:rsidRDefault="00470790" w:rsidP="002560C8">
            <w:pPr>
              <w:pStyle w:val="TableBody"/>
            </w:pPr>
            <w:r w:rsidRPr="00B67540">
              <w:rPr>
                <w:i/>
              </w:rPr>
              <w:t xml:space="preserve">Average Daily Transaction </w:t>
            </w:r>
            <w:r w:rsidRPr="00C24D19">
              <w:rPr>
                <w:i/>
              </w:rPr>
              <w:t>Extrapolated</w:t>
            </w:r>
            <w:r w:rsidRPr="00C24D19">
              <w:t>—</w:t>
            </w:r>
            <w:del w:id="624" w:author="ERCOT" w:date="2011-03-08T12:11:00Z">
              <w:r w:rsidRPr="00C24D19">
                <w:delText>40</w:delText>
              </w:r>
            </w:del>
            <w:ins w:id="625" w:author="ERCOT" w:date="2011-03-08T18:09:00Z">
              <w:r w:rsidRPr="00EF07CA">
                <w:rPr>
                  <w:rPrChange w:id="626" w:author="ERCOT" w:date="2011-03-29T13:44:00Z">
                    <w:rPr>
                      <w:highlight w:val="yellow"/>
                    </w:rPr>
                  </w:rPrChange>
                </w:rPr>
                <w:t>3</w:t>
              </w:r>
            </w:ins>
            <w:ins w:id="627" w:author="ERCOT" w:date="2011-03-29T13:44:00Z">
              <w:r w:rsidRPr="00EF07CA">
                <w:rPr>
                  <w:rPrChange w:id="628" w:author="ERCOT" w:date="2011-03-29T13:44:00Z">
                    <w:rPr>
                      <w:highlight w:val="yellow"/>
                    </w:rPr>
                  </w:rPrChange>
                </w:rPr>
                <w:t>5</w:t>
              </w:r>
            </w:ins>
            <w:r w:rsidRPr="00C24D19">
              <w:t xml:space="preserve"> days</w:t>
            </w:r>
            <w:r>
              <w:t xml:space="preserve"> multiplied by the sum of the net amount due from or to ERCOT by the Counter-Party in </w:t>
            </w:r>
            <w:ins w:id="629" w:author="ERCOT" w:date="2011-03-08T16:23:00Z">
              <w:r>
                <w:t xml:space="preserve">Real-Time </w:t>
              </w:r>
            </w:ins>
            <w:r>
              <w:t>Initial Settlement Statements</w:t>
            </w:r>
            <w:ins w:id="630" w:author="ERCOT" w:date="2011-03-08T16:23:00Z">
              <w:r>
                <w:t xml:space="preserve"> generated in the </w:t>
              </w:r>
            </w:ins>
            <w:ins w:id="631" w:author="ERCOT" w:date="2011-03-08T18:15:00Z">
              <w:r>
                <w:t xml:space="preserve">14 </w:t>
              </w:r>
            </w:ins>
            <w:ins w:id="632" w:author="ERCOT" w:date="2011-03-08T16:23:00Z">
              <w:r>
                <w:t xml:space="preserve">most recent calendar </w:t>
              </w:r>
            </w:ins>
            <w:ins w:id="633" w:author="ERCOT" w:date="2011-03-08T16:27:00Z">
              <w:r>
                <w:t xml:space="preserve">days </w:t>
              </w:r>
            </w:ins>
            <w:del w:id="634" w:author="ERCOT" w:date="2011-03-08T16:24:00Z">
              <w:r w:rsidDel="00F0423E">
                <w:delText xml:space="preserve"> included in the Counter-Party’s two most recent Real-Time Settlement Invoices </w:delText>
              </w:r>
            </w:del>
            <w:r>
              <w:t xml:space="preserve">divided by the number of </w:t>
            </w:r>
            <w:ins w:id="635" w:author="ERCOT" w:date="2011-03-08T16:25:00Z">
              <w:r>
                <w:t xml:space="preserve">Real-Time </w:t>
              </w:r>
            </w:ins>
            <w:r>
              <w:t>Initial Settlement Statement</w:t>
            </w:r>
            <w:ins w:id="636" w:author="ERCOT" w:date="2011-03-08T16:25:00Z">
              <w:r>
                <w:t xml:space="preserve">s generated </w:t>
              </w:r>
            </w:ins>
            <w:ins w:id="637" w:author="ERCOT" w:date="2011-03-08T18:12:00Z">
              <w:r>
                <w:t xml:space="preserve">for the Counter-Party </w:t>
              </w:r>
            </w:ins>
            <w:ins w:id="638" w:author="ERCOT" w:date="2011-03-08T16:25:00Z">
              <w:r>
                <w:t>in t</w:t>
              </w:r>
            </w:ins>
            <w:ins w:id="639" w:author="ERCOT" w:date="2011-03-08T16:26:00Z">
              <w:r>
                <w:t>h</w:t>
              </w:r>
            </w:ins>
            <w:ins w:id="640" w:author="ERCOT" w:date="2011-03-08T16:25:00Z">
              <w:r>
                <w:t xml:space="preserve">e </w:t>
              </w:r>
            </w:ins>
            <w:ins w:id="641" w:author="ERCOT" w:date="2011-03-08T18:16:00Z">
              <w:r>
                <w:t xml:space="preserve">14 </w:t>
              </w:r>
            </w:ins>
            <w:ins w:id="642" w:author="ERCOT" w:date="2011-03-08T16:25:00Z">
              <w:r>
                <w:t>most recent calendar days.</w:t>
              </w:r>
            </w:ins>
            <w:del w:id="643" w:author="ERCOT" w:date="2011-03-08T16:26:00Z">
              <w:r w:rsidDel="00F0423E">
                <w:delText>s included in those two Settlement Invoices</w:delText>
              </w:r>
            </w:del>
            <w:r>
              <w:t>.  Forward extrapolation for the Counter-Party’s CRR Account Holder activity is excluded from this calculation.</w:t>
            </w:r>
          </w:p>
        </w:tc>
      </w:tr>
      <w:tr w:rsidR="00470790" w:rsidTr="002560C8">
        <w:tblPrEx>
          <w:tblLook w:val="01E0"/>
        </w:tblPrEx>
        <w:trPr>
          <w:trHeight w:val="350"/>
        </w:trPr>
        <w:tc>
          <w:tcPr>
            <w:tcW w:w="1489" w:type="dxa"/>
          </w:tcPr>
          <w:p w:rsidR="00470790" w:rsidRDefault="00470790" w:rsidP="002560C8">
            <w:pPr>
              <w:pStyle w:val="TableBody"/>
            </w:pPr>
            <w:r>
              <w:t>d</w:t>
            </w:r>
          </w:p>
        </w:tc>
        <w:tc>
          <w:tcPr>
            <w:tcW w:w="941" w:type="dxa"/>
          </w:tcPr>
          <w:p w:rsidR="00470790" w:rsidRDefault="00470790" w:rsidP="002560C8">
            <w:pPr>
              <w:pStyle w:val="TableBody"/>
            </w:pPr>
            <w:r>
              <w:t>none</w:t>
            </w:r>
          </w:p>
        </w:tc>
        <w:tc>
          <w:tcPr>
            <w:tcW w:w="6768" w:type="dxa"/>
          </w:tcPr>
          <w:p w:rsidR="00470790" w:rsidRPr="00B67540" w:rsidRDefault="00470790" w:rsidP="002560C8">
            <w:pPr>
              <w:pStyle w:val="TableBody"/>
              <w:rPr>
                <w:i/>
              </w:rPr>
            </w:pPr>
            <w:r>
              <w:t xml:space="preserve">One Operating Day in the period of relevant days. </w:t>
            </w:r>
          </w:p>
        </w:tc>
      </w:tr>
      <w:tr w:rsidR="00470790" w:rsidTr="002560C8">
        <w:tblPrEx>
          <w:tblLook w:val="01E0"/>
        </w:tblPrEx>
        <w:trPr>
          <w:trHeight w:val="260"/>
        </w:trPr>
        <w:tc>
          <w:tcPr>
            <w:tcW w:w="1489" w:type="dxa"/>
          </w:tcPr>
          <w:p w:rsidR="00470790" w:rsidRDefault="00470790" w:rsidP="002560C8">
            <w:pPr>
              <w:pStyle w:val="TableBody"/>
            </w:pPr>
            <w:r>
              <w:t>N</w:t>
            </w:r>
          </w:p>
        </w:tc>
        <w:tc>
          <w:tcPr>
            <w:tcW w:w="941" w:type="dxa"/>
          </w:tcPr>
          <w:p w:rsidR="00470790" w:rsidRDefault="00470790" w:rsidP="002560C8">
            <w:pPr>
              <w:pStyle w:val="TableBody"/>
            </w:pPr>
            <w:r>
              <w:t>none</w:t>
            </w:r>
          </w:p>
        </w:tc>
        <w:tc>
          <w:tcPr>
            <w:tcW w:w="6768" w:type="dxa"/>
          </w:tcPr>
          <w:p w:rsidR="00470790" w:rsidRDefault="00470790" w:rsidP="002560C8">
            <w:pPr>
              <w:pStyle w:val="TableBody"/>
            </w:pPr>
            <w:r>
              <w:t xml:space="preserve">All relevant days, i.e., the number of Operating Days that have not been invoiced plus seven future days. </w:t>
            </w:r>
          </w:p>
        </w:tc>
      </w:tr>
    </w:tbl>
    <w:p w:rsidR="00470790" w:rsidRDefault="00470790" w:rsidP="00470790"/>
    <w:p w:rsidR="00470790" w:rsidRDefault="00470790" w:rsidP="00470790">
      <w:pPr>
        <w:pStyle w:val="H4"/>
        <w:rPr>
          <w:szCs w:val="24"/>
        </w:rPr>
      </w:pPr>
      <w:bookmarkStart w:id="644" w:name="_Toc191443421"/>
      <w:bookmarkStart w:id="645" w:name="_Toc283790685"/>
      <w:r>
        <w:rPr>
          <w:szCs w:val="24"/>
        </w:rPr>
        <w:lastRenderedPageBreak/>
        <w:t>16.11.4.7</w:t>
      </w:r>
      <w:r>
        <w:rPr>
          <w:szCs w:val="24"/>
        </w:rPr>
        <w:tab/>
      </w:r>
      <w:bookmarkEnd w:id="644"/>
      <w:r>
        <w:rPr>
          <w:szCs w:val="24"/>
        </w:rPr>
        <w:t>Credit Monitoring and Management Reports</w:t>
      </w:r>
      <w:bookmarkEnd w:id="645"/>
    </w:p>
    <w:p w:rsidR="00470790" w:rsidRDefault="00470790" w:rsidP="00470790">
      <w:pPr>
        <w:autoSpaceDE w:val="0"/>
        <w:autoSpaceDN w:val="0"/>
        <w:adjustRightInd w:val="0"/>
        <w:spacing w:after="240"/>
        <w:ind w:left="720" w:hanging="720"/>
      </w:pPr>
      <w:r>
        <w:t>(1)</w:t>
      </w:r>
      <w:r>
        <w:tab/>
      </w:r>
      <w:r>
        <w:rPr>
          <w:color w:val="000000"/>
        </w:rPr>
        <w:t>ERCOT</w:t>
      </w:r>
      <w:r>
        <w:t xml:space="preserve"> shall post twice each Business Day on the MIS Certified Area each active Counter-Party’s credit monitoring and management related reports as listed below.  The first posting shall be made by 1200 and the second posting shall be made as close as </w:t>
      </w:r>
      <w:r w:rsidRPr="00C24D19">
        <w:t xml:space="preserve">reasonably possible to the close of the Business Day but no later than 2350.  </w:t>
      </w:r>
      <w:ins w:id="646" w:author="ERCOT" w:date="2011-03-29T13:31:00Z">
        <w:r w:rsidRPr="00EF07CA">
          <w:rPr>
            <w:rPrChange w:id="647" w:author="ERCOT" w:date="2011-03-29T13:45:00Z">
              <w:rPr>
                <w:highlight w:val="yellow"/>
              </w:rPr>
            </w:rPrChange>
          </w:rPr>
          <w:t>The report</w:t>
        </w:r>
      </w:ins>
      <w:ins w:id="648" w:author="ERCOT" w:date="2011-03-29T13:32:00Z">
        <w:r w:rsidRPr="00EF07CA">
          <w:rPr>
            <w:rPrChange w:id="649" w:author="ERCOT" w:date="2011-03-29T13:45:00Z">
              <w:rPr>
                <w:highlight w:val="yellow"/>
              </w:rPr>
            </w:rPrChange>
          </w:rPr>
          <w:t>s</w:t>
        </w:r>
      </w:ins>
      <w:ins w:id="650" w:author="ERCOT" w:date="2011-03-29T13:31:00Z">
        <w:r w:rsidRPr="00EF07CA">
          <w:rPr>
            <w:rPrChange w:id="651" w:author="ERCOT" w:date="2011-03-29T13:45:00Z">
              <w:rPr>
                <w:highlight w:val="yellow"/>
              </w:rPr>
            </w:rPrChange>
          </w:rPr>
          <w:t xml:space="preserve"> listed in (g), (h)</w:t>
        </w:r>
      </w:ins>
      <w:ins w:id="652" w:author="ERCOT" w:date="2011-03-29T13:32:00Z">
        <w:r w:rsidRPr="00EF07CA">
          <w:rPr>
            <w:rPrChange w:id="653" w:author="ERCOT" w:date="2011-03-29T13:45:00Z">
              <w:rPr>
                <w:highlight w:val="yellow"/>
              </w:rPr>
            </w:rPrChange>
          </w:rPr>
          <w:t>, and (i)</w:t>
        </w:r>
      </w:ins>
      <w:ins w:id="654" w:author="ERCOT" w:date="2011-04-06T14:38:00Z">
        <w:r>
          <w:t xml:space="preserve"> below,</w:t>
        </w:r>
      </w:ins>
      <w:ins w:id="655" w:author="ERCOT" w:date="2011-03-29T13:31:00Z">
        <w:r w:rsidRPr="00EF07CA">
          <w:rPr>
            <w:rPrChange w:id="656" w:author="ERCOT" w:date="2011-03-29T13:45:00Z">
              <w:rPr>
                <w:highlight w:val="yellow"/>
              </w:rPr>
            </w:rPrChange>
          </w:rPr>
          <w:t xml:space="preserve"> are not required to be </w:t>
        </w:r>
      </w:ins>
      <w:ins w:id="657" w:author="ERCOT" w:date="2011-03-29T13:32:00Z">
        <w:r w:rsidRPr="00EF07CA">
          <w:rPr>
            <w:rPrChange w:id="658" w:author="ERCOT" w:date="2011-03-29T13:45:00Z">
              <w:rPr>
                <w:highlight w:val="yellow"/>
              </w:rPr>
            </w:rPrChange>
          </w:rPr>
          <w:t xml:space="preserve">included in </w:t>
        </w:r>
      </w:ins>
      <w:ins w:id="659" w:author="ERCOT" w:date="2011-03-29T13:33:00Z">
        <w:r w:rsidRPr="00EF07CA">
          <w:rPr>
            <w:rPrChange w:id="660" w:author="ERCOT" w:date="2011-03-29T13:45:00Z">
              <w:rPr>
                <w:highlight w:val="yellow"/>
              </w:rPr>
            </w:rPrChange>
          </w:rPr>
          <w:t>both first and second posting</w:t>
        </w:r>
      </w:ins>
      <w:ins w:id="661" w:author="ERCOT" w:date="2011-03-29T13:31:00Z">
        <w:r w:rsidRPr="00EF07CA">
          <w:rPr>
            <w:rPrChange w:id="662" w:author="ERCOT" w:date="2011-03-29T13:45:00Z">
              <w:rPr>
                <w:highlight w:val="yellow"/>
              </w:rPr>
            </w:rPrChange>
          </w:rPr>
          <w:t xml:space="preserve"> if the Counter-Party has no active CRR ownership.</w:t>
        </w:r>
        <w:r w:rsidRPr="00C24D19">
          <w:t xml:space="preserve"> </w:t>
        </w:r>
      </w:ins>
      <w:ins w:id="663" w:author="ERCOT" w:date="2011-03-29T08:37:00Z">
        <w:r w:rsidRPr="00C24D19">
          <w:t xml:space="preserve">The reports listed in </w:t>
        </w:r>
      </w:ins>
      <w:ins w:id="664" w:author="ERCOT" w:date="2011-03-29T13:29:00Z">
        <w:r w:rsidRPr="00C24D19">
          <w:t>(c)</w:t>
        </w:r>
      </w:ins>
      <w:ins w:id="665" w:author="ERCOT" w:date="2011-03-29T13:30:00Z">
        <w:r w:rsidRPr="00C24D19">
          <w:t xml:space="preserve">, </w:t>
        </w:r>
      </w:ins>
      <w:ins w:id="666" w:author="ERCOT" w:date="2011-03-29T08:37:00Z">
        <w:r w:rsidRPr="00C24D19">
          <w:t>(d), (e), (f)</w:t>
        </w:r>
      </w:ins>
      <w:ins w:id="667" w:author="ERCOT" w:date="2011-03-29T13:34:00Z">
        <w:r w:rsidRPr="00C24D19">
          <w:t>, (g), (h)</w:t>
        </w:r>
      </w:ins>
      <w:ins w:id="668" w:author="ERCOT" w:date="2011-03-29T08:37:00Z">
        <w:r w:rsidRPr="00C24D19">
          <w:t xml:space="preserve"> and (</w:t>
        </w:r>
      </w:ins>
      <w:ins w:id="669" w:author="ERCOT" w:date="2011-03-29T13:34:00Z">
        <w:r w:rsidRPr="00C24D19">
          <w:t>i</w:t>
        </w:r>
      </w:ins>
      <w:ins w:id="670" w:author="ERCOT" w:date="2011-03-29T08:37:00Z">
        <w:r w:rsidRPr="00C24D19">
          <w:t xml:space="preserve">) below, are not required to be included in the second post if there are no changes to the underlying data.  </w:t>
        </w:r>
      </w:ins>
      <w:r w:rsidRPr="00C24D19">
        <w:t>ERCOT shall post one set of these reports on the MIS Certified Area on each non-Business Day</w:t>
      </w:r>
      <w:r>
        <w:t xml:space="preserve"> for which an ACL is sent.</w:t>
      </w:r>
    </w:p>
    <w:p w:rsidR="00470790" w:rsidRDefault="00470790" w:rsidP="00470790">
      <w:pPr>
        <w:pStyle w:val="BodyText"/>
        <w:ind w:left="1440" w:hanging="720"/>
      </w:pPr>
      <w:r>
        <w:rPr>
          <w:bCs/>
        </w:rPr>
        <w:t>(a)</w:t>
      </w:r>
      <w:r>
        <w:rPr>
          <w:bCs/>
        </w:rPr>
        <w:tab/>
        <w:t>Available Credit Limit (ACL) Summary Report;</w:t>
      </w:r>
    </w:p>
    <w:p w:rsidR="00470790" w:rsidRDefault="00470790" w:rsidP="00470790">
      <w:pPr>
        <w:pStyle w:val="BodyText"/>
        <w:ind w:left="1440" w:hanging="720"/>
        <w:rPr>
          <w:ins w:id="671" w:author="ERCOT" w:date="2011-03-29T13:28:00Z"/>
          <w:bCs/>
        </w:rPr>
      </w:pPr>
      <w:r>
        <w:t>(b)</w:t>
      </w:r>
      <w:r>
        <w:tab/>
        <w:t>Total</w:t>
      </w:r>
      <w:r>
        <w:rPr>
          <w:bCs/>
        </w:rPr>
        <w:t xml:space="preserve"> Potential Exposure (TPE) Summary Report;</w:t>
      </w:r>
    </w:p>
    <w:p w:rsidR="00470790" w:rsidDel="00EC030E" w:rsidRDefault="00470790" w:rsidP="00470790">
      <w:pPr>
        <w:pStyle w:val="BodyText"/>
        <w:ind w:left="1440" w:hanging="720"/>
        <w:rPr>
          <w:del w:id="672" w:author="ERCOT" w:date="2011-03-29T13:28:00Z"/>
        </w:rPr>
      </w:pPr>
      <w:ins w:id="673" w:author="ERCOT" w:date="2011-03-29T13:28:00Z">
        <w:r>
          <w:t>(c)</w:t>
        </w:r>
        <w:r>
          <w:tab/>
          <w:t>Minimum Current Exposure (MCE) Summary Report</w:t>
        </w:r>
        <w:del w:id="674" w:author="ERCOT" w:date="2011-04-06T14:39:00Z">
          <w:r w:rsidDel="00EC030E">
            <w:delText>.</w:delText>
          </w:r>
        </w:del>
      </w:ins>
      <w:ins w:id="675" w:author="ERCOT" w:date="2011-04-06T14:39:00Z">
        <w:r>
          <w:t>;</w:t>
        </w:r>
      </w:ins>
    </w:p>
    <w:p w:rsidR="00470790" w:rsidRDefault="00470790" w:rsidP="00470790">
      <w:pPr>
        <w:pStyle w:val="BodyText"/>
        <w:ind w:left="1440" w:hanging="720"/>
        <w:rPr>
          <w:ins w:id="676" w:author="ERCOT" w:date="2011-04-06T14:39:00Z"/>
        </w:rPr>
      </w:pPr>
    </w:p>
    <w:p w:rsidR="00470790" w:rsidRDefault="00470790" w:rsidP="00470790">
      <w:pPr>
        <w:pStyle w:val="BodyText"/>
        <w:ind w:left="1440" w:hanging="720"/>
      </w:pPr>
      <w:r>
        <w:t>(</w:t>
      </w:r>
      <w:ins w:id="677" w:author="ERCOT" w:date="2011-03-29T13:29:00Z">
        <w:r>
          <w:t>d</w:t>
        </w:r>
      </w:ins>
      <w:del w:id="678" w:author="ERCOT" w:date="2011-03-29T13:29:00Z">
        <w:r w:rsidDel="0007015C">
          <w:delText>c</w:delText>
        </w:r>
      </w:del>
      <w:r>
        <w:t>)</w:t>
      </w:r>
      <w:r>
        <w:tab/>
        <w:t>Estimate Aggregate Liability (EAL) Summary Report;</w:t>
      </w:r>
    </w:p>
    <w:p w:rsidR="00470790" w:rsidRDefault="00470790" w:rsidP="00470790">
      <w:pPr>
        <w:pStyle w:val="BodyText"/>
        <w:ind w:left="1440" w:hanging="720"/>
      </w:pPr>
      <w:r>
        <w:t>(</w:t>
      </w:r>
      <w:ins w:id="679" w:author="ERCOT" w:date="2011-03-29T13:29:00Z">
        <w:r>
          <w:t>e</w:t>
        </w:r>
      </w:ins>
      <w:del w:id="680" w:author="ERCOT" w:date="2011-03-29T13:29:00Z">
        <w:r w:rsidDel="0007015C">
          <w:delText>d</w:delText>
        </w:r>
      </w:del>
      <w:r>
        <w:t>)</w:t>
      </w:r>
      <w:r>
        <w:tab/>
        <w:t>Estimated Aggregate Liability (EAL) Detail Report;</w:t>
      </w:r>
    </w:p>
    <w:p w:rsidR="00470790" w:rsidRDefault="00470790" w:rsidP="00470790">
      <w:pPr>
        <w:pStyle w:val="BodyText"/>
        <w:ind w:left="1440" w:hanging="720"/>
      </w:pPr>
      <w:r>
        <w:t>(</w:t>
      </w:r>
      <w:ins w:id="681" w:author="ERCOT" w:date="2011-03-29T13:29:00Z">
        <w:r>
          <w:t>f</w:t>
        </w:r>
      </w:ins>
      <w:del w:id="682" w:author="ERCOT" w:date="2011-03-29T13:29:00Z">
        <w:r w:rsidDel="0007015C">
          <w:delText>e</w:delText>
        </w:r>
      </w:del>
      <w:r>
        <w:t>)</w:t>
      </w:r>
      <w:r>
        <w:tab/>
        <w:t>Aggregate Incremental Liability (AIL) Detail Report;</w:t>
      </w:r>
    </w:p>
    <w:p w:rsidR="00470790" w:rsidRDefault="00470790" w:rsidP="00470790">
      <w:pPr>
        <w:pStyle w:val="BodyText"/>
        <w:ind w:left="1440" w:hanging="720"/>
      </w:pPr>
      <w:r>
        <w:t>(</w:t>
      </w:r>
      <w:ins w:id="683" w:author="ERCOT" w:date="2011-03-29T13:29:00Z">
        <w:r>
          <w:t>g</w:t>
        </w:r>
      </w:ins>
      <w:del w:id="684" w:author="ERCOT" w:date="2011-03-29T13:29:00Z">
        <w:r w:rsidDel="0007015C">
          <w:delText>f</w:delText>
        </w:r>
      </w:del>
      <w:r>
        <w:t>)</w:t>
      </w:r>
      <w:r>
        <w:tab/>
        <w:t>Future Credit Exposure for CRR PTP Obligations (FCEOBL) Summary Report;</w:t>
      </w:r>
    </w:p>
    <w:p w:rsidR="00470790" w:rsidRDefault="00470790" w:rsidP="00470790">
      <w:pPr>
        <w:pStyle w:val="BodyText"/>
        <w:ind w:left="1440" w:hanging="720"/>
      </w:pPr>
      <w:r>
        <w:t>(</w:t>
      </w:r>
      <w:ins w:id="685" w:author="ERCOT" w:date="2011-03-29T13:29:00Z">
        <w:r>
          <w:t>h</w:t>
        </w:r>
      </w:ins>
      <w:del w:id="686" w:author="ERCOT" w:date="2011-03-29T13:29:00Z">
        <w:r w:rsidDel="0007015C">
          <w:delText>g</w:delText>
        </w:r>
      </w:del>
      <w:r>
        <w:t>)</w:t>
      </w:r>
      <w:r>
        <w:tab/>
        <w:t>Future Credit Exposure for CRR PTP Options (FCEOPT) Summary Report; and</w:t>
      </w:r>
    </w:p>
    <w:p w:rsidR="00470790" w:rsidRDefault="00470790" w:rsidP="00470790">
      <w:pPr>
        <w:pStyle w:val="BodyText"/>
        <w:ind w:left="1440" w:hanging="720"/>
        <w:rPr>
          <w:ins w:id="687" w:author="ERCOT" w:date="2011-03-29T13:27:00Z"/>
        </w:rPr>
      </w:pPr>
      <w:r>
        <w:t>(</w:t>
      </w:r>
      <w:ins w:id="688" w:author="ERCOT" w:date="2011-03-29T13:29:00Z">
        <w:r>
          <w:t>i</w:t>
        </w:r>
      </w:ins>
      <w:del w:id="689" w:author="ERCOT" w:date="2011-03-29T13:29:00Z">
        <w:r w:rsidDel="0007015C">
          <w:delText>h</w:delText>
        </w:r>
      </w:del>
      <w:r>
        <w:t>)</w:t>
      </w:r>
      <w:r>
        <w:tab/>
        <w:t>Future Credit Exposure for CRR PTP Flowgate Rights (FCEFGR) Summary Report.</w:t>
      </w:r>
    </w:p>
    <w:p w:rsidR="00470790" w:rsidRDefault="00470790" w:rsidP="00470790">
      <w:pPr>
        <w:pStyle w:val="BodyText"/>
        <w:ind w:left="1440" w:hanging="720"/>
      </w:pPr>
    </w:p>
    <w:p w:rsidR="00470790" w:rsidRDefault="00470790" w:rsidP="00470790">
      <w:pPr>
        <w:pStyle w:val="BodyText"/>
        <w:ind w:left="720" w:hanging="720"/>
      </w:pPr>
      <w:r>
        <w:t>(2)</w:t>
      </w:r>
      <w:r>
        <w:tab/>
      </w:r>
      <w:r>
        <w:rPr>
          <w:color w:val="000000"/>
        </w:rPr>
        <w:t>ERCOT</w:t>
      </w:r>
      <w:r>
        <w:t xml:space="preserve"> shall post once each Business Day on the MIS Certified Area each active Counter-Party’s credit monitoring and management related reports or extracts as listed below; however, these reports may not be posted if system </w:t>
      </w:r>
      <w:r w:rsidRPr="00C24D19">
        <w:t xml:space="preserve">limitations are </w:t>
      </w:r>
      <w:ins w:id="690" w:author="ERCOT" w:date="2011-03-29T08:37:00Z">
        <w:r w:rsidRPr="00C24D19">
          <w:t xml:space="preserve">prohibitive </w:t>
        </w:r>
        <w:r w:rsidRPr="00EE21BB">
          <w:t>or if the Counter-Party has no active CRR ownership</w:t>
        </w:r>
      </w:ins>
      <w:r w:rsidRPr="00C24D19">
        <w:t>.</w:t>
      </w:r>
    </w:p>
    <w:p w:rsidR="00470790" w:rsidRDefault="00470790" w:rsidP="00470790">
      <w:pPr>
        <w:pStyle w:val="BodyText"/>
        <w:ind w:left="1440" w:hanging="720"/>
      </w:pPr>
      <w:r>
        <w:t>(a)</w:t>
      </w:r>
      <w:r>
        <w:tab/>
        <w:t>Future Credit Exposure for CRR PTP Obligations (FCEOBL) Detail Report;</w:t>
      </w:r>
    </w:p>
    <w:p w:rsidR="00470790" w:rsidRDefault="00470790" w:rsidP="00470790">
      <w:pPr>
        <w:pStyle w:val="BodyText"/>
        <w:ind w:left="1440" w:hanging="720"/>
      </w:pPr>
      <w:r>
        <w:t>(b)</w:t>
      </w:r>
      <w:r>
        <w:tab/>
        <w:t>Future Credit Exposure for CRR PTP Options (FCEOPT) Detail Report; and</w:t>
      </w:r>
    </w:p>
    <w:p w:rsidR="00470790" w:rsidRDefault="00470790" w:rsidP="00470790">
      <w:pPr>
        <w:pStyle w:val="BodyText"/>
        <w:ind w:left="1440" w:hanging="720"/>
      </w:pPr>
      <w:r>
        <w:t>(c)</w:t>
      </w:r>
      <w:r>
        <w:tab/>
        <w:t>Future Credit Exposure for CRR PTP Flowgate Rights (FCEFGR) Detail Report.</w:t>
      </w:r>
    </w:p>
    <w:p w:rsidR="00470790" w:rsidRDefault="00470790" w:rsidP="00470790">
      <w:pPr>
        <w:autoSpaceDE w:val="0"/>
        <w:autoSpaceDN w:val="0"/>
        <w:adjustRightInd w:val="0"/>
        <w:spacing w:after="240"/>
        <w:ind w:left="720" w:hanging="720"/>
        <w:rPr>
          <w:ins w:id="691" w:author="ERCOT" w:date="2011-03-29T08:38:00Z"/>
        </w:rPr>
      </w:pPr>
      <w:r>
        <w:t>(3)</w:t>
      </w:r>
      <w:r>
        <w:tab/>
        <w:t>The reports listed referenced above will be posted to the MIS Certified Area in Portable Document File (PDF) format and Microsoft Excel (XLS) format.  There shall be a provision to “open”, “save” and “print” each report.</w:t>
      </w:r>
    </w:p>
    <w:p w:rsidR="00470790" w:rsidRDefault="00470790" w:rsidP="00470790">
      <w:pPr>
        <w:autoSpaceDE w:val="0"/>
        <w:autoSpaceDN w:val="0"/>
        <w:adjustRightInd w:val="0"/>
        <w:spacing w:after="240"/>
        <w:ind w:left="720" w:hanging="720"/>
        <w:rPr>
          <w:ins w:id="692" w:author="ERCOT" w:date="2011-03-29T08:38:00Z"/>
        </w:rPr>
      </w:pPr>
    </w:p>
    <w:tbl>
      <w:tblPr>
        <w:tblW w:w="9187"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tblPr>
      <w:tblGrid>
        <w:gridCol w:w="9187"/>
      </w:tblGrid>
      <w:tr w:rsidR="00470790" w:rsidRPr="0012314B" w:rsidTr="002560C8">
        <w:tc>
          <w:tcPr>
            <w:tcW w:w="9187" w:type="dxa"/>
            <w:shd w:val="pct12" w:color="auto" w:fill="auto"/>
          </w:tcPr>
          <w:p w:rsidR="00470790" w:rsidRPr="0012314B" w:rsidRDefault="00470790" w:rsidP="002560C8">
            <w:pPr>
              <w:pStyle w:val="BodyText"/>
              <w:rPr>
                <w:b/>
                <w:i/>
              </w:rPr>
            </w:pPr>
            <w:r w:rsidRPr="0012314B">
              <w:rPr>
                <w:b/>
                <w:i/>
              </w:rPr>
              <w:t xml:space="preserve">[NPRR241: </w:t>
            </w:r>
            <w:r>
              <w:rPr>
                <w:b/>
                <w:i/>
              </w:rPr>
              <w:t xml:space="preserve"> </w:t>
            </w:r>
            <w:r w:rsidRPr="0012314B">
              <w:rPr>
                <w:b/>
                <w:i/>
              </w:rPr>
              <w:t>Replace paragraph (3) above with the following upon system implementation:]</w:t>
            </w:r>
          </w:p>
          <w:p w:rsidR="00470790" w:rsidRPr="0012314B" w:rsidRDefault="00470790" w:rsidP="002560C8">
            <w:pPr>
              <w:pStyle w:val="BodyText"/>
              <w:ind w:left="720" w:hanging="720"/>
              <w:rPr>
                <w:b/>
                <w:i/>
              </w:rPr>
            </w:pPr>
            <w:r>
              <w:t>(3)</w:t>
            </w:r>
            <w:r>
              <w:tab/>
              <w:t>The reports referenced above will be posted to the MIS Certified Area in Portable Document File (PDF) format and Extensible Markup Language (XML) format.</w:t>
            </w:r>
          </w:p>
        </w:tc>
      </w:tr>
    </w:tbl>
    <w:p w:rsidR="00470790" w:rsidRDefault="00470790" w:rsidP="00470790">
      <w:pPr>
        <w:autoSpaceDE w:val="0"/>
        <w:autoSpaceDN w:val="0"/>
        <w:adjustRightInd w:val="0"/>
        <w:spacing w:after="240"/>
        <w:ind w:left="720" w:hanging="720"/>
      </w:pPr>
    </w:p>
    <w:p w:rsidR="00470790" w:rsidRPr="00BA2009" w:rsidRDefault="00470790" w:rsidP="00470790"/>
    <w:p w:rsidR="00470790" w:rsidRDefault="00470790" w:rsidP="00BC2D06"/>
    <w:sectPr w:rsidR="00470790">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26" w:author="Market Rules " w:date="2011-04-26T13:46:00Z" w:initials="s">
    <w:p w:rsidR="003B18A5" w:rsidRDefault="003B18A5">
      <w:pPr>
        <w:pStyle w:val="CommentText"/>
      </w:pPr>
      <w:r>
        <w:rPr>
          <w:rStyle w:val="CommentReference"/>
        </w:rPr>
        <w:annotationRef/>
      </w:r>
      <w:r>
        <w:t>Please note this Secion also being revised by NPRR320.</w:t>
      </w:r>
    </w:p>
  </w:comment>
  <w:comment w:id="389" w:author="Market Rules " w:date="2011-04-26T13:45:00Z" w:initials="s">
    <w:p w:rsidR="003B18A5" w:rsidRDefault="003B18A5">
      <w:pPr>
        <w:pStyle w:val="CommentText"/>
      </w:pPr>
      <w:r>
        <w:rPr>
          <w:rStyle w:val="CommentReference"/>
        </w:rPr>
        <w:annotationRef/>
      </w:r>
      <w:r>
        <w:t xml:space="preserve">Please note this Secion also being revised by NPRR338. </w:t>
      </w:r>
    </w:p>
  </w:comment>
  <w:comment w:id="464" w:author="Market Rules " w:date="2011-04-26T13:45:00Z" w:initials="s">
    <w:p w:rsidR="003B18A5" w:rsidRDefault="003B18A5">
      <w:pPr>
        <w:pStyle w:val="CommentText"/>
      </w:pPr>
      <w:r>
        <w:rPr>
          <w:rStyle w:val="CommentReference"/>
        </w:rPr>
        <w:annotationRef/>
      </w:r>
      <w:r>
        <w:t xml:space="preserve">Please note this Secion also being revised by NPRR300.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05F" w:rsidRDefault="0042305F">
      <w:r>
        <w:separator/>
      </w:r>
    </w:p>
  </w:endnote>
  <w:endnote w:type="continuationSeparator" w:id="0">
    <w:p w:rsidR="0042305F" w:rsidRDefault="004230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0C8" w:rsidRPr="00412DCA" w:rsidRDefault="002560C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14</w:t>
    </w:r>
    <w:r w:rsidRPr="00412DCA">
      <w:rPr>
        <w:rFonts w:ascii="Arial" w:hAnsi="Arial" w:cs="Arial"/>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0C8" w:rsidRDefault="002560C8">
    <w:pPr>
      <w:pStyle w:val="Footer"/>
      <w:tabs>
        <w:tab w:val="clear" w:pos="4320"/>
        <w:tab w:val="clear" w:pos="8640"/>
        <w:tab w:val="right" w:pos="9360"/>
      </w:tabs>
      <w:rPr>
        <w:rFonts w:ascii="Arial" w:hAnsi="Arial" w:cs="Arial"/>
        <w:sz w:val="18"/>
      </w:rPr>
    </w:pPr>
    <w:r>
      <w:rPr>
        <w:rFonts w:ascii="Arial" w:hAnsi="Arial" w:cs="Arial"/>
        <w:sz w:val="18"/>
      </w:rPr>
      <w:t xml:space="preserve">347NPRR-04 </w:t>
    </w:r>
    <w:smartTag w:uri="urn:schemas-microsoft-com:office:smarttags" w:element="PersonName">
      <w:r>
        <w:rPr>
          <w:rFonts w:ascii="Arial" w:hAnsi="Arial" w:cs="Arial"/>
          <w:sz w:val="18"/>
        </w:rPr>
        <w:t>PRS</w:t>
      </w:r>
    </w:smartTag>
    <w:r>
      <w:rPr>
        <w:rFonts w:ascii="Arial" w:hAnsi="Arial" w:cs="Arial"/>
        <w:sz w:val="18"/>
      </w:rPr>
      <w:t xml:space="preserve"> Report 042111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B41328">
      <w:rPr>
        <w:rFonts w:ascii="Arial" w:hAnsi="Arial" w:cs="Arial"/>
        <w:noProof/>
        <w:sz w:val="18"/>
      </w:rPr>
      <w:t>34</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B41328">
      <w:rPr>
        <w:rFonts w:ascii="Arial" w:hAnsi="Arial" w:cs="Arial"/>
        <w:noProof/>
        <w:sz w:val="18"/>
      </w:rPr>
      <w:t>34</w:t>
    </w:r>
    <w:r w:rsidRPr="00412DCA">
      <w:rPr>
        <w:rFonts w:ascii="Arial" w:hAnsi="Arial" w:cs="Arial"/>
        <w:sz w:val="18"/>
      </w:rPr>
      <w:fldChar w:fldCharType="end"/>
    </w:r>
  </w:p>
  <w:p w:rsidR="002560C8" w:rsidRPr="00412DCA" w:rsidRDefault="002560C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0C8" w:rsidRPr="00412DCA" w:rsidRDefault="002560C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14</w:t>
    </w:r>
    <w:r w:rsidRPr="00412DCA">
      <w:rPr>
        <w:rFonts w:ascii="Arial" w:hAnsi="Arial" w:cs="Aria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05F" w:rsidRDefault="0042305F">
      <w:r>
        <w:separator/>
      </w:r>
    </w:p>
  </w:footnote>
  <w:footnote w:type="continuationSeparator" w:id="0">
    <w:p w:rsidR="0042305F" w:rsidRDefault="004230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0C8" w:rsidRDefault="002560C8">
    <w:pPr>
      <w:pStyle w:val="Header"/>
      <w:jc w:val="center"/>
      <w:rPr>
        <w:sz w:val="32"/>
      </w:rPr>
    </w:pPr>
    <w:smartTag w:uri="urn:schemas-microsoft-com:office:smarttags" w:element="PersonName">
      <w:r>
        <w:rPr>
          <w:sz w:val="32"/>
        </w:rPr>
        <w:t>PRS</w:t>
      </w:r>
    </w:smartTag>
    <w:r>
      <w:rPr>
        <w:sz w:val="32"/>
      </w:rPr>
      <w:t xml:space="preserve"> Report</w:t>
    </w:r>
  </w:p>
  <w:p w:rsidR="002560C8" w:rsidRDefault="002560C8">
    <w:pPr>
      <w:pStyle w:val="Header"/>
      <w:rPr>
        <w:sz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C5A541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00207C6C"/>
    <w:multiLevelType w:val="hybridMultilevel"/>
    <w:tmpl w:val="E10C249C"/>
    <w:lvl w:ilvl="0" w:tplc="4378C20C">
      <w:start w:val="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4A3A0B"/>
    <w:multiLevelType w:val="hybridMultilevel"/>
    <w:tmpl w:val="82FA4E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D6347A7"/>
    <w:multiLevelType w:val="hybridMultilevel"/>
    <w:tmpl w:val="0FD24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407788"/>
    <w:multiLevelType w:val="hybridMultilevel"/>
    <w:tmpl w:val="EDD6CF0A"/>
    <w:lvl w:ilvl="0" w:tplc="5166069A">
      <w:start w:val="1"/>
      <w:numFmt w:val="bullet"/>
      <w:lvlText w:val="•"/>
      <w:lvlJc w:val="left"/>
      <w:pPr>
        <w:tabs>
          <w:tab w:val="num" w:pos="720"/>
        </w:tabs>
        <w:ind w:left="720" w:hanging="360"/>
      </w:pPr>
      <w:rPr>
        <w:rFonts w:ascii="Times New Roman" w:hAnsi="Times New Roman" w:hint="default"/>
      </w:rPr>
    </w:lvl>
    <w:lvl w:ilvl="1" w:tplc="A6BC1F20" w:tentative="1">
      <w:start w:val="1"/>
      <w:numFmt w:val="bullet"/>
      <w:lvlText w:val="•"/>
      <w:lvlJc w:val="left"/>
      <w:pPr>
        <w:tabs>
          <w:tab w:val="num" w:pos="1440"/>
        </w:tabs>
        <w:ind w:left="1440" w:hanging="360"/>
      </w:pPr>
      <w:rPr>
        <w:rFonts w:ascii="Times New Roman" w:hAnsi="Times New Roman" w:hint="default"/>
      </w:rPr>
    </w:lvl>
    <w:lvl w:ilvl="2" w:tplc="971CB1F4" w:tentative="1">
      <w:start w:val="1"/>
      <w:numFmt w:val="bullet"/>
      <w:lvlText w:val="•"/>
      <w:lvlJc w:val="left"/>
      <w:pPr>
        <w:tabs>
          <w:tab w:val="num" w:pos="2160"/>
        </w:tabs>
        <w:ind w:left="2160" w:hanging="360"/>
      </w:pPr>
      <w:rPr>
        <w:rFonts w:ascii="Times New Roman" w:hAnsi="Times New Roman" w:hint="default"/>
      </w:rPr>
    </w:lvl>
    <w:lvl w:ilvl="3" w:tplc="7D688636" w:tentative="1">
      <w:start w:val="1"/>
      <w:numFmt w:val="bullet"/>
      <w:lvlText w:val="•"/>
      <w:lvlJc w:val="left"/>
      <w:pPr>
        <w:tabs>
          <w:tab w:val="num" w:pos="2880"/>
        </w:tabs>
        <w:ind w:left="2880" w:hanging="360"/>
      </w:pPr>
      <w:rPr>
        <w:rFonts w:ascii="Times New Roman" w:hAnsi="Times New Roman" w:hint="default"/>
      </w:rPr>
    </w:lvl>
    <w:lvl w:ilvl="4" w:tplc="611CC962" w:tentative="1">
      <w:start w:val="1"/>
      <w:numFmt w:val="bullet"/>
      <w:lvlText w:val="•"/>
      <w:lvlJc w:val="left"/>
      <w:pPr>
        <w:tabs>
          <w:tab w:val="num" w:pos="3600"/>
        </w:tabs>
        <w:ind w:left="3600" w:hanging="360"/>
      </w:pPr>
      <w:rPr>
        <w:rFonts w:ascii="Times New Roman" w:hAnsi="Times New Roman" w:hint="default"/>
      </w:rPr>
    </w:lvl>
    <w:lvl w:ilvl="5" w:tplc="47666EC4" w:tentative="1">
      <w:start w:val="1"/>
      <w:numFmt w:val="bullet"/>
      <w:lvlText w:val="•"/>
      <w:lvlJc w:val="left"/>
      <w:pPr>
        <w:tabs>
          <w:tab w:val="num" w:pos="4320"/>
        </w:tabs>
        <w:ind w:left="4320" w:hanging="360"/>
      </w:pPr>
      <w:rPr>
        <w:rFonts w:ascii="Times New Roman" w:hAnsi="Times New Roman" w:hint="default"/>
      </w:rPr>
    </w:lvl>
    <w:lvl w:ilvl="6" w:tplc="D6784886" w:tentative="1">
      <w:start w:val="1"/>
      <w:numFmt w:val="bullet"/>
      <w:lvlText w:val="•"/>
      <w:lvlJc w:val="left"/>
      <w:pPr>
        <w:tabs>
          <w:tab w:val="num" w:pos="5040"/>
        </w:tabs>
        <w:ind w:left="5040" w:hanging="360"/>
      </w:pPr>
      <w:rPr>
        <w:rFonts w:ascii="Times New Roman" w:hAnsi="Times New Roman" w:hint="default"/>
      </w:rPr>
    </w:lvl>
    <w:lvl w:ilvl="7" w:tplc="A79C8396" w:tentative="1">
      <w:start w:val="1"/>
      <w:numFmt w:val="bullet"/>
      <w:lvlText w:val="•"/>
      <w:lvlJc w:val="left"/>
      <w:pPr>
        <w:tabs>
          <w:tab w:val="num" w:pos="5760"/>
        </w:tabs>
        <w:ind w:left="5760" w:hanging="360"/>
      </w:pPr>
      <w:rPr>
        <w:rFonts w:ascii="Times New Roman" w:hAnsi="Times New Roman" w:hint="default"/>
      </w:rPr>
    </w:lvl>
    <w:lvl w:ilvl="8" w:tplc="B6FA39FA" w:tentative="1">
      <w:start w:val="1"/>
      <w:numFmt w:val="bullet"/>
      <w:lvlText w:val="•"/>
      <w:lvlJc w:val="left"/>
      <w:pPr>
        <w:tabs>
          <w:tab w:val="num" w:pos="6480"/>
        </w:tabs>
        <w:ind w:left="6480" w:hanging="360"/>
      </w:pPr>
      <w:rPr>
        <w:rFonts w:ascii="Times New Roman" w:hAnsi="Times New Roman" w:hint="default"/>
      </w:rPr>
    </w:lvl>
  </w:abstractNum>
  <w:abstractNum w:abstractNumId="7">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5624A1"/>
    <w:multiLevelType w:val="hybridMultilevel"/>
    <w:tmpl w:val="506EDB06"/>
    <w:lvl w:ilvl="0" w:tplc="AE22F6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2C46A56"/>
    <w:multiLevelType w:val="hybridMultilevel"/>
    <w:tmpl w:val="DB3C1F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79975A6E"/>
    <w:multiLevelType w:val="hybridMultilevel"/>
    <w:tmpl w:val="C61CD664"/>
    <w:lvl w:ilvl="0" w:tplc="A59CF32C">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7">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16"/>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7"/>
  </w:num>
  <w:num w:numId="15">
    <w:abstractNumId w:val="10"/>
  </w:num>
  <w:num w:numId="16">
    <w:abstractNumId w:val="12"/>
  </w:num>
  <w:num w:numId="17">
    <w:abstractNumId w:val="13"/>
  </w:num>
  <w:num w:numId="18">
    <w:abstractNumId w:val="17"/>
  </w:num>
  <w:num w:numId="19">
    <w:abstractNumId w:val="2"/>
  </w:num>
  <w:num w:numId="20">
    <w:abstractNumId w:val="6"/>
  </w:num>
  <w:num w:numId="21">
    <w:abstractNumId w:val="4"/>
  </w:num>
  <w:num w:numId="22">
    <w:abstractNumId w:val="9"/>
  </w:num>
  <w:num w:numId="23">
    <w:abstractNumId w:val="8"/>
  </w:num>
  <w:num w:numId="24">
    <w:abstractNumId w:val="15"/>
  </w:num>
  <w:num w:numId="25">
    <w:abstractNumId w:val="5"/>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trackRevisions/>
  <w:defaultTabStop w:val="720"/>
  <w:noPunctuationKerning/>
  <w:characterSpacingControl w:val="doNotCompress"/>
  <w:hdrShapeDefaults>
    <o:shapedefaults v:ext="edit" spidmax="3074">
      <o:colormenu v:ext="edit" fillcolor="none"/>
    </o:shapedefaults>
  </w:hdrShapeDefaults>
  <w:footnotePr>
    <w:footnote w:id="-1"/>
    <w:footnote w:id="0"/>
  </w:footnotePr>
  <w:endnotePr>
    <w:endnote w:id="-1"/>
    <w:endnote w:id="0"/>
  </w:endnotePr>
  <w:compat/>
  <w:rsids>
    <w:rsidRoot w:val="00534C6C"/>
    <w:rsid w:val="00004403"/>
    <w:rsid w:val="00026616"/>
    <w:rsid w:val="00052418"/>
    <w:rsid w:val="00067FE2"/>
    <w:rsid w:val="000A7FDB"/>
    <w:rsid w:val="00101E91"/>
    <w:rsid w:val="00104171"/>
    <w:rsid w:val="001228EE"/>
    <w:rsid w:val="0014546D"/>
    <w:rsid w:val="001562F6"/>
    <w:rsid w:val="0019314C"/>
    <w:rsid w:val="001A1220"/>
    <w:rsid w:val="001C6E4E"/>
    <w:rsid w:val="001E1C1F"/>
    <w:rsid w:val="001E4582"/>
    <w:rsid w:val="001E501B"/>
    <w:rsid w:val="001E7036"/>
    <w:rsid w:val="001F0504"/>
    <w:rsid w:val="00240FFC"/>
    <w:rsid w:val="002560C8"/>
    <w:rsid w:val="002632F5"/>
    <w:rsid w:val="00276914"/>
    <w:rsid w:val="002A5E7A"/>
    <w:rsid w:val="002B763A"/>
    <w:rsid w:val="002F6B40"/>
    <w:rsid w:val="003013F2"/>
    <w:rsid w:val="0030694A"/>
    <w:rsid w:val="00323616"/>
    <w:rsid w:val="00326CF1"/>
    <w:rsid w:val="00367C2E"/>
    <w:rsid w:val="003A3D77"/>
    <w:rsid w:val="003B18A5"/>
    <w:rsid w:val="003B4B3B"/>
    <w:rsid w:val="003C0168"/>
    <w:rsid w:val="003D6C1F"/>
    <w:rsid w:val="003F2EF9"/>
    <w:rsid w:val="003F7BCD"/>
    <w:rsid w:val="004056BB"/>
    <w:rsid w:val="0040729E"/>
    <w:rsid w:val="00411EA8"/>
    <w:rsid w:val="0042305F"/>
    <w:rsid w:val="00430F02"/>
    <w:rsid w:val="004463BA"/>
    <w:rsid w:val="00470790"/>
    <w:rsid w:val="00481F7D"/>
    <w:rsid w:val="004822D4"/>
    <w:rsid w:val="004A5E41"/>
    <w:rsid w:val="004B7004"/>
    <w:rsid w:val="004E13DD"/>
    <w:rsid w:val="004E670F"/>
    <w:rsid w:val="00527FF6"/>
    <w:rsid w:val="00534C6C"/>
    <w:rsid w:val="00561821"/>
    <w:rsid w:val="00566BBD"/>
    <w:rsid w:val="00582D48"/>
    <w:rsid w:val="00585A97"/>
    <w:rsid w:val="005B63AF"/>
    <w:rsid w:val="005C7CFD"/>
    <w:rsid w:val="005F0857"/>
    <w:rsid w:val="005F2411"/>
    <w:rsid w:val="00604582"/>
    <w:rsid w:val="00620C84"/>
    <w:rsid w:val="0063190E"/>
    <w:rsid w:val="00652553"/>
    <w:rsid w:val="006C0C25"/>
    <w:rsid w:val="00720455"/>
    <w:rsid w:val="00720FF3"/>
    <w:rsid w:val="0073043F"/>
    <w:rsid w:val="00743968"/>
    <w:rsid w:val="0074399C"/>
    <w:rsid w:val="007460A4"/>
    <w:rsid w:val="007803A8"/>
    <w:rsid w:val="00791CB9"/>
    <w:rsid w:val="00791F5F"/>
    <w:rsid w:val="00797DE2"/>
    <w:rsid w:val="007A164C"/>
    <w:rsid w:val="00821BC4"/>
    <w:rsid w:val="00845EEB"/>
    <w:rsid w:val="008B4AB4"/>
    <w:rsid w:val="00942955"/>
    <w:rsid w:val="00963A51"/>
    <w:rsid w:val="009971EC"/>
    <w:rsid w:val="009972AF"/>
    <w:rsid w:val="009A3772"/>
    <w:rsid w:val="009C15D7"/>
    <w:rsid w:val="009C601F"/>
    <w:rsid w:val="00A03383"/>
    <w:rsid w:val="00A05F04"/>
    <w:rsid w:val="00A45BD3"/>
    <w:rsid w:val="00A560F8"/>
    <w:rsid w:val="00AC6F94"/>
    <w:rsid w:val="00AF56C6"/>
    <w:rsid w:val="00B27055"/>
    <w:rsid w:val="00B314E3"/>
    <w:rsid w:val="00B41328"/>
    <w:rsid w:val="00B53E51"/>
    <w:rsid w:val="00B55089"/>
    <w:rsid w:val="00B57F96"/>
    <w:rsid w:val="00BA0E96"/>
    <w:rsid w:val="00BB5353"/>
    <w:rsid w:val="00BC2D06"/>
    <w:rsid w:val="00BC48C0"/>
    <w:rsid w:val="00BC5D36"/>
    <w:rsid w:val="00BD27C5"/>
    <w:rsid w:val="00BD3DB6"/>
    <w:rsid w:val="00BD69A3"/>
    <w:rsid w:val="00C01362"/>
    <w:rsid w:val="00C062E5"/>
    <w:rsid w:val="00C16C88"/>
    <w:rsid w:val="00C25547"/>
    <w:rsid w:val="00C5793B"/>
    <w:rsid w:val="00C6038E"/>
    <w:rsid w:val="00C90702"/>
    <w:rsid w:val="00C917FF"/>
    <w:rsid w:val="00C920E2"/>
    <w:rsid w:val="00CD072A"/>
    <w:rsid w:val="00CD5BFE"/>
    <w:rsid w:val="00CD7C41"/>
    <w:rsid w:val="00CE7004"/>
    <w:rsid w:val="00D00A74"/>
    <w:rsid w:val="00D47A80"/>
    <w:rsid w:val="00D526EC"/>
    <w:rsid w:val="00D7545F"/>
    <w:rsid w:val="00D97220"/>
    <w:rsid w:val="00DA6468"/>
    <w:rsid w:val="00DA790B"/>
    <w:rsid w:val="00DE44A4"/>
    <w:rsid w:val="00DF31CB"/>
    <w:rsid w:val="00E03E64"/>
    <w:rsid w:val="00E0404B"/>
    <w:rsid w:val="00E07C4E"/>
    <w:rsid w:val="00E21F09"/>
    <w:rsid w:val="00E24ED8"/>
    <w:rsid w:val="00E37AB0"/>
    <w:rsid w:val="00E57CC5"/>
    <w:rsid w:val="00EB2315"/>
    <w:rsid w:val="00ED6FB3"/>
    <w:rsid w:val="00EE55D4"/>
    <w:rsid w:val="00F27A5C"/>
    <w:rsid w:val="00F44236"/>
    <w:rsid w:val="00F75E05"/>
    <w:rsid w:val="00F82DCE"/>
    <w:rsid w:val="00FE2889"/>
    <w:rsid w:val="00FF7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ersonName"/>
  <w:smartTagType w:namespaceuri="urn:schemas-microsoft-com:office:smarttags" w:name="place"/>
  <w:smartTagType w:namespaceuri="urn:schemas-microsoft-com:office:smarttags" w:name="City"/>
  <w:shapeDefaults>
    <o:shapedefaults v:ext="edit" spidmax="3074">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Ind w:w="0" w:type="dxa"/>
      <w:tblBorders>
        <w:top w:val="single" w:sz="4" w:space="0" w:color="auto"/>
        <w:left w:val="single" w:sz="4" w:space="0" w:color="auto"/>
        <w:bottom w:val="single" w:sz="4" w:space="0" w:color="auto"/>
        <w:right w:val="single" w:sz="4" w:space="0" w:color="auto"/>
      </w:tblBorders>
      <w:tblCellMar>
        <w:top w:w="144" w:type="dxa"/>
        <w:left w:w="115" w:type="dxa"/>
        <w:bottom w:w="0"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rPr>
      <w:lang/>
    </w:r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tblInd w:w="0" w:type="dxa"/>
      <w:tblCellMar>
        <w:top w:w="0" w:type="dxa"/>
        <w:left w:w="108" w:type="dxa"/>
        <w:bottom w:w="0" w:type="dxa"/>
        <w:right w:w="108" w:type="dxa"/>
      </w:tblCellMar>
    </w:tbl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basedOn w:val="DefaultParagraphFont"/>
    <w:link w:val="NormalArial"/>
    <w:rPr>
      <w:rFonts w:ascii="Arial" w:hAnsi="Arial"/>
      <w:sz w:val="24"/>
      <w:szCs w:val="24"/>
      <w:lang w:val="en-US" w:eastAsia="en-US" w:bidi="ar-SA"/>
    </w:rPr>
  </w:style>
  <w:style w:type="character" w:customStyle="1" w:styleId="BodyTextNumberedChar1">
    <w:name w:val="Body Text Numbered Char1"/>
    <w:basedOn w:val="DefaultParagraphFont"/>
    <w:link w:val="BodyTextNumbered"/>
    <w:rsid w:val="00561821"/>
    <w:rPr>
      <w:iCs/>
      <w:sz w:val="24"/>
    </w:rPr>
  </w:style>
  <w:style w:type="paragraph" w:customStyle="1" w:styleId="BodyTextNumbered">
    <w:name w:val="Body Text Numbered"/>
    <w:basedOn w:val="BodyText"/>
    <w:link w:val="BodyTextNumberedChar1"/>
    <w:rsid w:val="00561821"/>
    <w:pPr>
      <w:ind w:left="720" w:hanging="720"/>
    </w:pPr>
    <w:rPr>
      <w:iCs/>
      <w:szCs w:val="20"/>
    </w:rPr>
  </w:style>
  <w:style w:type="character" w:customStyle="1" w:styleId="H3Char">
    <w:name w:val="H3 Char"/>
    <w:basedOn w:val="DefaultParagraphFont"/>
    <w:link w:val="H3"/>
    <w:rsid w:val="00561821"/>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Char1"/>
    <w:basedOn w:val="DefaultParagraphFont"/>
    <w:link w:val="BodyText"/>
    <w:locked/>
    <w:rsid w:val="00561821"/>
    <w:rPr>
      <w:sz w:val="24"/>
      <w:szCs w:val="24"/>
    </w:rPr>
  </w:style>
  <w:style w:type="character" w:customStyle="1" w:styleId="CommentTextChar">
    <w:name w:val="Comment Text Char"/>
    <w:basedOn w:val="DefaultParagraphFont"/>
    <w:link w:val="CommentText"/>
    <w:semiHidden/>
    <w:locked/>
    <w:rsid w:val="001562F6"/>
  </w:style>
  <w:style w:type="paragraph" w:customStyle="1" w:styleId="StyleHeading3TimesNewRoman12pt">
    <w:name w:val="Style Heading 3 + Times New Roman 12 pt"/>
    <w:basedOn w:val="Heading3"/>
    <w:link w:val="StyleHeading3TimesNewRoman12ptChar"/>
    <w:rsid w:val="001562F6"/>
    <w:pPr>
      <w:numPr>
        <w:ilvl w:val="0"/>
        <w:numId w:val="0"/>
      </w:numPr>
      <w:tabs>
        <w:tab w:val="clear" w:pos="1008"/>
      </w:tabs>
      <w:spacing w:after="60"/>
    </w:pPr>
    <w:rPr>
      <w:rFonts w:cs="Arial"/>
      <w:b w:val="0"/>
      <w:i w:val="0"/>
      <w:szCs w:val="26"/>
      <w:u w:val="single"/>
    </w:rPr>
  </w:style>
  <w:style w:type="character" w:customStyle="1" w:styleId="StyleHeading3TimesNewRoman12ptChar">
    <w:name w:val="Style Heading 3 + Times New Roman 12 pt Char"/>
    <w:basedOn w:val="DefaultParagraphFont"/>
    <w:link w:val="StyleHeading3TimesNewRoman12pt"/>
    <w:locked/>
    <w:rsid w:val="001562F6"/>
    <w:rPr>
      <w:rFonts w:cs="Arial"/>
      <w:bCs/>
      <w:sz w:val="24"/>
      <w:szCs w:val="26"/>
      <w:u w:val="single"/>
    </w:rPr>
  </w:style>
  <w:style w:type="character" w:customStyle="1" w:styleId="H2Char">
    <w:name w:val="H2 Char"/>
    <w:basedOn w:val="DefaultParagraphFont"/>
    <w:link w:val="H2"/>
    <w:rsid w:val="009972AF"/>
    <w:rPr>
      <w:b/>
      <w:sz w:val="24"/>
    </w:rPr>
  </w:style>
  <w:style w:type="paragraph" w:customStyle="1" w:styleId="TermTitle">
    <w:name w:val="Term Title"/>
    <w:basedOn w:val="Normal"/>
    <w:rsid w:val="009972AF"/>
    <w:pPr>
      <w:keepNext/>
    </w:pPr>
    <w:rPr>
      <w:b/>
      <w:szCs w:val="20"/>
    </w:rPr>
  </w:style>
  <w:style w:type="paragraph" w:customStyle="1" w:styleId="Acronym">
    <w:name w:val="Acronym"/>
    <w:basedOn w:val="BodyText"/>
    <w:rsid w:val="009972AF"/>
    <w:pPr>
      <w:tabs>
        <w:tab w:val="left" w:pos="1440"/>
      </w:tabs>
      <w:spacing w:after="0"/>
    </w:pPr>
    <w:rPr>
      <w:iCs/>
      <w:szCs w:val="20"/>
    </w:rPr>
  </w:style>
  <w:style w:type="paragraph" w:styleId="Revision">
    <w:name w:val="Revision"/>
    <w:hidden/>
    <w:uiPriority w:val="99"/>
    <w:semiHidden/>
    <w:rsid w:val="003B4B3B"/>
    <w:rPr>
      <w:sz w:val="24"/>
      <w:szCs w:val="24"/>
    </w:rPr>
  </w:style>
  <w:style w:type="character" w:customStyle="1" w:styleId="BodyTextNumberedChar">
    <w:name w:val="Body Text Numbered Char"/>
    <w:basedOn w:val="DefaultParagraphFont"/>
    <w:rsid w:val="005F0857"/>
    <w:rPr>
      <w:iCs/>
      <w:sz w:val="24"/>
      <w:szCs w:val="24"/>
    </w:rPr>
  </w:style>
  <w:style w:type="character" w:customStyle="1" w:styleId="H4Char">
    <w:name w:val="H4 Char"/>
    <w:link w:val="H4"/>
    <w:rsid w:val="00B314E3"/>
    <w:rPr>
      <w:b/>
      <w:bCs/>
      <w:snapToGrid w:val="0"/>
      <w:sz w:val="24"/>
    </w:rPr>
  </w:style>
  <w:style w:type="character" w:customStyle="1" w:styleId="ListIntroductionChar">
    <w:name w:val="List Introduction Char"/>
    <w:basedOn w:val="DefaultParagraphFont"/>
    <w:link w:val="ListIntroduction"/>
    <w:locked/>
    <w:rsid w:val="00FE2889"/>
    <w:rPr>
      <w:iCs/>
      <w:sz w:val="24"/>
    </w:rPr>
  </w:style>
  <w:style w:type="character" w:styleId="FollowedHyperlink">
    <w:name w:val="FollowedHyperlink"/>
    <w:basedOn w:val="DefaultParagraphFont"/>
    <w:rsid w:val="00470790"/>
    <w:rPr>
      <w:color w:val="800080"/>
      <w:u w:val="single"/>
    </w:rPr>
  </w:style>
  <w:style w:type="character" w:customStyle="1" w:styleId="H3Char1">
    <w:name w:val="H3 Char1"/>
    <w:basedOn w:val="DefaultParagraphFont"/>
    <w:rsid w:val="00470790"/>
    <w:rPr>
      <w:b/>
      <w:bCs/>
      <w:i/>
      <w:sz w:val="24"/>
    </w:rPr>
  </w:style>
  <w:style w:type="paragraph" w:styleId="ListParagraph">
    <w:name w:val="List Paragraph"/>
    <w:basedOn w:val="Normal"/>
    <w:uiPriority w:val="34"/>
    <w:qFormat/>
    <w:rsid w:val="00470790"/>
    <w:pPr>
      <w:ind w:left="720"/>
      <w:contextualSpacing/>
    </w:pPr>
  </w:style>
  <w:style w:type="character" w:customStyle="1" w:styleId="BodyTextIndentChar">
    <w:name w:val="Body Text Indent Char"/>
    <w:aliases w:val=" Char1 Char"/>
    <w:basedOn w:val="DefaultParagraphFont"/>
    <w:link w:val="BodyTextIndent"/>
    <w:rsid w:val="00470790"/>
    <w:rPr>
      <w:iCs/>
      <w:sz w:val="24"/>
    </w:rPr>
  </w:style>
  <w:style w:type="character" w:customStyle="1" w:styleId="HeaderChar">
    <w:name w:val="Header Char"/>
    <w:basedOn w:val="DefaultParagraphFont"/>
    <w:link w:val="Header"/>
    <w:uiPriority w:val="99"/>
    <w:locked/>
    <w:rsid w:val="009971EC"/>
    <w:rPr>
      <w:rFonts w:ascii="Arial" w:hAnsi="Arial"/>
      <w:b/>
      <w:bCs/>
      <w:sz w:val="24"/>
      <w:szCs w:val="24"/>
    </w:rPr>
  </w:style>
</w:styles>
</file>

<file path=word/webSettings.xml><?xml version="1.0" encoding="utf-8"?>
<w:webSettings xmlns:r="http://schemas.openxmlformats.org/officeDocument/2006/relationships" xmlns:w="http://schemas.openxmlformats.org/wordprocessingml/2006/main">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yager@ercot.com"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genove@ercot.com" TargetMode="Externa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hyperlink" Target="mailto:smingo@erco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11882</Words>
  <Characters>67733</Characters>
  <Application>Microsoft Office Word</Application>
  <DocSecurity>4</DocSecurity>
  <Lines>564</Lines>
  <Paragraphs>158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79457</CharactersWithSpaces>
  <SharedDoc>false</SharedDoc>
  <HLinks>
    <vt:vector size="18" baseType="variant">
      <vt:variant>
        <vt:i4>196663</vt:i4>
      </vt:variant>
      <vt:variant>
        <vt:i4>6</vt:i4>
      </vt:variant>
      <vt:variant>
        <vt:i4>0</vt:i4>
      </vt:variant>
      <vt:variant>
        <vt:i4>5</vt:i4>
      </vt:variant>
      <vt:variant>
        <vt:lpwstr>mailto:smingo@ercot.com</vt:lpwstr>
      </vt:variant>
      <vt:variant>
        <vt:lpwstr/>
      </vt:variant>
      <vt:variant>
        <vt:i4>1638455</vt:i4>
      </vt:variant>
      <vt:variant>
        <vt:i4>3</vt:i4>
      </vt:variant>
      <vt:variant>
        <vt:i4>0</vt:i4>
      </vt:variant>
      <vt:variant>
        <vt:i4>5</vt:i4>
      </vt:variant>
      <vt:variant>
        <vt:lpwstr>mailto:cyager@ercot.com</vt:lpwstr>
      </vt:variant>
      <vt:variant>
        <vt:lpwstr/>
      </vt:variant>
      <vt:variant>
        <vt:i4>1966121</vt:i4>
      </vt:variant>
      <vt:variant>
        <vt:i4>0</vt:i4>
      </vt:variant>
      <vt:variant>
        <vt:i4>0</vt:i4>
      </vt:variant>
      <vt:variant>
        <vt:i4>5</vt:i4>
      </vt:variant>
      <vt:variant>
        <vt:lpwstr>mailto:ogenove@ercot.com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vspells</cp:lastModifiedBy>
  <cp:revision>2</cp:revision>
  <cp:lastPrinted>2010-12-20T20:47:00Z</cp:lastPrinted>
  <dcterms:created xsi:type="dcterms:W3CDTF">2011-04-29T19:27:00Z</dcterms:created>
  <dcterms:modified xsi:type="dcterms:W3CDTF">2011-04-29T19:27:00Z</dcterms:modified>
</cp:coreProperties>
</file>