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630FB4">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630FB4" w:rsidRDefault="009D7C0C">
            <w:pPr>
              <w:pStyle w:val="Header"/>
            </w:pPr>
            <w:r>
              <w:t>N</w:t>
            </w:r>
            <w:r w:rsidR="00630FB4">
              <w:t>PRR Number</w:t>
            </w:r>
          </w:p>
        </w:tc>
        <w:tc>
          <w:tcPr>
            <w:tcW w:w="1260" w:type="dxa"/>
            <w:tcBorders>
              <w:bottom w:val="single" w:sz="4" w:space="0" w:color="auto"/>
            </w:tcBorders>
            <w:vAlign w:val="center"/>
          </w:tcPr>
          <w:p w:rsidR="00630FB4" w:rsidRDefault="00FC1F16">
            <w:pPr>
              <w:pStyle w:val="Header"/>
            </w:pPr>
            <w:r>
              <w:t>337</w:t>
            </w:r>
          </w:p>
        </w:tc>
        <w:tc>
          <w:tcPr>
            <w:tcW w:w="900" w:type="dxa"/>
            <w:tcBorders>
              <w:bottom w:val="single" w:sz="4" w:space="0" w:color="auto"/>
            </w:tcBorders>
            <w:shd w:val="clear" w:color="auto" w:fill="FFFFFF"/>
            <w:vAlign w:val="center"/>
          </w:tcPr>
          <w:p w:rsidR="00630FB4" w:rsidRDefault="009D7C0C">
            <w:pPr>
              <w:pStyle w:val="Header"/>
            </w:pPr>
            <w:r>
              <w:t>N</w:t>
            </w:r>
            <w:r w:rsidR="00630FB4">
              <w:t>PRR Title</w:t>
            </w:r>
          </w:p>
        </w:tc>
        <w:tc>
          <w:tcPr>
            <w:tcW w:w="6660" w:type="dxa"/>
            <w:gridSpan w:val="2"/>
            <w:tcBorders>
              <w:bottom w:val="single" w:sz="4" w:space="0" w:color="auto"/>
            </w:tcBorders>
            <w:vAlign w:val="center"/>
          </w:tcPr>
          <w:p w:rsidR="00630FB4" w:rsidRDefault="00FC1F16">
            <w:pPr>
              <w:pStyle w:val="Header"/>
            </w:pPr>
            <w:r w:rsidRPr="00FC1F16">
              <w:t xml:space="preserve">Correct Section Reference in Section 1.3.1.1 Pertaining To Protected Information of DC Ties </w:t>
            </w:r>
          </w:p>
        </w:tc>
      </w:tr>
      <w:tr w:rsidR="005543F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43FA" w:rsidRPr="00F573FE" w:rsidRDefault="005543FA" w:rsidP="00730FA8">
            <w:pPr>
              <w:pStyle w:val="Header"/>
            </w:pPr>
            <w:r>
              <w:t>Timeline</w:t>
            </w:r>
          </w:p>
        </w:tc>
        <w:tc>
          <w:tcPr>
            <w:tcW w:w="1260" w:type="dxa"/>
            <w:tcBorders>
              <w:bottom w:val="single" w:sz="4" w:space="0" w:color="auto"/>
            </w:tcBorders>
            <w:vAlign w:val="center"/>
          </w:tcPr>
          <w:p w:rsidR="005543FA" w:rsidRDefault="00FC1F16" w:rsidP="00730FA8">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43FA" w:rsidRDefault="00C75ABB" w:rsidP="00730FA8">
            <w:pPr>
              <w:pStyle w:val="Header"/>
            </w:pPr>
            <w:r>
              <w:t>Action</w:t>
            </w:r>
          </w:p>
        </w:tc>
        <w:tc>
          <w:tcPr>
            <w:tcW w:w="4680" w:type="dxa"/>
            <w:tcBorders>
              <w:bottom w:val="single" w:sz="4" w:space="0" w:color="auto"/>
            </w:tcBorders>
            <w:shd w:val="clear" w:color="auto" w:fill="FFFFFF"/>
            <w:vAlign w:val="center"/>
          </w:tcPr>
          <w:p w:rsidR="005543FA" w:rsidRPr="00BD786A" w:rsidRDefault="00FC1F16" w:rsidP="00E0419C">
            <w:pPr>
              <w:pStyle w:val="Header"/>
              <w:rPr>
                <w:b w:val="0"/>
              </w:rPr>
            </w:pPr>
            <w:r>
              <w:rPr>
                <w:b w:val="0"/>
              </w:rPr>
              <w:t>Recommended Approval</w:t>
            </w:r>
          </w:p>
        </w:tc>
      </w:tr>
      <w:tr w:rsidR="00FC1F16">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FC1F16" w:rsidRDefault="00FC1F16">
            <w:pPr>
              <w:pStyle w:val="Header"/>
            </w:pPr>
            <w:r>
              <w:t>Date of Decision</w:t>
            </w:r>
          </w:p>
        </w:tc>
        <w:tc>
          <w:tcPr>
            <w:tcW w:w="7560" w:type="dxa"/>
            <w:gridSpan w:val="3"/>
            <w:tcBorders>
              <w:top w:val="single" w:sz="4" w:space="0" w:color="auto"/>
            </w:tcBorders>
            <w:vAlign w:val="center"/>
          </w:tcPr>
          <w:p w:rsidR="00FC1F16" w:rsidRDefault="00FC1F16" w:rsidP="00086DCF">
            <w:pPr>
              <w:pStyle w:val="NormalArial"/>
            </w:pPr>
            <w:r>
              <w:t>April 21, 2011</w:t>
            </w:r>
          </w:p>
        </w:tc>
      </w:tr>
      <w:tr w:rsidR="00FC1F16" w:rsidTr="00D051D0">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FC1F16" w:rsidRDefault="00FC1F16" w:rsidP="00D051D0">
            <w:pPr>
              <w:pStyle w:val="Header"/>
            </w:pPr>
            <w:r>
              <w:t>Proposed Effective Date</w:t>
            </w:r>
          </w:p>
        </w:tc>
        <w:tc>
          <w:tcPr>
            <w:tcW w:w="7560" w:type="dxa"/>
            <w:gridSpan w:val="3"/>
            <w:vAlign w:val="center"/>
          </w:tcPr>
          <w:p w:rsidR="00FC1F16" w:rsidRDefault="00FC1F16" w:rsidP="00086DCF">
            <w:pPr>
              <w:pStyle w:val="NormalArial"/>
            </w:pPr>
            <w:r>
              <w:t>To be determined.</w:t>
            </w:r>
          </w:p>
        </w:tc>
      </w:tr>
      <w:tr w:rsidR="00FC1F16" w:rsidTr="00D051D0">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FC1F16" w:rsidRDefault="00FC1F16" w:rsidP="00D051D0">
            <w:pPr>
              <w:pStyle w:val="Header"/>
            </w:pPr>
            <w:r>
              <w:t>Priority and Rank Assigned</w:t>
            </w:r>
          </w:p>
        </w:tc>
        <w:tc>
          <w:tcPr>
            <w:tcW w:w="7560" w:type="dxa"/>
            <w:gridSpan w:val="3"/>
            <w:vAlign w:val="center"/>
          </w:tcPr>
          <w:p w:rsidR="00FC1F16" w:rsidRDefault="00FC1F16" w:rsidP="00086DCF">
            <w:pPr>
              <w:pStyle w:val="NormalArial"/>
            </w:pPr>
            <w:r>
              <w:t>To be determined.</w:t>
            </w:r>
          </w:p>
        </w:tc>
      </w:tr>
      <w:tr w:rsidR="00383223">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383223" w:rsidRDefault="00383223" w:rsidP="00913972">
            <w:pPr>
              <w:pStyle w:val="Header"/>
            </w:pPr>
            <w:r>
              <w:t>Nodal Protocol Section Requiring Revision</w:t>
            </w:r>
          </w:p>
        </w:tc>
        <w:tc>
          <w:tcPr>
            <w:tcW w:w="7560" w:type="dxa"/>
            <w:gridSpan w:val="3"/>
            <w:tcBorders>
              <w:top w:val="single" w:sz="4" w:space="0" w:color="auto"/>
            </w:tcBorders>
            <w:vAlign w:val="center"/>
          </w:tcPr>
          <w:p w:rsidR="00383223" w:rsidRDefault="00FC1F16" w:rsidP="00C72DAD">
            <w:pPr>
              <w:pStyle w:val="NormalArial"/>
            </w:pPr>
            <w:r w:rsidRPr="00FC1F16">
              <w:t xml:space="preserve">1.3.1.1, Items Considered Protected Information </w:t>
            </w:r>
          </w:p>
        </w:tc>
      </w:tr>
      <w:tr w:rsidR="00FC1F16">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FC1F16" w:rsidRDefault="00FC1F16">
            <w:pPr>
              <w:pStyle w:val="Header"/>
            </w:pPr>
            <w:r>
              <w:t>Revision Description</w:t>
            </w:r>
          </w:p>
        </w:tc>
        <w:tc>
          <w:tcPr>
            <w:tcW w:w="7560" w:type="dxa"/>
            <w:gridSpan w:val="3"/>
            <w:tcBorders>
              <w:bottom w:val="single" w:sz="4" w:space="0" w:color="auto"/>
            </w:tcBorders>
            <w:vAlign w:val="center"/>
          </w:tcPr>
          <w:p w:rsidR="00FC1F16" w:rsidRDefault="00FC1F16" w:rsidP="00086DCF">
            <w:pPr>
              <w:pStyle w:val="NormalArial"/>
            </w:pPr>
            <w:r>
              <w:t xml:space="preserve">This Nodal Protocol Revision Request (NPRR) aligns the Nodal Protocols with the </w:t>
            </w:r>
            <w:r w:rsidR="009D1DBF">
              <w:t>z</w:t>
            </w:r>
            <w:r>
              <w:t xml:space="preserve">onal Protocols by correcting the section reference in Section 1.3.1.1 to reflect the actual section that contains the Direct Current Tie (DC Tie) Schedule Information that is considered Protected Information. </w:t>
            </w:r>
          </w:p>
        </w:tc>
      </w:tr>
      <w:tr w:rsidR="00FC1F16" w:rsidTr="00D051D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FC1F16" w:rsidRDefault="00FC1F16" w:rsidP="00D051D0">
            <w:pPr>
              <w:pStyle w:val="Header"/>
            </w:pPr>
            <w:r>
              <w:t>Reason for Revision</w:t>
            </w:r>
          </w:p>
        </w:tc>
        <w:tc>
          <w:tcPr>
            <w:tcW w:w="7560" w:type="dxa"/>
            <w:gridSpan w:val="3"/>
            <w:tcBorders>
              <w:bottom w:val="single" w:sz="4" w:space="0" w:color="auto"/>
            </w:tcBorders>
            <w:vAlign w:val="center"/>
          </w:tcPr>
          <w:p w:rsidR="00FC1F16" w:rsidRDefault="00FC1F16" w:rsidP="009D1DBF">
            <w:pPr>
              <w:pStyle w:val="NormalArial"/>
            </w:pPr>
            <w:r>
              <w:t xml:space="preserve">Section 1.3.1.1 </w:t>
            </w:r>
            <w:r w:rsidR="009D1DBF">
              <w:t xml:space="preserve">incorrectly </w:t>
            </w:r>
            <w:r>
              <w:t xml:space="preserve">references Section 4.4.4, DC Tie Schedules, which describes the operational process for DC Ties, whereas Section 9.17.2, </w:t>
            </w:r>
            <w:r>
              <w:rPr>
                <w:szCs w:val="20"/>
              </w:rPr>
              <w:t>Direct Current Tie Schedule Information, contains the information provided to a Transmission Service Provider (TSP) or Distribution Service Provider (DSP).</w:t>
            </w:r>
          </w:p>
        </w:tc>
      </w:tr>
      <w:tr w:rsidR="00FC1F16">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FC1F16" w:rsidRDefault="00FC1F16">
            <w:pPr>
              <w:pStyle w:val="Header"/>
            </w:pPr>
            <w:r>
              <w:t>Overall Market Benefit</w:t>
            </w:r>
          </w:p>
        </w:tc>
        <w:tc>
          <w:tcPr>
            <w:tcW w:w="7560" w:type="dxa"/>
            <w:gridSpan w:val="3"/>
            <w:tcBorders>
              <w:bottom w:val="single" w:sz="4" w:space="0" w:color="auto"/>
            </w:tcBorders>
            <w:vAlign w:val="center"/>
          </w:tcPr>
          <w:p w:rsidR="00FC1F16" w:rsidRDefault="00FC1F16" w:rsidP="00086DCF">
            <w:pPr>
              <w:pStyle w:val="NormalArial"/>
            </w:pPr>
            <w:r>
              <w:t>More accurate Nodal Protocol language.</w:t>
            </w:r>
          </w:p>
        </w:tc>
      </w:tr>
      <w:tr w:rsidR="00FC1F16">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FC1F16" w:rsidRDefault="00FC1F16">
            <w:pPr>
              <w:pStyle w:val="Header"/>
            </w:pPr>
            <w:r>
              <w:t>Overall Market Impact</w:t>
            </w:r>
          </w:p>
        </w:tc>
        <w:tc>
          <w:tcPr>
            <w:tcW w:w="7560" w:type="dxa"/>
            <w:gridSpan w:val="3"/>
            <w:tcBorders>
              <w:bottom w:val="single" w:sz="4" w:space="0" w:color="auto"/>
            </w:tcBorders>
            <w:vAlign w:val="center"/>
          </w:tcPr>
          <w:p w:rsidR="00FC1F16" w:rsidRDefault="00FC1F16" w:rsidP="00086DCF">
            <w:pPr>
              <w:pStyle w:val="NormalArial"/>
            </w:pPr>
            <w:r>
              <w:t>None.</w:t>
            </w:r>
          </w:p>
        </w:tc>
      </w:tr>
      <w:tr w:rsidR="00FC1F16">
        <w:tblPrEx>
          <w:tblCellMar>
            <w:top w:w="0" w:type="dxa"/>
            <w:bottom w:w="0" w:type="dxa"/>
          </w:tblCellMar>
        </w:tblPrEx>
        <w:trPr>
          <w:trHeight w:val="512"/>
        </w:trPr>
        <w:tc>
          <w:tcPr>
            <w:tcW w:w="2880" w:type="dxa"/>
            <w:gridSpan w:val="2"/>
            <w:shd w:val="clear" w:color="auto" w:fill="FFFFFF"/>
            <w:vAlign w:val="center"/>
          </w:tcPr>
          <w:p w:rsidR="00FC1F16" w:rsidRDefault="00FC1F16">
            <w:pPr>
              <w:pStyle w:val="Header"/>
            </w:pPr>
            <w:r>
              <w:t>Consumer Impact</w:t>
            </w:r>
          </w:p>
        </w:tc>
        <w:tc>
          <w:tcPr>
            <w:tcW w:w="7560" w:type="dxa"/>
            <w:gridSpan w:val="3"/>
            <w:vAlign w:val="center"/>
          </w:tcPr>
          <w:p w:rsidR="00FC1F16" w:rsidRDefault="00FC1F16" w:rsidP="00086DCF">
            <w:pPr>
              <w:pStyle w:val="NormalArial"/>
            </w:pPr>
            <w:r>
              <w:t>None.</w:t>
            </w:r>
          </w:p>
        </w:tc>
      </w:tr>
      <w:tr w:rsidR="00FC1F16">
        <w:tblPrEx>
          <w:tblCellMar>
            <w:top w:w="0" w:type="dxa"/>
            <w:bottom w:w="0" w:type="dxa"/>
          </w:tblCellMar>
        </w:tblPrEx>
        <w:trPr>
          <w:trHeight w:val="1160"/>
        </w:trPr>
        <w:tc>
          <w:tcPr>
            <w:tcW w:w="2880" w:type="dxa"/>
            <w:gridSpan w:val="2"/>
            <w:shd w:val="clear" w:color="auto" w:fill="FFFFFF"/>
            <w:vAlign w:val="center"/>
          </w:tcPr>
          <w:p w:rsidR="00FC1F16" w:rsidRDefault="00FC1F16">
            <w:pPr>
              <w:pStyle w:val="Header"/>
            </w:pPr>
            <w:r>
              <w:t>Credit Impacts</w:t>
            </w:r>
          </w:p>
        </w:tc>
        <w:tc>
          <w:tcPr>
            <w:tcW w:w="7560" w:type="dxa"/>
            <w:gridSpan w:val="3"/>
            <w:vAlign w:val="center"/>
          </w:tcPr>
          <w:p w:rsidR="00FC1F16" w:rsidRDefault="00FC1F16" w:rsidP="00FC1F16">
            <w:pPr>
              <w:pStyle w:val="NormalArial"/>
            </w:pPr>
            <w:r>
              <w:t>To be determined</w:t>
            </w:r>
            <w:r w:rsidR="002604CD">
              <w:t>.</w:t>
            </w:r>
          </w:p>
        </w:tc>
      </w:tr>
      <w:tr w:rsidR="00226E82">
        <w:tblPrEx>
          <w:tblCellMar>
            <w:top w:w="0" w:type="dxa"/>
            <w:bottom w:w="0" w:type="dxa"/>
          </w:tblCellMar>
        </w:tblPrEx>
        <w:trPr>
          <w:trHeight w:val="458"/>
        </w:trPr>
        <w:tc>
          <w:tcPr>
            <w:tcW w:w="2880" w:type="dxa"/>
            <w:gridSpan w:val="2"/>
            <w:shd w:val="clear" w:color="auto" w:fill="FFFFFF"/>
            <w:vAlign w:val="center"/>
          </w:tcPr>
          <w:p w:rsidR="00226E82" w:rsidRDefault="00944960">
            <w:pPr>
              <w:pStyle w:val="Header"/>
            </w:pPr>
            <w:r>
              <w:t>Procedural History</w:t>
            </w:r>
          </w:p>
        </w:tc>
        <w:tc>
          <w:tcPr>
            <w:tcW w:w="7560" w:type="dxa"/>
            <w:gridSpan w:val="3"/>
            <w:vAlign w:val="center"/>
          </w:tcPr>
          <w:p w:rsidR="002604CD" w:rsidRDefault="002604CD" w:rsidP="002604CD">
            <w:pPr>
              <w:pStyle w:val="NormalArial"/>
              <w:numPr>
                <w:ilvl w:val="0"/>
                <w:numId w:val="17"/>
              </w:numPr>
              <w:tabs>
                <w:tab w:val="clear" w:pos="720"/>
                <w:tab w:val="num" w:pos="432"/>
              </w:tabs>
              <w:ind w:left="432"/>
            </w:pPr>
            <w:r>
              <w:t>On 3/10/11, NPRR337 and an Impact Analysis were posted.</w:t>
            </w:r>
          </w:p>
          <w:p w:rsidR="00226E82" w:rsidRDefault="002604CD" w:rsidP="002604CD">
            <w:pPr>
              <w:pStyle w:val="NormalArial"/>
              <w:numPr>
                <w:ilvl w:val="0"/>
                <w:numId w:val="17"/>
              </w:numPr>
              <w:tabs>
                <w:tab w:val="clear" w:pos="720"/>
                <w:tab w:val="num" w:pos="432"/>
              </w:tabs>
              <w:ind w:left="432"/>
            </w:pPr>
            <w:r>
              <w:t>On 4/21/11, PRS considered NPRR337.</w:t>
            </w:r>
          </w:p>
        </w:tc>
      </w:tr>
      <w:tr w:rsidR="002604CD">
        <w:tblPrEx>
          <w:tblCellMar>
            <w:top w:w="0" w:type="dxa"/>
            <w:bottom w:w="0" w:type="dxa"/>
          </w:tblCellMar>
        </w:tblPrEx>
        <w:trPr>
          <w:trHeight w:val="503"/>
        </w:trPr>
        <w:tc>
          <w:tcPr>
            <w:tcW w:w="2880" w:type="dxa"/>
            <w:gridSpan w:val="2"/>
            <w:shd w:val="clear" w:color="auto" w:fill="FFFFFF"/>
            <w:vAlign w:val="center"/>
          </w:tcPr>
          <w:p w:rsidR="002604CD" w:rsidRDefault="002604CD">
            <w:pPr>
              <w:pStyle w:val="Header"/>
            </w:pPr>
            <w:smartTag w:uri="urn:schemas-microsoft-com:office:smarttags" w:element="place">
              <w:r>
                <w:t>PRS</w:t>
              </w:r>
            </w:smartTag>
            <w:r>
              <w:t xml:space="preserve"> Decision </w:t>
            </w:r>
          </w:p>
        </w:tc>
        <w:tc>
          <w:tcPr>
            <w:tcW w:w="7560" w:type="dxa"/>
            <w:gridSpan w:val="3"/>
            <w:vAlign w:val="center"/>
          </w:tcPr>
          <w:p w:rsidR="002604CD" w:rsidRDefault="002604CD" w:rsidP="002604CD">
            <w:pPr>
              <w:pStyle w:val="NormalArial"/>
            </w:pPr>
            <w:r w:rsidRPr="002E4B9C">
              <w:t xml:space="preserve">On </w:t>
            </w:r>
            <w:r>
              <w:t>4/21</w:t>
            </w:r>
            <w:r w:rsidRPr="002E4B9C">
              <w:t xml:space="preserve">/11, PRS </w:t>
            </w:r>
            <w:r>
              <w:t xml:space="preserve">unanimously </w:t>
            </w:r>
            <w:r w:rsidRPr="002E4B9C">
              <w:t xml:space="preserve">voted to </w:t>
            </w:r>
            <w:r>
              <w:t xml:space="preserve">recommend approval of NPRR337 as submitted.  </w:t>
            </w:r>
            <w:r w:rsidRPr="002E4B9C">
              <w:t>All Market Segments were present for the votes.</w:t>
            </w:r>
          </w:p>
        </w:tc>
      </w:tr>
      <w:tr w:rsidR="002604CD">
        <w:tblPrEx>
          <w:tblCellMar>
            <w:top w:w="0" w:type="dxa"/>
            <w:bottom w:w="0" w:type="dxa"/>
          </w:tblCellMar>
        </w:tblPrEx>
        <w:trPr>
          <w:trHeight w:val="557"/>
        </w:trPr>
        <w:tc>
          <w:tcPr>
            <w:tcW w:w="2880" w:type="dxa"/>
            <w:gridSpan w:val="2"/>
            <w:shd w:val="clear" w:color="auto" w:fill="FFFFFF"/>
            <w:vAlign w:val="center"/>
          </w:tcPr>
          <w:p w:rsidR="002604CD" w:rsidRDefault="002604CD">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2604CD" w:rsidRDefault="002604CD" w:rsidP="002604CD">
            <w:pPr>
              <w:pStyle w:val="NormalArial"/>
            </w:pPr>
            <w:r>
              <w:t xml:space="preserve">On 4/21/11, there was no discussion.  </w:t>
            </w:r>
          </w:p>
        </w:tc>
      </w:tr>
    </w:tbl>
    <w:p w:rsidR="00204D5F" w:rsidRDefault="00204D5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7"/>
        <w:gridCol w:w="360"/>
        <w:gridCol w:w="3600"/>
        <w:gridCol w:w="4673"/>
      </w:tblGrid>
      <w:tr w:rsidR="00FC1F16">
        <w:tblPrEx>
          <w:tblCellMar>
            <w:top w:w="0" w:type="dxa"/>
            <w:bottom w:w="0" w:type="dxa"/>
          </w:tblCellMar>
        </w:tblPrEx>
        <w:trPr>
          <w:trHeight w:val="350"/>
        </w:trPr>
        <w:tc>
          <w:tcPr>
            <w:tcW w:w="10440" w:type="dxa"/>
            <w:gridSpan w:val="4"/>
            <w:tcBorders>
              <w:bottom w:val="single" w:sz="4" w:space="0" w:color="auto"/>
            </w:tcBorders>
            <w:shd w:val="clear" w:color="auto" w:fill="FFFFFF"/>
            <w:vAlign w:val="center"/>
          </w:tcPr>
          <w:p w:rsidR="00FC1F16" w:rsidRDefault="00FC1F16">
            <w:pPr>
              <w:pStyle w:val="Header"/>
              <w:jc w:val="center"/>
            </w:pPr>
            <w:r>
              <w:br w:type="page"/>
              <w:t>Quantitative Impacts and Benefits</w:t>
            </w:r>
          </w:p>
        </w:tc>
      </w:tr>
      <w:tr w:rsidR="00FC1F16" w:rsidRPr="00AC6C3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restart"/>
            <w:tcBorders>
              <w:top w:val="single" w:sz="12" w:space="0" w:color="auto"/>
            </w:tcBorders>
            <w:shd w:val="clear" w:color="auto" w:fill="auto"/>
            <w:vAlign w:val="center"/>
          </w:tcPr>
          <w:p w:rsidR="00FC1F16" w:rsidRPr="00E41BCF" w:rsidRDefault="00FC1F16">
            <w:pPr>
              <w:pStyle w:val="Header"/>
            </w:pPr>
            <w:r w:rsidRPr="00E41BCF">
              <w:t>Assumptions</w:t>
            </w:r>
          </w:p>
        </w:tc>
        <w:tc>
          <w:tcPr>
            <w:tcW w:w="360" w:type="dxa"/>
            <w:tcBorders>
              <w:top w:val="single" w:sz="12" w:space="0" w:color="auto"/>
              <w:bottom w:val="single" w:sz="8" w:space="0" w:color="auto"/>
            </w:tcBorders>
            <w:vAlign w:val="center"/>
          </w:tcPr>
          <w:p w:rsidR="00FC1F16" w:rsidRPr="00BD6AA7" w:rsidRDefault="00FC1F16">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FC1F16" w:rsidRPr="00AC6C37" w:rsidRDefault="00FC1F16">
            <w:pPr>
              <w:pStyle w:val="Header"/>
              <w:rPr>
                <w:b w:val="0"/>
                <w:i/>
                <w:sz w:val="20"/>
                <w:szCs w:val="20"/>
              </w:rPr>
            </w:pPr>
          </w:p>
        </w:tc>
      </w:tr>
      <w:tr w:rsidR="00FC1F16" w:rsidRPr="00AC6C3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pPr>
          </w:p>
        </w:tc>
        <w:tc>
          <w:tcPr>
            <w:tcW w:w="360" w:type="dxa"/>
            <w:tcBorders>
              <w:top w:val="single" w:sz="8" w:space="0" w:color="auto"/>
            </w:tcBorders>
            <w:vAlign w:val="center"/>
          </w:tcPr>
          <w:p w:rsidR="00FC1F16" w:rsidRPr="00864358" w:rsidRDefault="00FC1F16">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FC1F16" w:rsidRPr="00AC6C37" w:rsidRDefault="00FC1F16">
            <w:pPr>
              <w:pStyle w:val="Header"/>
              <w:rPr>
                <w:b w:val="0"/>
                <w:i/>
                <w:sz w:val="20"/>
                <w:szCs w:val="20"/>
              </w:rPr>
            </w:pPr>
          </w:p>
        </w:tc>
      </w:tr>
      <w:tr w:rsidR="00FC1F16" w:rsidRPr="00AC6C3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pPr>
          </w:p>
        </w:tc>
        <w:tc>
          <w:tcPr>
            <w:tcW w:w="360" w:type="dxa"/>
            <w:vAlign w:val="center"/>
          </w:tcPr>
          <w:p w:rsidR="00FC1F16" w:rsidRPr="00864358" w:rsidRDefault="00FC1F16">
            <w:pPr>
              <w:pStyle w:val="Header"/>
              <w:jc w:val="center"/>
              <w:rPr>
                <w:b w:val="0"/>
                <w:sz w:val="20"/>
                <w:szCs w:val="20"/>
              </w:rPr>
            </w:pPr>
            <w:r w:rsidRPr="00864358">
              <w:rPr>
                <w:b w:val="0"/>
                <w:sz w:val="20"/>
                <w:szCs w:val="20"/>
              </w:rPr>
              <w:t>3</w:t>
            </w:r>
          </w:p>
        </w:tc>
        <w:tc>
          <w:tcPr>
            <w:tcW w:w="8273" w:type="dxa"/>
            <w:gridSpan w:val="2"/>
            <w:vAlign w:val="center"/>
          </w:tcPr>
          <w:p w:rsidR="00FC1F16" w:rsidRPr="00AC6C37" w:rsidRDefault="00FC1F16">
            <w:pPr>
              <w:pStyle w:val="Header"/>
              <w:rPr>
                <w:b w:val="0"/>
                <w:i/>
                <w:sz w:val="20"/>
                <w:szCs w:val="20"/>
              </w:rPr>
            </w:pPr>
          </w:p>
        </w:tc>
      </w:tr>
      <w:tr w:rsidR="00FC1F16" w:rsidRPr="00AC6C3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tcBorders>
              <w:bottom w:val="single" w:sz="12" w:space="0" w:color="auto"/>
            </w:tcBorders>
            <w:vAlign w:val="center"/>
          </w:tcPr>
          <w:p w:rsidR="00FC1F16" w:rsidRPr="00E41BCF" w:rsidRDefault="00FC1F16">
            <w:pPr>
              <w:pStyle w:val="Header"/>
            </w:pPr>
          </w:p>
        </w:tc>
        <w:tc>
          <w:tcPr>
            <w:tcW w:w="360" w:type="dxa"/>
            <w:tcBorders>
              <w:bottom w:val="single" w:sz="12" w:space="0" w:color="auto"/>
            </w:tcBorders>
            <w:vAlign w:val="center"/>
          </w:tcPr>
          <w:p w:rsidR="00FC1F16" w:rsidRPr="00864358" w:rsidRDefault="00FC1F16">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FC1F16" w:rsidRPr="00AC6C37" w:rsidRDefault="00FC1F16">
            <w:pPr>
              <w:pStyle w:val="Header"/>
              <w:rPr>
                <w:b w:val="0"/>
                <w:i/>
                <w:sz w:val="20"/>
                <w:szCs w:val="20"/>
              </w:rPr>
            </w:pPr>
          </w:p>
        </w:tc>
      </w:tr>
      <w:tr w:rsidR="00FC1F16" w:rsidRPr="000C359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restart"/>
            <w:tcBorders>
              <w:top w:val="single" w:sz="12" w:space="0" w:color="auto"/>
              <w:right w:val="single" w:sz="4" w:space="0" w:color="auto"/>
            </w:tcBorders>
            <w:shd w:val="clear" w:color="auto" w:fill="auto"/>
            <w:vAlign w:val="center"/>
          </w:tcPr>
          <w:p w:rsidR="00FC1F16" w:rsidRPr="00E41BCF" w:rsidRDefault="00FC1F16">
            <w:pPr>
              <w:pStyle w:val="Header"/>
              <w:jc w:val="center"/>
            </w:pPr>
            <w:r w:rsidRPr="00E41BCF">
              <w:lastRenderedPageBreak/>
              <w:t>Market Cost</w:t>
            </w:r>
          </w:p>
        </w:tc>
        <w:tc>
          <w:tcPr>
            <w:tcW w:w="360" w:type="dxa"/>
            <w:tcBorders>
              <w:top w:val="single" w:sz="12" w:space="0" w:color="auto"/>
              <w:left w:val="single" w:sz="4" w:space="0" w:color="auto"/>
              <w:bottom w:val="single" w:sz="8" w:space="0" w:color="auto"/>
            </w:tcBorders>
            <w:shd w:val="clear" w:color="auto" w:fill="auto"/>
            <w:vAlign w:val="center"/>
          </w:tcPr>
          <w:p w:rsidR="00FC1F16" w:rsidRDefault="00FC1F16">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FC1F16" w:rsidRPr="000C3592" w:rsidRDefault="00FC1F16">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FC1F16" w:rsidRPr="000C3592" w:rsidRDefault="00FC1F16">
            <w:pPr>
              <w:pStyle w:val="NormalArial"/>
              <w:jc w:val="center"/>
              <w:rPr>
                <w:b/>
                <w:sz w:val="20"/>
              </w:rPr>
            </w:pPr>
            <w:r>
              <w:rPr>
                <w:b/>
                <w:sz w:val="20"/>
              </w:rPr>
              <w:t>Monetary Impact</w:t>
            </w: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shd w:val="clear" w:color="auto" w:fill="auto"/>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FC1F16" w:rsidRPr="00C90F7E" w:rsidRDefault="00FC1F16">
            <w:pPr>
              <w:pStyle w:val="NormalArial"/>
              <w:rPr>
                <w:i/>
                <w:sz w:val="20"/>
              </w:rPr>
            </w:pPr>
            <w:r>
              <w:rPr>
                <w:i/>
                <w:sz w:val="20"/>
              </w:rPr>
              <w:t>None.</w:t>
            </w:r>
          </w:p>
        </w:tc>
        <w:tc>
          <w:tcPr>
            <w:tcW w:w="4673" w:type="dxa"/>
            <w:tcBorders>
              <w:top w:val="single" w:sz="8" w:space="0" w:color="auto"/>
              <w:bottom w:val="single" w:sz="8" w:space="0" w:color="auto"/>
            </w:tcBorders>
            <w:vAlign w:val="center"/>
          </w:tcPr>
          <w:p w:rsidR="00FC1F16" w:rsidRPr="00C90F7E" w:rsidRDefault="00FC1F16">
            <w:pPr>
              <w:pStyle w:val="NormalArial"/>
              <w:rPr>
                <w:i/>
                <w:sz w:val="20"/>
              </w:rPr>
            </w:pPr>
            <w:r>
              <w:rPr>
                <w:i/>
                <w:sz w:val="20"/>
              </w:rPr>
              <w:t>None.</w:t>
            </w: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jc w:val="center"/>
            </w:pPr>
          </w:p>
        </w:tc>
        <w:tc>
          <w:tcPr>
            <w:tcW w:w="360" w:type="dxa"/>
            <w:tcBorders>
              <w:top w:val="single" w:sz="8" w:space="0" w:color="auto"/>
              <w:bottom w:val="single" w:sz="8" w:space="0" w:color="auto"/>
            </w:tcBorders>
            <w:shd w:val="clear" w:color="auto" w:fill="auto"/>
            <w:vAlign w:val="center"/>
          </w:tcPr>
          <w:p w:rsidR="00FC1F16" w:rsidRDefault="00FC1F16">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FC1F16" w:rsidRPr="00C90F7E" w:rsidRDefault="00FC1F16">
            <w:pPr>
              <w:pStyle w:val="NormalArial"/>
              <w:rPr>
                <w:i/>
                <w:sz w:val="20"/>
              </w:rPr>
            </w:pPr>
          </w:p>
        </w:tc>
        <w:tc>
          <w:tcPr>
            <w:tcW w:w="4673" w:type="dxa"/>
            <w:tcBorders>
              <w:top w:val="single" w:sz="8" w:space="0" w:color="auto"/>
              <w:bottom w:val="single" w:sz="8" w:space="0" w:color="auto"/>
            </w:tcBorders>
            <w:shd w:val="clear" w:color="auto" w:fill="auto"/>
            <w:vAlign w:val="center"/>
          </w:tcPr>
          <w:p w:rsidR="00FC1F16" w:rsidRPr="00C90F7E" w:rsidRDefault="00FC1F16">
            <w:pPr>
              <w:pStyle w:val="NormalArial"/>
              <w:rPr>
                <w:i/>
                <w:sz w:val="20"/>
              </w:rPr>
            </w:pP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FC1F16" w:rsidRPr="00C90F7E" w:rsidRDefault="00FC1F16">
            <w:pPr>
              <w:pStyle w:val="NormalArial"/>
              <w:rPr>
                <w:i/>
                <w:sz w:val="20"/>
              </w:rPr>
            </w:pPr>
          </w:p>
        </w:tc>
        <w:tc>
          <w:tcPr>
            <w:tcW w:w="4673" w:type="dxa"/>
            <w:tcBorders>
              <w:top w:val="single" w:sz="8" w:space="0" w:color="auto"/>
              <w:bottom w:val="single" w:sz="8" w:space="0" w:color="auto"/>
            </w:tcBorders>
            <w:vAlign w:val="center"/>
          </w:tcPr>
          <w:p w:rsidR="00FC1F16" w:rsidRPr="00C90F7E" w:rsidRDefault="00FC1F16">
            <w:pPr>
              <w:pStyle w:val="NormalArial"/>
              <w:rPr>
                <w:i/>
                <w:sz w:val="20"/>
              </w:rPr>
            </w:pP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tcBorders>
              <w:bottom w:val="single" w:sz="12" w:space="0" w:color="auto"/>
            </w:tcBorders>
            <w:vAlign w:val="center"/>
          </w:tcPr>
          <w:p w:rsidR="00FC1F16" w:rsidRPr="00E41BCF" w:rsidRDefault="00FC1F16">
            <w:pPr>
              <w:pStyle w:val="Header"/>
              <w:jc w:val="center"/>
            </w:pPr>
          </w:p>
        </w:tc>
        <w:tc>
          <w:tcPr>
            <w:tcW w:w="360" w:type="dxa"/>
            <w:tcBorders>
              <w:top w:val="single" w:sz="8" w:space="0" w:color="auto"/>
              <w:bottom w:val="single" w:sz="12" w:space="0" w:color="auto"/>
            </w:tcBorders>
            <w:vAlign w:val="center"/>
          </w:tcPr>
          <w:p w:rsidR="00FC1F16" w:rsidRDefault="00FC1F16">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FC1F16" w:rsidRPr="00C90F7E" w:rsidRDefault="00FC1F16">
            <w:pPr>
              <w:pStyle w:val="NormalArial"/>
              <w:rPr>
                <w:i/>
                <w:sz w:val="20"/>
              </w:rPr>
            </w:pPr>
          </w:p>
        </w:tc>
        <w:tc>
          <w:tcPr>
            <w:tcW w:w="4673" w:type="dxa"/>
            <w:tcBorders>
              <w:top w:val="single" w:sz="8" w:space="0" w:color="auto"/>
              <w:bottom w:val="single" w:sz="12" w:space="0" w:color="auto"/>
            </w:tcBorders>
            <w:vAlign w:val="center"/>
          </w:tcPr>
          <w:p w:rsidR="00FC1F16" w:rsidRPr="00C90F7E" w:rsidRDefault="00FC1F16">
            <w:pPr>
              <w:pStyle w:val="NormalArial"/>
              <w:rPr>
                <w:i/>
                <w:sz w:val="20"/>
              </w:rPr>
            </w:pPr>
          </w:p>
        </w:tc>
      </w:tr>
      <w:tr w:rsidR="00FC1F16" w:rsidRPr="000C359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restart"/>
            <w:tcBorders>
              <w:top w:val="single" w:sz="12" w:space="0" w:color="auto"/>
              <w:right w:val="single" w:sz="4" w:space="0" w:color="auto"/>
            </w:tcBorders>
            <w:shd w:val="clear" w:color="auto" w:fill="auto"/>
            <w:vAlign w:val="center"/>
          </w:tcPr>
          <w:p w:rsidR="00FC1F16" w:rsidRPr="00E41BCF" w:rsidRDefault="00FC1F16">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FC1F16" w:rsidRDefault="00FC1F16">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FC1F16" w:rsidRPr="000C3592" w:rsidRDefault="00FC1F16">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FC1F16" w:rsidRPr="000C3592" w:rsidRDefault="00FC1F16">
            <w:pPr>
              <w:pStyle w:val="NormalArial"/>
              <w:jc w:val="center"/>
              <w:rPr>
                <w:b/>
                <w:sz w:val="20"/>
              </w:rPr>
            </w:pPr>
            <w:r>
              <w:rPr>
                <w:b/>
                <w:sz w:val="20"/>
              </w:rPr>
              <w:t>Monetary Impact</w:t>
            </w: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shd w:val="clear" w:color="auto" w:fill="auto"/>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FC1F16" w:rsidRPr="00C90F7E" w:rsidRDefault="00FC1F16">
            <w:pPr>
              <w:pStyle w:val="NormalArial"/>
              <w:rPr>
                <w:i/>
                <w:sz w:val="20"/>
              </w:rPr>
            </w:pPr>
            <w:r w:rsidRPr="00637A48">
              <w:rPr>
                <w:i/>
                <w:sz w:val="20"/>
              </w:rPr>
              <w:t>More accurate Nodal Protocol language.</w:t>
            </w:r>
          </w:p>
        </w:tc>
        <w:tc>
          <w:tcPr>
            <w:tcW w:w="4673" w:type="dxa"/>
            <w:tcBorders>
              <w:top w:val="single" w:sz="8" w:space="0" w:color="auto"/>
              <w:bottom w:val="single" w:sz="8" w:space="0" w:color="auto"/>
            </w:tcBorders>
            <w:vAlign w:val="center"/>
          </w:tcPr>
          <w:p w:rsidR="00FC1F16" w:rsidRPr="00C90F7E" w:rsidRDefault="00FC1F16">
            <w:pPr>
              <w:pStyle w:val="NormalArial"/>
              <w:rPr>
                <w:i/>
                <w:sz w:val="20"/>
              </w:rPr>
            </w:pPr>
            <w:r>
              <w:rPr>
                <w:i/>
                <w:sz w:val="20"/>
              </w:rPr>
              <w:t>None.</w:t>
            </w: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FC1F16" w:rsidRPr="00C90F7E" w:rsidRDefault="00FC1F16">
            <w:pPr>
              <w:pStyle w:val="NormalArial"/>
              <w:rPr>
                <w:i/>
                <w:sz w:val="20"/>
              </w:rPr>
            </w:pPr>
          </w:p>
        </w:tc>
        <w:tc>
          <w:tcPr>
            <w:tcW w:w="4673" w:type="dxa"/>
            <w:tcBorders>
              <w:top w:val="single" w:sz="8" w:space="0" w:color="auto"/>
              <w:bottom w:val="single" w:sz="8" w:space="0" w:color="auto"/>
            </w:tcBorders>
            <w:vAlign w:val="center"/>
          </w:tcPr>
          <w:p w:rsidR="00FC1F16" w:rsidRPr="00C90F7E" w:rsidRDefault="00FC1F16">
            <w:pPr>
              <w:pStyle w:val="NormalArial"/>
              <w:rPr>
                <w:i/>
                <w:sz w:val="20"/>
              </w:rPr>
            </w:pP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FC1F16" w:rsidRPr="00C90F7E" w:rsidRDefault="00FC1F16">
            <w:pPr>
              <w:pStyle w:val="NormalArial"/>
              <w:rPr>
                <w:i/>
                <w:sz w:val="20"/>
              </w:rPr>
            </w:pPr>
          </w:p>
        </w:tc>
        <w:tc>
          <w:tcPr>
            <w:tcW w:w="4673" w:type="dxa"/>
            <w:tcBorders>
              <w:top w:val="single" w:sz="8" w:space="0" w:color="auto"/>
              <w:bottom w:val="single" w:sz="8" w:space="0" w:color="auto"/>
            </w:tcBorders>
            <w:vAlign w:val="center"/>
          </w:tcPr>
          <w:p w:rsidR="00FC1F16" w:rsidRPr="00C90F7E" w:rsidRDefault="00FC1F16">
            <w:pPr>
              <w:pStyle w:val="NormalArial"/>
              <w:rPr>
                <w:i/>
                <w:sz w:val="20"/>
              </w:rPr>
            </w:pPr>
          </w:p>
        </w:tc>
      </w:tr>
      <w:tr w:rsidR="00FC1F16" w:rsidRPr="00C90F7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tcBorders>
              <w:bottom w:val="single" w:sz="12" w:space="0" w:color="auto"/>
            </w:tcBorders>
            <w:vAlign w:val="center"/>
          </w:tcPr>
          <w:p w:rsidR="00FC1F16" w:rsidRPr="00E41BCF" w:rsidRDefault="00FC1F16">
            <w:pPr>
              <w:pStyle w:val="Header"/>
              <w:jc w:val="center"/>
            </w:pPr>
          </w:p>
        </w:tc>
        <w:tc>
          <w:tcPr>
            <w:tcW w:w="360" w:type="dxa"/>
            <w:tcBorders>
              <w:top w:val="single" w:sz="8" w:space="0" w:color="auto"/>
              <w:bottom w:val="single" w:sz="12" w:space="0" w:color="auto"/>
            </w:tcBorders>
            <w:vAlign w:val="center"/>
          </w:tcPr>
          <w:p w:rsidR="00FC1F16" w:rsidRDefault="00FC1F16">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FC1F16" w:rsidRPr="00C90F7E" w:rsidRDefault="00FC1F16">
            <w:pPr>
              <w:pStyle w:val="NormalArial"/>
              <w:rPr>
                <w:i/>
                <w:sz w:val="20"/>
              </w:rPr>
            </w:pPr>
          </w:p>
        </w:tc>
        <w:tc>
          <w:tcPr>
            <w:tcW w:w="4673" w:type="dxa"/>
            <w:tcBorders>
              <w:top w:val="single" w:sz="8" w:space="0" w:color="auto"/>
              <w:bottom w:val="single" w:sz="12" w:space="0" w:color="auto"/>
            </w:tcBorders>
            <w:vAlign w:val="center"/>
          </w:tcPr>
          <w:p w:rsidR="00FC1F16" w:rsidRPr="00C90F7E" w:rsidRDefault="00FC1F16">
            <w:pPr>
              <w:pStyle w:val="NormalArial"/>
              <w:rPr>
                <w:i/>
                <w:sz w:val="20"/>
              </w:rPr>
            </w:pPr>
          </w:p>
        </w:tc>
      </w:tr>
      <w:tr w:rsidR="00FC1F16" w:rsidRPr="00B40AA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restart"/>
            <w:tcBorders>
              <w:top w:val="single" w:sz="12" w:space="0" w:color="auto"/>
            </w:tcBorders>
            <w:shd w:val="clear" w:color="auto" w:fill="auto"/>
            <w:vAlign w:val="center"/>
          </w:tcPr>
          <w:p w:rsidR="00FC1F16" w:rsidRPr="00E41BCF" w:rsidRDefault="00FC1F16">
            <w:pPr>
              <w:pStyle w:val="Header"/>
            </w:pPr>
            <w:r w:rsidRPr="00E41BCF">
              <w:t>Additional Qualitative Information</w:t>
            </w:r>
          </w:p>
        </w:tc>
        <w:tc>
          <w:tcPr>
            <w:tcW w:w="360" w:type="dxa"/>
            <w:tcBorders>
              <w:top w:val="single" w:sz="12" w:space="0" w:color="auto"/>
              <w:bottom w:val="single" w:sz="8" w:space="0" w:color="auto"/>
            </w:tcBorders>
            <w:vAlign w:val="center"/>
          </w:tcPr>
          <w:p w:rsidR="00FC1F16" w:rsidRDefault="00FC1F16">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FC1F16" w:rsidRPr="00B40AA6" w:rsidRDefault="00FC1F16">
            <w:pPr>
              <w:pStyle w:val="NormalArial"/>
              <w:rPr>
                <w:i/>
                <w:sz w:val="20"/>
              </w:rPr>
            </w:pPr>
          </w:p>
        </w:tc>
      </w:tr>
      <w:tr w:rsidR="00FC1F16" w:rsidRPr="00B40AA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shd w:val="clear" w:color="auto" w:fill="auto"/>
            <w:vAlign w:val="center"/>
          </w:tcPr>
          <w:p w:rsidR="00FC1F16" w:rsidRPr="00E41BCF" w:rsidRDefault="00FC1F16">
            <w:pPr>
              <w:pStyle w:val="Header"/>
              <w:jc w:val="cent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FC1F16" w:rsidRPr="00B40AA6" w:rsidRDefault="00FC1F16">
            <w:pPr>
              <w:pStyle w:val="NormalArial"/>
              <w:rPr>
                <w:i/>
                <w:sz w:val="20"/>
              </w:rPr>
            </w:pPr>
          </w:p>
        </w:tc>
      </w:tr>
      <w:tr w:rsidR="00FC1F16" w:rsidRPr="00B40AA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41BCF" w:rsidRDefault="00FC1F16">
            <w:pPr>
              <w:pStyle w:val="Head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FC1F16" w:rsidRPr="00B40AA6" w:rsidRDefault="00FC1F16">
            <w:pPr>
              <w:pStyle w:val="NormalArial"/>
              <w:rPr>
                <w:i/>
                <w:sz w:val="20"/>
              </w:rPr>
            </w:pPr>
          </w:p>
        </w:tc>
      </w:tr>
      <w:tr w:rsidR="00FC1F16" w:rsidRPr="00B40AA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tcBorders>
              <w:bottom w:val="single" w:sz="12" w:space="0" w:color="auto"/>
            </w:tcBorders>
            <w:vAlign w:val="center"/>
          </w:tcPr>
          <w:p w:rsidR="00FC1F16" w:rsidRPr="00E41BCF" w:rsidRDefault="00FC1F16">
            <w:pPr>
              <w:pStyle w:val="Header"/>
            </w:pPr>
          </w:p>
        </w:tc>
        <w:tc>
          <w:tcPr>
            <w:tcW w:w="360" w:type="dxa"/>
            <w:tcBorders>
              <w:top w:val="single" w:sz="8" w:space="0" w:color="auto"/>
              <w:bottom w:val="single" w:sz="12" w:space="0" w:color="auto"/>
            </w:tcBorders>
            <w:vAlign w:val="center"/>
          </w:tcPr>
          <w:p w:rsidR="00FC1F16" w:rsidRDefault="00FC1F16">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FC1F16" w:rsidRPr="00B40AA6" w:rsidRDefault="00FC1F16">
            <w:pPr>
              <w:pStyle w:val="NormalArial"/>
              <w:rPr>
                <w:i/>
                <w:sz w:val="20"/>
              </w:rPr>
            </w:pPr>
          </w:p>
        </w:tc>
      </w:tr>
      <w:tr w:rsidR="00FC1F16" w:rsidRPr="00E966F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restart"/>
            <w:tcBorders>
              <w:top w:val="single" w:sz="12" w:space="0" w:color="auto"/>
            </w:tcBorders>
            <w:shd w:val="clear" w:color="auto" w:fill="auto"/>
            <w:vAlign w:val="center"/>
          </w:tcPr>
          <w:p w:rsidR="00FC1F16" w:rsidRPr="00E41BCF" w:rsidRDefault="00FC1F16">
            <w:pPr>
              <w:pStyle w:val="Header"/>
              <w:jc w:val="center"/>
            </w:pPr>
            <w:r w:rsidRPr="00E41BCF">
              <w:t>Other Comments</w:t>
            </w:r>
          </w:p>
        </w:tc>
        <w:tc>
          <w:tcPr>
            <w:tcW w:w="360" w:type="dxa"/>
            <w:tcBorders>
              <w:top w:val="single" w:sz="12" w:space="0" w:color="auto"/>
              <w:bottom w:val="single" w:sz="8" w:space="0" w:color="auto"/>
            </w:tcBorders>
            <w:vAlign w:val="center"/>
          </w:tcPr>
          <w:p w:rsidR="00FC1F16" w:rsidRDefault="00FC1F16">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FC1F16" w:rsidRPr="00E966F7" w:rsidRDefault="00FC1F16">
            <w:pPr>
              <w:pStyle w:val="NormalArial"/>
              <w:rPr>
                <w:i/>
                <w:sz w:val="20"/>
              </w:rPr>
            </w:pPr>
          </w:p>
        </w:tc>
      </w:tr>
      <w:tr w:rsidR="00FC1F16" w:rsidRPr="00E966F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shd w:val="clear" w:color="auto" w:fill="auto"/>
            <w:vAlign w:val="center"/>
          </w:tcPr>
          <w:p w:rsidR="00FC1F16" w:rsidRPr="00E966F7" w:rsidRDefault="00FC1F16">
            <w:pPr>
              <w:pStyle w:val="Header"/>
              <w:jc w:val="center"/>
              <w:rPr>
                <w:sz w:val="20"/>
                <w:szCs w:val="20"/>
              </w:rPr>
            </w:pPr>
          </w:p>
        </w:tc>
        <w:tc>
          <w:tcPr>
            <w:tcW w:w="360" w:type="dxa"/>
            <w:tcBorders>
              <w:top w:val="single" w:sz="8" w:space="0" w:color="auto"/>
            </w:tcBorders>
            <w:vAlign w:val="center"/>
          </w:tcPr>
          <w:p w:rsidR="00FC1F16" w:rsidRDefault="00FC1F16">
            <w:pPr>
              <w:pStyle w:val="NormalArial"/>
              <w:jc w:val="center"/>
              <w:rPr>
                <w:sz w:val="20"/>
              </w:rPr>
            </w:pPr>
            <w:r>
              <w:rPr>
                <w:sz w:val="20"/>
              </w:rPr>
              <w:t>2</w:t>
            </w:r>
          </w:p>
        </w:tc>
        <w:tc>
          <w:tcPr>
            <w:tcW w:w="8273" w:type="dxa"/>
            <w:gridSpan w:val="2"/>
            <w:tcBorders>
              <w:top w:val="single" w:sz="8" w:space="0" w:color="auto"/>
            </w:tcBorders>
            <w:vAlign w:val="center"/>
          </w:tcPr>
          <w:p w:rsidR="00FC1F16" w:rsidRPr="00E966F7" w:rsidRDefault="00FC1F16">
            <w:pPr>
              <w:pStyle w:val="NormalArial"/>
              <w:rPr>
                <w:i/>
                <w:sz w:val="20"/>
              </w:rPr>
            </w:pPr>
          </w:p>
        </w:tc>
      </w:tr>
      <w:tr w:rsidR="00FC1F16" w:rsidRPr="00E966F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vAlign w:val="center"/>
          </w:tcPr>
          <w:p w:rsidR="00FC1F16" w:rsidRPr="00E966F7" w:rsidRDefault="00FC1F16">
            <w:pPr>
              <w:pStyle w:val="Head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FC1F16" w:rsidRPr="00E966F7" w:rsidRDefault="00FC1F16">
            <w:pPr>
              <w:pStyle w:val="NormalArial"/>
              <w:rPr>
                <w:i/>
                <w:sz w:val="20"/>
              </w:rPr>
            </w:pPr>
          </w:p>
        </w:tc>
      </w:tr>
      <w:tr w:rsidR="00FC1F16" w:rsidRPr="00E966F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cantSplit/>
          <w:trHeight w:val="135"/>
        </w:trPr>
        <w:tc>
          <w:tcPr>
            <w:tcW w:w="1807" w:type="dxa"/>
            <w:vMerge/>
            <w:tcBorders>
              <w:bottom w:val="single" w:sz="8" w:space="0" w:color="auto"/>
            </w:tcBorders>
            <w:vAlign w:val="center"/>
          </w:tcPr>
          <w:p w:rsidR="00FC1F16" w:rsidRPr="00E966F7" w:rsidRDefault="00FC1F16">
            <w:pPr>
              <w:pStyle w:val="Header"/>
            </w:pPr>
          </w:p>
        </w:tc>
        <w:tc>
          <w:tcPr>
            <w:tcW w:w="360" w:type="dxa"/>
            <w:tcBorders>
              <w:top w:val="single" w:sz="8" w:space="0" w:color="auto"/>
              <w:bottom w:val="single" w:sz="8" w:space="0" w:color="auto"/>
            </w:tcBorders>
            <w:vAlign w:val="center"/>
          </w:tcPr>
          <w:p w:rsidR="00FC1F16" w:rsidRDefault="00FC1F16">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FC1F16" w:rsidRPr="00E966F7" w:rsidRDefault="00FC1F16">
            <w:pPr>
              <w:pStyle w:val="NormalArial"/>
              <w:rPr>
                <w:i/>
                <w:sz w:val="20"/>
              </w:rPr>
            </w:pPr>
          </w:p>
        </w:tc>
      </w:tr>
    </w:tbl>
    <w:p w:rsidR="00FC1F16" w:rsidRDefault="00FC1F1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FC1F16" w:rsidTr="00086DCF">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FC1F16" w:rsidRDefault="00FC1F16">
            <w:pPr>
              <w:pStyle w:val="Header"/>
              <w:jc w:val="center"/>
            </w:pPr>
            <w:r>
              <w:t>Sponsor</w:t>
            </w:r>
          </w:p>
        </w:tc>
      </w:tr>
      <w:tr w:rsidR="00FC1F16" w:rsidTr="00086DCF">
        <w:tblPrEx>
          <w:tblCellMar>
            <w:top w:w="0" w:type="dxa"/>
            <w:bottom w:w="0" w:type="dxa"/>
          </w:tblCellMar>
        </w:tblPrEx>
        <w:trPr>
          <w:trHeight w:val="432"/>
        </w:trPr>
        <w:tc>
          <w:tcPr>
            <w:tcW w:w="2880" w:type="dxa"/>
            <w:shd w:val="clear" w:color="auto" w:fill="FFFFFF"/>
            <w:vAlign w:val="center"/>
          </w:tcPr>
          <w:p w:rsidR="00FC1F16" w:rsidRPr="00B93CA0" w:rsidRDefault="00FC1F16">
            <w:pPr>
              <w:pStyle w:val="Header"/>
              <w:rPr>
                <w:bCs w:val="0"/>
              </w:rPr>
            </w:pPr>
            <w:r w:rsidRPr="00B93CA0">
              <w:rPr>
                <w:bCs w:val="0"/>
              </w:rPr>
              <w:t>Name</w:t>
            </w:r>
          </w:p>
        </w:tc>
        <w:tc>
          <w:tcPr>
            <w:tcW w:w="7560" w:type="dxa"/>
            <w:vAlign w:val="center"/>
          </w:tcPr>
          <w:p w:rsidR="00FC1F16" w:rsidRDefault="00FC1F16">
            <w:pPr>
              <w:pStyle w:val="NormalArial"/>
            </w:pPr>
            <w:r>
              <w:t>Sandra Tindall</w:t>
            </w:r>
          </w:p>
        </w:tc>
      </w:tr>
      <w:tr w:rsidR="00FC1F16" w:rsidTr="00086DCF">
        <w:tblPrEx>
          <w:tblCellMar>
            <w:top w:w="0" w:type="dxa"/>
            <w:bottom w:w="0" w:type="dxa"/>
          </w:tblCellMar>
        </w:tblPrEx>
        <w:trPr>
          <w:trHeight w:val="432"/>
        </w:trPr>
        <w:tc>
          <w:tcPr>
            <w:tcW w:w="2880" w:type="dxa"/>
            <w:shd w:val="clear" w:color="auto" w:fill="FFFFFF"/>
            <w:vAlign w:val="center"/>
          </w:tcPr>
          <w:p w:rsidR="00FC1F16" w:rsidRPr="00B93CA0" w:rsidRDefault="00FC1F16">
            <w:pPr>
              <w:pStyle w:val="Header"/>
              <w:rPr>
                <w:bCs w:val="0"/>
              </w:rPr>
            </w:pPr>
            <w:r w:rsidRPr="00B93CA0">
              <w:rPr>
                <w:bCs w:val="0"/>
              </w:rPr>
              <w:t>E-mail Address</w:t>
            </w:r>
          </w:p>
        </w:tc>
        <w:tc>
          <w:tcPr>
            <w:tcW w:w="7560" w:type="dxa"/>
            <w:vAlign w:val="center"/>
          </w:tcPr>
          <w:p w:rsidR="00FC1F16" w:rsidRDefault="00FC1F16">
            <w:pPr>
              <w:pStyle w:val="NormalArial"/>
            </w:pPr>
            <w:hyperlink r:id="rId7" w:history="1">
              <w:r w:rsidRPr="006770F1">
                <w:rPr>
                  <w:rStyle w:val="Hyperlink"/>
                </w:rPr>
                <w:t>stindall@ercot.com</w:t>
              </w:r>
            </w:hyperlink>
          </w:p>
        </w:tc>
      </w:tr>
      <w:tr w:rsidR="00FC1F16" w:rsidTr="00086DCF">
        <w:tblPrEx>
          <w:tblCellMar>
            <w:top w:w="0" w:type="dxa"/>
            <w:bottom w:w="0" w:type="dxa"/>
          </w:tblCellMar>
        </w:tblPrEx>
        <w:trPr>
          <w:trHeight w:val="432"/>
        </w:trPr>
        <w:tc>
          <w:tcPr>
            <w:tcW w:w="2880" w:type="dxa"/>
            <w:shd w:val="clear" w:color="auto" w:fill="FFFFFF"/>
            <w:vAlign w:val="center"/>
          </w:tcPr>
          <w:p w:rsidR="00FC1F16" w:rsidRPr="00B93CA0" w:rsidRDefault="00FC1F16">
            <w:pPr>
              <w:pStyle w:val="Header"/>
              <w:rPr>
                <w:bCs w:val="0"/>
              </w:rPr>
            </w:pPr>
            <w:r w:rsidRPr="00B93CA0">
              <w:rPr>
                <w:bCs w:val="0"/>
              </w:rPr>
              <w:t>Company</w:t>
            </w:r>
          </w:p>
        </w:tc>
        <w:tc>
          <w:tcPr>
            <w:tcW w:w="7560" w:type="dxa"/>
            <w:vAlign w:val="center"/>
          </w:tcPr>
          <w:p w:rsidR="00FC1F16" w:rsidRDefault="00FC1F16">
            <w:pPr>
              <w:pStyle w:val="NormalArial"/>
            </w:pPr>
            <w:r>
              <w:t>ERCOT</w:t>
            </w:r>
          </w:p>
        </w:tc>
      </w:tr>
      <w:tr w:rsidR="00FC1F16" w:rsidTr="00086DCF">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FC1F16" w:rsidRPr="00B93CA0" w:rsidRDefault="00FC1F16">
            <w:pPr>
              <w:pStyle w:val="Header"/>
              <w:rPr>
                <w:bCs w:val="0"/>
              </w:rPr>
            </w:pPr>
            <w:r w:rsidRPr="00B93CA0">
              <w:rPr>
                <w:bCs w:val="0"/>
              </w:rPr>
              <w:t>Phone Number</w:t>
            </w:r>
          </w:p>
        </w:tc>
        <w:tc>
          <w:tcPr>
            <w:tcW w:w="7560" w:type="dxa"/>
            <w:tcBorders>
              <w:bottom w:val="single" w:sz="4" w:space="0" w:color="auto"/>
            </w:tcBorders>
            <w:vAlign w:val="center"/>
          </w:tcPr>
          <w:p w:rsidR="00FC1F16" w:rsidRDefault="00FC1F16">
            <w:pPr>
              <w:pStyle w:val="NormalArial"/>
            </w:pPr>
            <w:r>
              <w:t>512-248-3867</w:t>
            </w:r>
          </w:p>
        </w:tc>
      </w:tr>
      <w:tr w:rsidR="00FC1F16" w:rsidTr="00086DCF">
        <w:tblPrEx>
          <w:tblCellMar>
            <w:top w:w="0" w:type="dxa"/>
            <w:bottom w:w="0" w:type="dxa"/>
          </w:tblCellMar>
        </w:tblPrEx>
        <w:trPr>
          <w:trHeight w:val="432"/>
        </w:trPr>
        <w:tc>
          <w:tcPr>
            <w:tcW w:w="2880" w:type="dxa"/>
            <w:shd w:val="clear" w:color="auto" w:fill="FFFFFF"/>
            <w:vAlign w:val="center"/>
          </w:tcPr>
          <w:p w:rsidR="00FC1F16" w:rsidRPr="00B93CA0" w:rsidRDefault="00FC1F16">
            <w:pPr>
              <w:pStyle w:val="Header"/>
              <w:rPr>
                <w:bCs w:val="0"/>
              </w:rPr>
            </w:pPr>
            <w:r>
              <w:rPr>
                <w:bCs w:val="0"/>
              </w:rPr>
              <w:t>Cell</w:t>
            </w:r>
            <w:r w:rsidRPr="00B93CA0">
              <w:rPr>
                <w:bCs w:val="0"/>
              </w:rPr>
              <w:t xml:space="preserve"> Number</w:t>
            </w:r>
          </w:p>
        </w:tc>
        <w:tc>
          <w:tcPr>
            <w:tcW w:w="7560" w:type="dxa"/>
            <w:vAlign w:val="center"/>
          </w:tcPr>
          <w:p w:rsidR="00FC1F16" w:rsidRDefault="00FC1F16">
            <w:pPr>
              <w:pStyle w:val="NormalArial"/>
            </w:pPr>
            <w:r>
              <w:t>512-917-4391</w:t>
            </w:r>
          </w:p>
        </w:tc>
      </w:tr>
      <w:tr w:rsidR="00FC1F16" w:rsidTr="00086DCF">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FC1F16" w:rsidRPr="00B93CA0" w:rsidRDefault="00FC1F16">
            <w:pPr>
              <w:pStyle w:val="Header"/>
              <w:rPr>
                <w:bCs w:val="0"/>
              </w:rPr>
            </w:pPr>
            <w:r>
              <w:rPr>
                <w:bCs w:val="0"/>
              </w:rPr>
              <w:t>Market Segment</w:t>
            </w:r>
          </w:p>
        </w:tc>
        <w:tc>
          <w:tcPr>
            <w:tcW w:w="7560" w:type="dxa"/>
            <w:tcBorders>
              <w:bottom w:val="single" w:sz="4" w:space="0" w:color="auto"/>
            </w:tcBorders>
            <w:vAlign w:val="center"/>
          </w:tcPr>
          <w:p w:rsidR="00FC1F16" w:rsidRDefault="00FC1F16">
            <w:pPr>
              <w:pStyle w:val="NormalArial"/>
            </w:pPr>
            <w:r>
              <w:t>N/A</w:t>
            </w:r>
          </w:p>
        </w:tc>
      </w:tr>
    </w:tbl>
    <w:p w:rsidR="00FC1F16" w:rsidRPr="00D56D61" w:rsidRDefault="00FC1F1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FC1F16" w:rsidRPr="00D56D61" w:rsidTr="00086DCF">
        <w:trPr>
          <w:trHeight w:val="432"/>
        </w:trPr>
        <w:tc>
          <w:tcPr>
            <w:tcW w:w="10440" w:type="dxa"/>
            <w:gridSpan w:val="2"/>
            <w:vAlign w:val="center"/>
          </w:tcPr>
          <w:p w:rsidR="00FC1F16" w:rsidRPr="007C199B" w:rsidRDefault="00FC1F16" w:rsidP="00086DCF">
            <w:pPr>
              <w:pStyle w:val="NormalArial"/>
              <w:jc w:val="center"/>
              <w:rPr>
                <w:b/>
              </w:rPr>
            </w:pPr>
            <w:r w:rsidRPr="007C199B">
              <w:rPr>
                <w:b/>
              </w:rPr>
              <w:t>Market Rules Staff Contact</w:t>
            </w:r>
          </w:p>
        </w:tc>
      </w:tr>
      <w:tr w:rsidR="00FC1F16" w:rsidRPr="00D56D61" w:rsidTr="00086DCF">
        <w:trPr>
          <w:trHeight w:val="432"/>
        </w:trPr>
        <w:tc>
          <w:tcPr>
            <w:tcW w:w="2880" w:type="dxa"/>
            <w:vAlign w:val="center"/>
          </w:tcPr>
          <w:p w:rsidR="00FC1F16" w:rsidRPr="007C199B" w:rsidRDefault="00FC1F16">
            <w:pPr>
              <w:pStyle w:val="NormalArial"/>
              <w:rPr>
                <w:b/>
              </w:rPr>
            </w:pPr>
            <w:r w:rsidRPr="007C199B">
              <w:rPr>
                <w:b/>
              </w:rPr>
              <w:t>Name</w:t>
            </w:r>
          </w:p>
        </w:tc>
        <w:tc>
          <w:tcPr>
            <w:tcW w:w="7560" w:type="dxa"/>
            <w:vAlign w:val="center"/>
          </w:tcPr>
          <w:p w:rsidR="00FC1F16" w:rsidRPr="00D56D61" w:rsidRDefault="00FC1F16">
            <w:pPr>
              <w:pStyle w:val="NormalArial"/>
            </w:pPr>
            <w:r>
              <w:t>Sandra Tindall</w:t>
            </w:r>
          </w:p>
        </w:tc>
      </w:tr>
      <w:tr w:rsidR="00FC1F16" w:rsidRPr="00D56D61" w:rsidTr="00086DCF">
        <w:trPr>
          <w:trHeight w:val="432"/>
        </w:trPr>
        <w:tc>
          <w:tcPr>
            <w:tcW w:w="2880" w:type="dxa"/>
            <w:vAlign w:val="center"/>
          </w:tcPr>
          <w:p w:rsidR="00FC1F16" w:rsidRPr="007C199B" w:rsidRDefault="00FC1F16">
            <w:pPr>
              <w:pStyle w:val="NormalArial"/>
              <w:rPr>
                <w:b/>
              </w:rPr>
            </w:pPr>
            <w:r w:rsidRPr="007C199B">
              <w:rPr>
                <w:b/>
              </w:rPr>
              <w:t>E-Mail Address</w:t>
            </w:r>
          </w:p>
        </w:tc>
        <w:tc>
          <w:tcPr>
            <w:tcW w:w="7560" w:type="dxa"/>
            <w:vAlign w:val="center"/>
          </w:tcPr>
          <w:p w:rsidR="00FC1F16" w:rsidRPr="00D56D61" w:rsidRDefault="00FC1F16">
            <w:pPr>
              <w:pStyle w:val="NormalArial"/>
            </w:pPr>
            <w:hyperlink r:id="rId8" w:history="1">
              <w:r w:rsidRPr="006770F1">
                <w:rPr>
                  <w:rStyle w:val="Hyperlink"/>
                </w:rPr>
                <w:t>stindall@ercot.com</w:t>
              </w:r>
            </w:hyperlink>
          </w:p>
        </w:tc>
      </w:tr>
      <w:tr w:rsidR="00FC1F16" w:rsidRPr="005370B5" w:rsidTr="00086DCF">
        <w:trPr>
          <w:trHeight w:val="432"/>
        </w:trPr>
        <w:tc>
          <w:tcPr>
            <w:tcW w:w="2880" w:type="dxa"/>
            <w:vAlign w:val="center"/>
          </w:tcPr>
          <w:p w:rsidR="00FC1F16" w:rsidRPr="007C199B" w:rsidRDefault="00FC1F16">
            <w:pPr>
              <w:pStyle w:val="NormalArial"/>
              <w:rPr>
                <w:b/>
              </w:rPr>
            </w:pPr>
            <w:r w:rsidRPr="007C199B">
              <w:rPr>
                <w:b/>
              </w:rPr>
              <w:t>Phone Number</w:t>
            </w:r>
          </w:p>
        </w:tc>
        <w:tc>
          <w:tcPr>
            <w:tcW w:w="7560" w:type="dxa"/>
            <w:vAlign w:val="center"/>
          </w:tcPr>
          <w:p w:rsidR="00FC1F16" w:rsidRDefault="00FC1F16">
            <w:pPr>
              <w:pStyle w:val="NormalArial"/>
            </w:pPr>
            <w:r>
              <w:t>512-248-3867</w:t>
            </w:r>
          </w:p>
        </w:tc>
      </w:tr>
    </w:tbl>
    <w:p w:rsidR="00FC1F16" w:rsidRDefault="00FC1F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FC1F16" w:rsidTr="00086DCF">
        <w:tblPrEx>
          <w:tblCellMar>
            <w:top w:w="0" w:type="dxa"/>
            <w:bottom w:w="0" w:type="dxa"/>
          </w:tblCellMar>
        </w:tblPrEx>
        <w:tc>
          <w:tcPr>
            <w:tcW w:w="10440" w:type="dxa"/>
            <w:gridSpan w:val="2"/>
            <w:shd w:val="clear" w:color="auto" w:fill="FFFFFF"/>
            <w:vAlign w:val="center"/>
          </w:tcPr>
          <w:p w:rsidR="00FC1F16" w:rsidRPr="00895AB9" w:rsidRDefault="00FC1F16" w:rsidP="00086DCF">
            <w:pPr>
              <w:pStyle w:val="NormalArial"/>
              <w:jc w:val="center"/>
              <w:rPr>
                <w:b/>
              </w:rPr>
            </w:pPr>
            <w:r w:rsidRPr="00895AB9">
              <w:rPr>
                <w:b/>
              </w:rPr>
              <w:t xml:space="preserve">Comments </w:t>
            </w:r>
            <w:r>
              <w:rPr>
                <w:b/>
              </w:rPr>
              <w:t>Received</w:t>
            </w:r>
          </w:p>
        </w:tc>
      </w:tr>
      <w:tr w:rsidR="00FC1F16" w:rsidTr="00086DCF">
        <w:tblPrEx>
          <w:tblCellMar>
            <w:top w:w="0" w:type="dxa"/>
            <w:bottom w:w="0" w:type="dxa"/>
          </w:tblCellMar>
        </w:tblPrEx>
        <w:tc>
          <w:tcPr>
            <w:tcW w:w="2880" w:type="dxa"/>
            <w:shd w:val="clear" w:color="auto" w:fill="FFFFFF"/>
            <w:vAlign w:val="center"/>
          </w:tcPr>
          <w:p w:rsidR="00FC1F16" w:rsidRPr="00895AB9" w:rsidRDefault="00FC1F16" w:rsidP="00086DCF">
            <w:pPr>
              <w:pStyle w:val="Header"/>
              <w:rPr>
                <w:bCs w:val="0"/>
              </w:rPr>
            </w:pPr>
            <w:r w:rsidRPr="00895AB9">
              <w:rPr>
                <w:bCs w:val="0"/>
              </w:rPr>
              <w:t>Comment Author</w:t>
            </w:r>
          </w:p>
        </w:tc>
        <w:tc>
          <w:tcPr>
            <w:tcW w:w="7560" w:type="dxa"/>
            <w:vAlign w:val="center"/>
          </w:tcPr>
          <w:p w:rsidR="00FC1F16" w:rsidRPr="00895AB9" w:rsidRDefault="00FC1F16" w:rsidP="00086DCF">
            <w:pPr>
              <w:pStyle w:val="NormalArial"/>
              <w:rPr>
                <w:b/>
              </w:rPr>
            </w:pPr>
            <w:r w:rsidRPr="00895AB9">
              <w:rPr>
                <w:b/>
              </w:rPr>
              <w:t xml:space="preserve">Comment </w:t>
            </w:r>
            <w:r>
              <w:rPr>
                <w:b/>
              </w:rPr>
              <w:t>Summary</w:t>
            </w:r>
          </w:p>
        </w:tc>
      </w:tr>
      <w:tr w:rsidR="00FC1F16" w:rsidTr="00086DCF">
        <w:tblPrEx>
          <w:tblCellMar>
            <w:top w:w="0" w:type="dxa"/>
            <w:bottom w:w="0" w:type="dxa"/>
          </w:tblCellMar>
        </w:tblPrEx>
        <w:tc>
          <w:tcPr>
            <w:tcW w:w="2880" w:type="dxa"/>
            <w:shd w:val="clear" w:color="auto" w:fill="FFFFFF"/>
            <w:vAlign w:val="center"/>
          </w:tcPr>
          <w:p w:rsidR="00FC1F16" w:rsidRPr="00502A1F" w:rsidRDefault="00FC1F16" w:rsidP="00086DCF">
            <w:pPr>
              <w:pStyle w:val="Header"/>
              <w:rPr>
                <w:b w:val="0"/>
                <w:bCs w:val="0"/>
              </w:rPr>
            </w:pPr>
            <w:r>
              <w:rPr>
                <w:b w:val="0"/>
                <w:bCs w:val="0"/>
              </w:rPr>
              <w:t>None</w:t>
            </w:r>
          </w:p>
        </w:tc>
        <w:tc>
          <w:tcPr>
            <w:tcW w:w="7560" w:type="dxa"/>
            <w:vAlign w:val="center"/>
          </w:tcPr>
          <w:p w:rsidR="00FC1F16" w:rsidRDefault="00FC1F16" w:rsidP="00086DCF">
            <w:pPr>
              <w:pStyle w:val="NormalArial"/>
            </w:pPr>
          </w:p>
        </w:tc>
      </w:tr>
    </w:tbl>
    <w:p w:rsidR="00FC1F16" w:rsidRPr="00D56D61" w:rsidRDefault="00FC1F1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FC1F16">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FC1F16" w:rsidRDefault="00FC1F16">
            <w:pPr>
              <w:pStyle w:val="Header"/>
              <w:jc w:val="center"/>
            </w:pPr>
            <w:r>
              <w:t>Proposed Protocol Language Revision</w:t>
            </w:r>
          </w:p>
        </w:tc>
      </w:tr>
    </w:tbl>
    <w:p w:rsidR="00FC1F16" w:rsidRDefault="00FC1F16" w:rsidP="00086DCF"/>
    <w:p w:rsidR="00FC1F16" w:rsidRPr="00F30F6F" w:rsidRDefault="00FC1F16" w:rsidP="00086DCF">
      <w:pPr>
        <w:keepNext/>
        <w:widowControl w:val="0"/>
        <w:tabs>
          <w:tab w:val="left" w:pos="1260"/>
        </w:tabs>
        <w:spacing w:before="240" w:after="240"/>
        <w:ind w:left="1260" w:hanging="1260"/>
        <w:outlineLvl w:val="3"/>
        <w:rPr>
          <w:b/>
          <w:bCs/>
          <w:snapToGrid w:val="0"/>
          <w:szCs w:val="20"/>
        </w:rPr>
      </w:pPr>
      <w:bookmarkStart w:id="0" w:name="_Toc141685007"/>
      <w:bookmarkStart w:id="1" w:name="_Toc278185264"/>
      <w:r w:rsidRPr="00F30F6F">
        <w:rPr>
          <w:b/>
          <w:bCs/>
          <w:snapToGrid w:val="0"/>
          <w:szCs w:val="20"/>
        </w:rPr>
        <w:lastRenderedPageBreak/>
        <w:t>1.3.1.1</w:t>
      </w:r>
      <w:r w:rsidRPr="00F30F6F">
        <w:rPr>
          <w:b/>
          <w:bCs/>
          <w:snapToGrid w:val="0"/>
          <w:szCs w:val="20"/>
        </w:rPr>
        <w:tab/>
        <w:t>Items Considered Protected Information</w:t>
      </w:r>
      <w:bookmarkEnd w:id="0"/>
      <w:bookmarkEnd w:id="1"/>
      <w:r w:rsidRPr="00F30F6F">
        <w:rPr>
          <w:b/>
          <w:bCs/>
          <w:snapToGrid w:val="0"/>
          <w:szCs w:val="20"/>
        </w:rPr>
        <w:t xml:space="preserve"> </w:t>
      </w:r>
    </w:p>
    <w:p w:rsidR="00FC1F16" w:rsidRPr="00F30F6F" w:rsidRDefault="00FC1F16" w:rsidP="00086DCF">
      <w:pPr>
        <w:spacing w:after="240"/>
        <w:rPr>
          <w:iCs/>
          <w:szCs w:val="20"/>
        </w:rPr>
      </w:pPr>
      <w:r w:rsidRPr="00F30F6F">
        <w:rPr>
          <w:iCs/>
          <w:szCs w:val="20"/>
        </w:rPr>
        <w:t>Subject to the exclusions set out in Section 1.3.1.2, Items Not Considered Protected Information, and in Section 3.2.5, Publication of Resource and Load Information, “Protected Information” is information containing or revealing any of the following:</w:t>
      </w:r>
    </w:p>
    <w:p w:rsidR="00FC1F16" w:rsidRPr="00F30F6F" w:rsidRDefault="00FC1F16" w:rsidP="00086DCF">
      <w:pPr>
        <w:spacing w:after="240"/>
        <w:ind w:left="1440" w:hanging="720"/>
        <w:rPr>
          <w:szCs w:val="20"/>
        </w:rPr>
      </w:pPr>
      <w:r w:rsidRPr="00F30F6F">
        <w:rPr>
          <w:szCs w:val="20"/>
        </w:rPr>
        <w:t>(a)</w:t>
      </w:r>
      <w:r w:rsidRPr="00F30F6F">
        <w:rPr>
          <w:szCs w:val="20"/>
        </w:rPr>
        <w:tab/>
        <w:t>Base Points, as calculated by ERCOT.  The Protected Information status of this information shall expire 60 days after the applicable Operating Day;</w:t>
      </w:r>
    </w:p>
    <w:p w:rsidR="00FC1F16" w:rsidRPr="00F30F6F" w:rsidRDefault="00FC1F16" w:rsidP="00086DCF">
      <w:pPr>
        <w:spacing w:after="240"/>
        <w:ind w:left="1440" w:hanging="720"/>
        <w:rPr>
          <w:szCs w:val="20"/>
        </w:rPr>
      </w:pPr>
      <w:r w:rsidRPr="00F30F6F">
        <w:rPr>
          <w:szCs w:val="20"/>
        </w:rPr>
        <w:t>(b)</w:t>
      </w:r>
      <w:r w:rsidRPr="00F30F6F">
        <w:rPr>
          <w:szCs w:val="20"/>
        </w:rPr>
        <w:tab/>
        <w:t>Bids, offers, or pricing information identifiable to a specific Qualified Scheduling Entity (QSE) or Resource.  The Protected Information status of part of this information shall expire 60 days after the applicable Operating Day, as follows:</w:t>
      </w:r>
    </w:p>
    <w:p w:rsidR="00FC1F16" w:rsidRPr="00F30F6F" w:rsidRDefault="00FC1F16" w:rsidP="00086DCF">
      <w:pPr>
        <w:spacing w:after="240"/>
        <w:ind w:left="2160" w:hanging="720"/>
        <w:rPr>
          <w:szCs w:val="20"/>
        </w:rPr>
      </w:pPr>
      <w:r w:rsidRPr="00F30F6F">
        <w:rPr>
          <w:szCs w:val="20"/>
        </w:rPr>
        <w:t>(i)</w:t>
      </w:r>
      <w:r w:rsidRPr="00F30F6F">
        <w:rPr>
          <w:szCs w:val="20"/>
        </w:rPr>
        <w:tab/>
        <w:t>Ancillary Service Offers by Operating Hour for each Resource for all Ancillary Services submitted for the Day-Ahead Market (DAM) or any Supplemental Ancillary Services Market (SASM);</w:t>
      </w:r>
    </w:p>
    <w:p w:rsidR="00FC1F16" w:rsidRPr="00F30F6F" w:rsidRDefault="00FC1F16" w:rsidP="00086DCF">
      <w:pPr>
        <w:spacing w:after="240"/>
        <w:ind w:left="2160" w:hanging="720"/>
        <w:rPr>
          <w:szCs w:val="20"/>
        </w:rPr>
      </w:pPr>
      <w:r w:rsidRPr="00F30F6F">
        <w:rPr>
          <w:szCs w:val="20"/>
        </w:rPr>
        <w:t>(ii)</w:t>
      </w:r>
      <w:r w:rsidRPr="00F30F6F">
        <w:rPr>
          <w:szCs w:val="20"/>
        </w:rPr>
        <w:tab/>
        <w:t>The quantity of Ancillary Service offered by Operating Hour for each Resource for all Ancillary Service submitted for the DAM or any SASM; and</w:t>
      </w:r>
    </w:p>
    <w:p w:rsidR="00FC1F16" w:rsidRPr="00F30F6F" w:rsidRDefault="00FC1F16" w:rsidP="00086DCF">
      <w:pPr>
        <w:spacing w:after="240"/>
        <w:ind w:left="2160" w:hanging="720"/>
        <w:rPr>
          <w:szCs w:val="20"/>
        </w:rPr>
      </w:pPr>
      <w:r w:rsidRPr="00F30F6F">
        <w:rPr>
          <w:szCs w:val="20"/>
        </w:rPr>
        <w:t>(iii)</w:t>
      </w:r>
      <w:r w:rsidRPr="00F30F6F">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(6) of Section 3.2.5; </w:t>
      </w:r>
    </w:p>
    <w:p w:rsidR="00FC1F16" w:rsidRPr="00F30F6F" w:rsidRDefault="00FC1F16" w:rsidP="00086DCF">
      <w:pPr>
        <w:spacing w:after="240"/>
        <w:ind w:left="1440" w:hanging="720"/>
        <w:rPr>
          <w:szCs w:val="20"/>
        </w:rPr>
      </w:pPr>
      <w:r w:rsidRPr="00F30F6F">
        <w:rPr>
          <w:szCs w:val="20"/>
        </w:rPr>
        <w:t>(c)</w:t>
      </w:r>
      <w:r w:rsidRPr="00F30F6F">
        <w:rPr>
          <w:szCs w:val="20"/>
        </w:rPr>
        <w:tab/>
        <w:t>Status of Resources, including Outages, limitations, or scheduled or metered Resource data.  The Protected Information status of this information shall expire 60 days after the applicable Operating Day;</w:t>
      </w:r>
    </w:p>
    <w:p w:rsidR="00FC1F16" w:rsidRPr="00F30F6F" w:rsidRDefault="00FC1F16" w:rsidP="00086DCF">
      <w:pPr>
        <w:spacing w:after="240"/>
        <w:ind w:left="1440" w:hanging="720"/>
        <w:rPr>
          <w:szCs w:val="20"/>
        </w:rPr>
      </w:pPr>
      <w:r w:rsidRPr="00F30F6F">
        <w:rPr>
          <w:szCs w:val="20"/>
        </w:rPr>
        <w:t>(d)</w:t>
      </w:r>
      <w:r w:rsidRPr="00F30F6F">
        <w:rPr>
          <w:szCs w:val="20"/>
        </w:rPr>
        <w:tab/>
        <w:t>Current Operating Plans (COPs).  The Protected Information status of this information shall expire 60 days after the applicable Operating Day;</w:t>
      </w:r>
    </w:p>
    <w:p w:rsidR="00FC1F16" w:rsidRPr="00F30F6F" w:rsidRDefault="00FC1F16" w:rsidP="00086DCF">
      <w:pPr>
        <w:spacing w:after="240"/>
        <w:ind w:left="1440" w:hanging="720"/>
        <w:rPr>
          <w:szCs w:val="20"/>
        </w:rPr>
      </w:pPr>
      <w:r w:rsidRPr="00F30F6F">
        <w:rPr>
          <w:szCs w:val="20"/>
        </w:rPr>
        <w:t>(e)</w:t>
      </w:r>
      <w:r w:rsidRPr="00F30F6F">
        <w:rPr>
          <w:szCs w:val="20"/>
        </w:rPr>
        <w:tab/>
        <w:t>Ancillary Service Trades, Energy Trades, and Capacity Trades identifiable to a specific QSE or Resource.  The Protected Information status of this information shall expire 180 days after the applicable Operating Day;</w:t>
      </w:r>
    </w:p>
    <w:p w:rsidR="00FC1F16" w:rsidRPr="00F30F6F" w:rsidRDefault="00FC1F16" w:rsidP="00086DCF">
      <w:pPr>
        <w:spacing w:after="240"/>
        <w:ind w:left="1440" w:hanging="720"/>
        <w:rPr>
          <w:szCs w:val="20"/>
        </w:rPr>
      </w:pPr>
      <w:r w:rsidRPr="00F30F6F">
        <w:rPr>
          <w:szCs w:val="20"/>
        </w:rPr>
        <w:t>(f)</w:t>
      </w:r>
      <w:r w:rsidRPr="00F30F6F">
        <w:rPr>
          <w:szCs w:val="20"/>
        </w:rPr>
        <w:tab/>
        <w:t>Ancillary Service Schedules identifiable to a specific QSE or Resource.  The Protected Information status of this information shall expire 60 days after the applicable Operating Day;</w:t>
      </w:r>
    </w:p>
    <w:p w:rsidR="00FC1F16" w:rsidRPr="00F30F6F" w:rsidRDefault="00FC1F16" w:rsidP="00086DCF">
      <w:pPr>
        <w:spacing w:after="240"/>
        <w:ind w:left="1440" w:hanging="720"/>
        <w:rPr>
          <w:szCs w:val="20"/>
        </w:rPr>
      </w:pPr>
      <w:r w:rsidRPr="00F30F6F">
        <w:rPr>
          <w:szCs w:val="20"/>
        </w:rPr>
        <w:t>(g)</w:t>
      </w:r>
      <w:r w:rsidRPr="00F30F6F">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rsidR="00FC1F16" w:rsidRPr="00F30F6F" w:rsidRDefault="00FC1F16" w:rsidP="00086DCF">
      <w:pPr>
        <w:spacing w:after="240"/>
        <w:ind w:left="1440" w:hanging="720"/>
        <w:rPr>
          <w:szCs w:val="20"/>
        </w:rPr>
      </w:pPr>
      <w:r w:rsidRPr="00F30F6F">
        <w:rPr>
          <w:szCs w:val="20"/>
        </w:rPr>
        <w:lastRenderedPageBreak/>
        <w:t>(h)</w:t>
      </w:r>
      <w:r w:rsidRPr="00F30F6F">
        <w:rPr>
          <w:szCs w:val="20"/>
        </w:rPr>
        <w:tab/>
        <w:t>Raw and Adjusted Metered Load (AML) data (demand and energy) identifiable to a specific QSE, Load Serving Entity (LSE), or Customer.  The Protected Information status of this information shall expire 180 days after the applicable Operating Day;</w:t>
      </w:r>
    </w:p>
    <w:p w:rsidR="00FC1F16" w:rsidRPr="00F30F6F" w:rsidRDefault="00FC1F16" w:rsidP="00086DCF">
      <w:pPr>
        <w:spacing w:after="240"/>
        <w:ind w:left="1440" w:hanging="720"/>
        <w:rPr>
          <w:szCs w:val="20"/>
        </w:rPr>
      </w:pPr>
      <w:r w:rsidRPr="00F30F6F">
        <w:rPr>
          <w:szCs w:val="20"/>
        </w:rPr>
        <w:t>(i)</w:t>
      </w:r>
      <w:r w:rsidRPr="00F30F6F">
        <w:rPr>
          <w:szCs w:val="20"/>
        </w:rPr>
        <w:tab/>
        <w:t>Settlement Statements and Invoices identifiable to a specific QSE.  The Protected Information status of this information shall expire 180 days after the applicable Operating Day;</w:t>
      </w:r>
    </w:p>
    <w:p w:rsidR="00FC1F16" w:rsidRPr="00F30F6F" w:rsidRDefault="00FC1F16" w:rsidP="00086DCF">
      <w:pPr>
        <w:spacing w:after="240"/>
        <w:ind w:left="1440" w:hanging="720"/>
        <w:rPr>
          <w:szCs w:val="20"/>
        </w:rPr>
      </w:pPr>
      <w:r w:rsidRPr="00F30F6F">
        <w:rPr>
          <w:szCs w:val="20"/>
        </w:rPr>
        <w:t>(j)</w:t>
      </w:r>
      <w:r w:rsidRPr="00F30F6F">
        <w:rPr>
          <w:szCs w:val="20"/>
        </w:rPr>
        <w:tab/>
        <w:t>Number of Electric Service Identifiers (ESI IDs) identifiable to a specific LSE.  The Protected Information status of this information shall expire 365 days after the applicable Operating Day;</w:t>
      </w:r>
    </w:p>
    <w:p w:rsidR="00FC1F16" w:rsidRPr="00F30F6F" w:rsidRDefault="00FC1F16" w:rsidP="00086DCF">
      <w:pPr>
        <w:spacing w:after="240"/>
        <w:ind w:left="1440" w:hanging="720"/>
        <w:rPr>
          <w:szCs w:val="20"/>
        </w:rPr>
      </w:pPr>
      <w:r w:rsidRPr="00F30F6F">
        <w:rPr>
          <w:szCs w:val="20"/>
        </w:rPr>
        <w:t>(k)</w:t>
      </w:r>
      <w:r w:rsidRPr="00F30F6F">
        <w:rPr>
          <w:szCs w:val="20"/>
        </w:rPr>
        <w:tab/>
        <w:t>Information related to generation interconnection requests, to the extent such information is not otherwise publicly available.  The Protected Information status of this information shall expire when the generation interconnection agreement is executed or a financial arrangement for transmission construction is completed with a Transmission Service Provider (TSP);</w:t>
      </w:r>
    </w:p>
    <w:p w:rsidR="00FC1F16" w:rsidRPr="00F30F6F" w:rsidRDefault="00FC1F16" w:rsidP="00086DCF">
      <w:pPr>
        <w:spacing w:after="240"/>
        <w:ind w:left="1440" w:hanging="720"/>
        <w:rPr>
          <w:szCs w:val="20"/>
        </w:rPr>
      </w:pPr>
      <w:r w:rsidRPr="00F30F6F">
        <w:rPr>
          <w:szCs w:val="20"/>
        </w:rPr>
        <w:t>(l)</w:t>
      </w:r>
      <w:r w:rsidRPr="00F30F6F">
        <w:rPr>
          <w:szCs w:val="20"/>
        </w:rPr>
        <w:tab/>
        <w:t>Resource-specific costs, design and engineering data;</w:t>
      </w:r>
    </w:p>
    <w:p w:rsidR="00FC1F16" w:rsidRPr="00F30F6F" w:rsidRDefault="00FC1F16" w:rsidP="00086DCF">
      <w:pPr>
        <w:spacing w:after="240"/>
        <w:ind w:left="1440" w:hanging="720"/>
        <w:rPr>
          <w:szCs w:val="20"/>
        </w:rPr>
      </w:pPr>
      <w:r w:rsidRPr="00F30F6F">
        <w:rPr>
          <w:szCs w:val="20"/>
        </w:rPr>
        <w:t>(m)</w:t>
      </w:r>
      <w:r w:rsidRPr="00F30F6F">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rsidR="00FC1F16" w:rsidRPr="00F30F6F" w:rsidRDefault="00FC1F16" w:rsidP="00086DCF">
      <w:pPr>
        <w:spacing w:after="240"/>
        <w:ind w:left="2160" w:hanging="720"/>
        <w:rPr>
          <w:szCs w:val="20"/>
        </w:rPr>
      </w:pPr>
      <w:r w:rsidRPr="00F30F6F">
        <w:rPr>
          <w:szCs w:val="20"/>
        </w:rPr>
        <w:t>(i)</w:t>
      </w:r>
      <w:r w:rsidRPr="00F30F6F">
        <w:rPr>
          <w:szCs w:val="20"/>
        </w:rPr>
        <w:tab/>
        <w:t>The Protected Information status of the identities of CRR bidders that become CRR Owners and the number and type of CRRs that they each own shall expire at the end of the CRR Auction in which the CRRs were first sold; and</w:t>
      </w:r>
    </w:p>
    <w:p w:rsidR="00FC1F16" w:rsidRPr="00F30F6F" w:rsidRDefault="00FC1F16" w:rsidP="00086DCF">
      <w:pPr>
        <w:spacing w:after="240"/>
        <w:ind w:left="2160" w:hanging="720"/>
        <w:rPr>
          <w:szCs w:val="20"/>
        </w:rPr>
      </w:pPr>
      <w:r w:rsidRPr="00F30F6F">
        <w:rPr>
          <w:szCs w:val="20"/>
        </w:rPr>
        <w:t>(ii)</w:t>
      </w:r>
      <w:r w:rsidRPr="00F30F6F">
        <w:rPr>
          <w:szCs w:val="20"/>
        </w:rPr>
        <w:tab/>
        <w:t>The Protected Information status of all other CRR information identified above in item (m) shall expire six months after the end of the year in which the CRR was effective.</w:t>
      </w:r>
    </w:p>
    <w:p w:rsidR="00FC1F16" w:rsidRPr="00F30F6F" w:rsidRDefault="00FC1F16" w:rsidP="00086DCF">
      <w:pPr>
        <w:spacing w:after="240"/>
        <w:ind w:left="1440" w:hanging="720"/>
        <w:rPr>
          <w:szCs w:val="20"/>
        </w:rPr>
      </w:pPr>
      <w:r w:rsidRPr="00F30F6F">
        <w:rPr>
          <w:szCs w:val="20"/>
        </w:rPr>
        <w:t>(n)</w:t>
      </w:r>
      <w:r w:rsidRPr="00F30F6F">
        <w:rPr>
          <w:szCs w:val="20"/>
        </w:rPr>
        <w:tab/>
        <w:t>Renewable Energy Credit (REC) account balances.  The Protected Information status of this information shall expire three years after the REC Settlement period ends;</w:t>
      </w:r>
    </w:p>
    <w:p w:rsidR="00FC1F16" w:rsidRPr="00F30F6F" w:rsidRDefault="00FC1F16" w:rsidP="00086DCF">
      <w:pPr>
        <w:spacing w:after="240"/>
        <w:ind w:left="1440" w:hanging="720"/>
        <w:rPr>
          <w:szCs w:val="20"/>
        </w:rPr>
      </w:pPr>
      <w:r w:rsidRPr="00F30F6F">
        <w:rPr>
          <w:szCs w:val="20"/>
        </w:rPr>
        <w:t>(o)</w:t>
      </w:r>
      <w:r w:rsidRPr="00F30F6F">
        <w:rPr>
          <w:szCs w:val="20"/>
        </w:rPr>
        <w:tab/>
        <w:t>Credit limits identifiable to a specific QSE;</w:t>
      </w:r>
    </w:p>
    <w:p w:rsidR="00FC1F16" w:rsidRPr="00F30F6F" w:rsidRDefault="00FC1F16" w:rsidP="00086DCF">
      <w:pPr>
        <w:spacing w:after="240"/>
        <w:ind w:left="1440" w:hanging="720"/>
        <w:rPr>
          <w:szCs w:val="20"/>
        </w:rPr>
      </w:pPr>
      <w:r w:rsidRPr="00F30F6F">
        <w:rPr>
          <w:szCs w:val="20"/>
        </w:rPr>
        <w:t>(p)</w:t>
      </w:r>
      <w:r w:rsidRPr="00F30F6F">
        <w:rPr>
          <w:szCs w:val="20"/>
        </w:rPr>
        <w:tab/>
        <w:t xml:space="preserve">Any information that is designated as Protected Information in writing by Disclosing Party at the time the information is provided to Receiving Party except for information: </w:t>
      </w:r>
    </w:p>
    <w:p w:rsidR="00FC1F16" w:rsidRPr="00F30F6F" w:rsidRDefault="00FC1F16" w:rsidP="00086DCF">
      <w:pPr>
        <w:spacing w:after="240"/>
        <w:ind w:left="2160" w:hanging="720"/>
        <w:rPr>
          <w:szCs w:val="20"/>
        </w:rPr>
      </w:pPr>
      <w:r w:rsidRPr="00F30F6F">
        <w:rPr>
          <w:szCs w:val="20"/>
        </w:rPr>
        <w:t>(i)</w:t>
      </w:r>
      <w:r w:rsidRPr="00F30F6F">
        <w:rPr>
          <w:szCs w:val="20"/>
        </w:rPr>
        <w:tab/>
        <w:t xml:space="preserve">Submitted to or collected by ERCOT under the Protocols or Other Binding Documents; or </w:t>
      </w:r>
    </w:p>
    <w:p w:rsidR="00FC1F16" w:rsidRPr="00F30F6F" w:rsidRDefault="00FC1F16" w:rsidP="00086DCF">
      <w:pPr>
        <w:spacing w:after="240"/>
        <w:ind w:left="2160" w:hanging="720"/>
        <w:rPr>
          <w:szCs w:val="20"/>
        </w:rPr>
      </w:pPr>
      <w:r w:rsidRPr="00F30F6F">
        <w:rPr>
          <w:szCs w:val="20"/>
        </w:rPr>
        <w:lastRenderedPageBreak/>
        <w:t xml:space="preserve">(ii) </w:t>
      </w:r>
      <w:r w:rsidRPr="00F30F6F">
        <w:rPr>
          <w:szCs w:val="20"/>
        </w:rPr>
        <w:tab/>
        <w:t>Provided to ERCOT in support of a Reliability Must-Run (RMR) application under Section 3.14.1, Reliability Must Run;</w:t>
      </w:r>
    </w:p>
    <w:p w:rsidR="00FC1F16" w:rsidRPr="00F30F6F" w:rsidRDefault="00FC1F16" w:rsidP="00086DCF">
      <w:pPr>
        <w:spacing w:after="240"/>
        <w:ind w:left="1440" w:hanging="720"/>
        <w:rPr>
          <w:szCs w:val="20"/>
        </w:rPr>
      </w:pPr>
      <w:r w:rsidRPr="00F30F6F">
        <w:rPr>
          <w:szCs w:val="20"/>
        </w:rPr>
        <w:t>(q)</w:t>
      </w:r>
      <w:r w:rsidRPr="00F30F6F">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rsidR="00FC1F16" w:rsidRPr="00F30F6F" w:rsidRDefault="00FC1F16" w:rsidP="00086DCF">
      <w:pPr>
        <w:spacing w:after="240"/>
        <w:ind w:left="1440" w:hanging="720"/>
        <w:rPr>
          <w:szCs w:val="20"/>
        </w:rPr>
      </w:pPr>
      <w:r w:rsidRPr="00F30F6F">
        <w:rPr>
          <w:szCs w:val="20"/>
        </w:rPr>
        <w:t>(r)</w:t>
      </w:r>
      <w:r w:rsidRPr="00F30F6F">
        <w:rPr>
          <w:szCs w:val="20"/>
        </w:rPr>
        <w:tab/>
        <w:t>Any software, products of software, or other vendor information that ERCOT is required to keep confidential under its agreements;</w:t>
      </w:r>
    </w:p>
    <w:p w:rsidR="00FC1F16" w:rsidRPr="00F30F6F" w:rsidRDefault="00FC1F16" w:rsidP="00086DCF">
      <w:pPr>
        <w:spacing w:after="240"/>
        <w:ind w:left="1440" w:hanging="720"/>
        <w:rPr>
          <w:szCs w:val="20"/>
        </w:rPr>
      </w:pPr>
      <w:r w:rsidRPr="00F30F6F">
        <w:rPr>
          <w:szCs w:val="20"/>
        </w:rPr>
        <w:t>(s)</w:t>
      </w:r>
      <w:r w:rsidRPr="00F30F6F">
        <w:rPr>
          <w:szCs w:val="20"/>
        </w:rPr>
        <w:tab/>
        <w:t>QSE, TSP, and Distribution Service Provider (DSP) backup plans collected by ERCOT under the Protocols or Other Binding Documents;</w:t>
      </w:r>
    </w:p>
    <w:p w:rsidR="00FC1F16" w:rsidRPr="00F30F6F" w:rsidRDefault="00FC1F16" w:rsidP="00086DCF">
      <w:pPr>
        <w:spacing w:after="240"/>
        <w:ind w:left="1440" w:hanging="720"/>
        <w:rPr>
          <w:szCs w:val="20"/>
        </w:rPr>
      </w:pPr>
      <w:r w:rsidRPr="00F30F6F">
        <w:rPr>
          <w:szCs w:val="20"/>
        </w:rPr>
        <w:t>(t)</w:t>
      </w:r>
      <w:r w:rsidRPr="00F30F6F">
        <w:rPr>
          <w:szCs w:val="20"/>
        </w:rPr>
        <w:tab/>
        <w:t xml:space="preserve">Direct Current Tie (DC Tie) information provided to a TSP or DSP under Section </w:t>
      </w:r>
      <w:del w:id="2" w:author="ERCOT" w:date="2011-02-28T14:19:00Z">
        <w:r w:rsidRPr="00F30F6F" w:rsidDel="00F30F6F">
          <w:rPr>
            <w:szCs w:val="20"/>
          </w:rPr>
          <w:delText>4.4.4, DC Tie Schedules</w:delText>
        </w:r>
      </w:del>
      <w:ins w:id="3" w:author="ERCOT" w:date="2011-02-28T14:19:00Z">
        <w:r>
          <w:rPr>
            <w:szCs w:val="20"/>
          </w:rPr>
          <w:t>9.17.2, Direct Current Tie Schedule Information</w:t>
        </w:r>
      </w:ins>
      <w:r w:rsidRPr="00F30F6F">
        <w:rPr>
          <w:szCs w:val="20"/>
        </w:rPr>
        <w:t xml:space="preserve">; </w:t>
      </w:r>
    </w:p>
    <w:p w:rsidR="00FC1F16" w:rsidRPr="00F30F6F" w:rsidRDefault="00FC1F16" w:rsidP="00086DCF">
      <w:pPr>
        <w:spacing w:after="240"/>
        <w:ind w:left="1440" w:hanging="720"/>
        <w:rPr>
          <w:szCs w:val="20"/>
        </w:rPr>
      </w:pPr>
      <w:r w:rsidRPr="00F30F6F">
        <w:rPr>
          <w:szCs w:val="20"/>
        </w:rPr>
        <w:t>(u)</w:t>
      </w:r>
      <w:r w:rsidRPr="00F30F6F">
        <w:rPr>
          <w:szCs w:val="20"/>
        </w:rPr>
        <w:tab/>
        <w:t xml:space="preserve">Any Texas Standard Electronic Transaction (TX SET) transaction submitted by an LSE to ERCOT or received by an LSE from ERCOT.  This paragraph does not apply to ERCOT’s compliance with: </w:t>
      </w:r>
    </w:p>
    <w:p w:rsidR="00FC1F16" w:rsidRPr="00F30F6F" w:rsidRDefault="00FC1F16" w:rsidP="00086DCF">
      <w:pPr>
        <w:spacing w:after="240"/>
        <w:ind w:left="2160" w:hanging="720"/>
        <w:rPr>
          <w:szCs w:val="20"/>
        </w:rPr>
      </w:pPr>
      <w:r w:rsidRPr="00F30F6F">
        <w:rPr>
          <w:szCs w:val="20"/>
        </w:rPr>
        <w:t>(i)</w:t>
      </w:r>
      <w:r w:rsidRPr="00F30F6F">
        <w:rPr>
          <w:szCs w:val="20"/>
        </w:rPr>
        <w:tab/>
        <w:t xml:space="preserve">PUCT Substantive Rules on performance measure reporting; </w:t>
      </w:r>
    </w:p>
    <w:p w:rsidR="00FC1F16" w:rsidRPr="00F30F6F" w:rsidRDefault="00FC1F16" w:rsidP="00086DCF">
      <w:pPr>
        <w:spacing w:after="240"/>
        <w:ind w:left="2160" w:hanging="720"/>
        <w:rPr>
          <w:szCs w:val="20"/>
        </w:rPr>
      </w:pPr>
      <w:r w:rsidRPr="00F30F6F">
        <w:rPr>
          <w:szCs w:val="20"/>
        </w:rPr>
        <w:t>(ii)</w:t>
      </w:r>
      <w:r w:rsidRPr="00F30F6F">
        <w:rPr>
          <w:szCs w:val="20"/>
        </w:rPr>
        <w:tab/>
        <w:t xml:space="preserve">These Protocols or Other Binding Documents; or </w:t>
      </w:r>
    </w:p>
    <w:p w:rsidR="00FC1F16" w:rsidRPr="00F30F6F" w:rsidRDefault="00FC1F16" w:rsidP="00086DCF">
      <w:pPr>
        <w:spacing w:after="240"/>
        <w:ind w:left="2160" w:hanging="720"/>
        <w:rPr>
          <w:szCs w:val="20"/>
        </w:rPr>
      </w:pPr>
      <w:r w:rsidRPr="00F30F6F">
        <w:rPr>
          <w:szCs w:val="20"/>
        </w:rPr>
        <w:t>(iii)</w:t>
      </w:r>
      <w:r w:rsidRPr="00F30F6F">
        <w:rPr>
          <w:szCs w:val="20"/>
        </w:rPr>
        <w:tab/>
        <w:t>Any Technical Advisory Committee (TAC)-approved reporting requirements;</w:t>
      </w:r>
    </w:p>
    <w:p w:rsidR="00FC1F16" w:rsidRPr="00F30F6F" w:rsidRDefault="00FC1F16" w:rsidP="00086DCF">
      <w:pPr>
        <w:spacing w:after="240"/>
        <w:ind w:left="1440" w:hanging="720"/>
        <w:rPr>
          <w:szCs w:val="20"/>
        </w:rPr>
      </w:pPr>
      <w:r w:rsidRPr="00F30F6F">
        <w:rPr>
          <w:szCs w:val="20"/>
        </w:rPr>
        <w:t>(v)</w:t>
      </w:r>
      <w:r w:rsidRPr="00F30F6F">
        <w:rPr>
          <w:szCs w:val="20"/>
        </w:rPr>
        <w:tab/>
        <w:t xml:space="preserve">Mothballed Generation Resource updates and supporting documentation submitted pursuant to Section 3.14.1.9, </w:t>
      </w:r>
      <w:del w:id="4" w:author="ERCOT" w:date="2011-03-02T08:57:00Z">
        <w:r w:rsidRPr="00F30F6F" w:rsidDel="00D64761">
          <w:rPr>
            <w:szCs w:val="20"/>
          </w:rPr>
          <w:delText xml:space="preserve">Mothballed </w:delText>
        </w:r>
      </w:del>
      <w:r w:rsidRPr="00F30F6F">
        <w:rPr>
          <w:szCs w:val="20"/>
        </w:rPr>
        <w:t xml:space="preserve">Generation Resource </w:t>
      </w:r>
      <w:del w:id="5" w:author="ERCOT" w:date="2011-03-02T08:57:00Z">
        <w:r w:rsidRPr="00F30F6F" w:rsidDel="00D64761">
          <w:rPr>
            <w:szCs w:val="20"/>
          </w:rPr>
          <w:delText xml:space="preserve">Time </w:delText>
        </w:r>
      </w:del>
      <w:ins w:id="6" w:author="ERCOT" w:date="2011-03-02T08:57:00Z">
        <w:r>
          <w:rPr>
            <w:szCs w:val="20"/>
          </w:rPr>
          <w:t>Return</w:t>
        </w:r>
        <w:r w:rsidRPr="00F30F6F">
          <w:rPr>
            <w:szCs w:val="20"/>
          </w:rPr>
          <w:t xml:space="preserve"> </w:t>
        </w:r>
      </w:ins>
      <w:r w:rsidRPr="00F30F6F">
        <w:rPr>
          <w:szCs w:val="20"/>
        </w:rPr>
        <w:t>to Service Updates;</w:t>
      </w:r>
    </w:p>
    <w:p w:rsidR="00FC1F16" w:rsidRPr="00F30F6F" w:rsidRDefault="00FC1F16" w:rsidP="00086DCF">
      <w:pPr>
        <w:spacing w:after="240"/>
        <w:ind w:left="1440" w:hanging="720"/>
        <w:rPr>
          <w:szCs w:val="20"/>
        </w:rPr>
      </w:pPr>
      <w:r w:rsidRPr="00F30F6F">
        <w:rPr>
          <w:szCs w:val="20"/>
        </w:rPr>
        <w:t>(w)</w:t>
      </w:r>
      <w:r w:rsidRPr="00F30F6F">
        <w:rPr>
          <w:szCs w:val="20"/>
        </w:rPr>
        <w:tab/>
        <w:t>For purposes of capacity demand reserve reporting, the unavailability of Switchable Generation Resources to the ERCOT System and supporting documentation submitted pursuant to paragraph (2) of Section 16.5.4, Maintaining and Updating Resource Entity Information, except for reporting the aggregate capacity or except as may be required by Section 3.2.5;</w:t>
      </w:r>
    </w:p>
    <w:p w:rsidR="00FC1F16" w:rsidRPr="00F30F6F" w:rsidRDefault="00FC1F16" w:rsidP="00086DCF">
      <w:pPr>
        <w:spacing w:after="240"/>
        <w:ind w:left="1440" w:hanging="720"/>
        <w:rPr>
          <w:szCs w:val="20"/>
        </w:rPr>
      </w:pPr>
      <w:r w:rsidRPr="00F30F6F">
        <w:rPr>
          <w:szCs w:val="20"/>
        </w:rPr>
        <w:lastRenderedPageBreak/>
        <w:t>(x)</w:t>
      </w:r>
      <w:r w:rsidRPr="00F30F6F">
        <w:rPr>
          <w:szCs w:val="20"/>
        </w:rPr>
        <w:tab/>
        <w:t>Information provided by Entities under Section 10.3.2.4, Reporting of Net Generation Capacity;</w:t>
      </w:r>
    </w:p>
    <w:p w:rsidR="00FC1F16" w:rsidRPr="00F30F6F" w:rsidRDefault="00FC1F16" w:rsidP="00086DCF">
      <w:pPr>
        <w:spacing w:after="240"/>
        <w:ind w:left="1440" w:hanging="720"/>
        <w:rPr>
          <w:szCs w:val="20"/>
        </w:rPr>
      </w:pPr>
      <w:r w:rsidRPr="00F30F6F">
        <w:rPr>
          <w:szCs w:val="20"/>
        </w:rPr>
        <w:t>(y)</w:t>
      </w:r>
      <w:r w:rsidRPr="00F30F6F">
        <w:rPr>
          <w:szCs w:val="20"/>
        </w:rPr>
        <w:tab/>
        <w:t>Alternative fuel reserve capability and firm gas availability information submitted pursuant to Section 6.5.9.3.1, Operating Condition Notice, Section 6.5.9.3.2, Advisory, and Section 6.5.9.3.3, Watch, and as defined by the Operating Guides;</w:t>
      </w:r>
    </w:p>
    <w:p w:rsidR="00FC1F16" w:rsidRPr="00F30F6F" w:rsidRDefault="00FC1F16" w:rsidP="00086DCF">
      <w:pPr>
        <w:spacing w:after="240"/>
        <w:ind w:left="1440" w:hanging="720"/>
        <w:rPr>
          <w:szCs w:val="20"/>
        </w:rPr>
      </w:pPr>
      <w:r w:rsidRPr="00F30F6F">
        <w:rPr>
          <w:szCs w:val="20"/>
        </w:rPr>
        <w:t>(z)</w:t>
      </w:r>
      <w:r w:rsidRPr="00F30F6F">
        <w:rPr>
          <w:szCs w:val="20"/>
        </w:rPr>
        <w:tab/>
        <w:t>Non-public financial information provided by a Counter-Party to ERCOT pursuant to meeting its credit qualification requirements as well as the QSE’s form of credit support; or</w:t>
      </w:r>
    </w:p>
    <w:p w:rsidR="00FC1F16" w:rsidRPr="00F30F6F" w:rsidRDefault="00FC1F16" w:rsidP="00086DCF">
      <w:pPr>
        <w:spacing w:after="240"/>
        <w:ind w:left="1440" w:hanging="720"/>
        <w:rPr>
          <w:szCs w:val="20"/>
        </w:rPr>
      </w:pPr>
      <w:r w:rsidRPr="00F30F6F">
        <w:rPr>
          <w:szCs w:val="20"/>
        </w:rPr>
        <w:t>(aa)</w:t>
      </w:r>
      <w:r w:rsidRPr="00F30F6F">
        <w:rPr>
          <w:szCs w:val="20"/>
        </w:rPr>
        <w:tab/>
      </w:r>
      <w:r w:rsidRPr="00F30F6F">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30F6F">
        <w:rPr>
          <w:iCs/>
          <w:smallCaps/>
          <w:szCs w:val="20"/>
        </w:rPr>
        <w:t>Subst</w:t>
      </w:r>
      <w:r w:rsidRPr="00F30F6F">
        <w:rPr>
          <w:iCs/>
          <w:szCs w:val="20"/>
        </w:rPr>
        <w:t>. R. 25.173, Goal for Renewable Energy.</w:t>
      </w:r>
    </w:p>
    <w:p w:rsidR="00FC1F16" w:rsidRPr="00BA2009" w:rsidRDefault="00FC1F16" w:rsidP="00086DCF"/>
    <w:p w:rsidR="00FC1F16" w:rsidRDefault="00FC1F16" w:rsidP="00FC1F16">
      <w:pPr>
        <w:pStyle w:val="BodyText"/>
      </w:pPr>
    </w:p>
    <w:sectPr w:rsidR="00FC1F16" w:rsidSect="000A1FB0">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E3F" w:rsidRDefault="006D1E3F">
      <w:r>
        <w:separator/>
      </w:r>
    </w:p>
  </w:endnote>
  <w:endnote w:type="continuationSeparator" w:id="0">
    <w:p w:rsidR="006D1E3F" w:rsidRDefault="006D1E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C908E1" w:rsidP="008C6885">
    <w:pPr>
      <w:pStyle w:val="Footer"/>
      <w:tabs>
        <w:tab w:val="clear" w:pos="4320"/>
        <w:tab w:val="clear" w:pos="8640"/>
        <w:tab w:val="right" w:pos="9360"/>
      </w:tabs>
      <w:rPr>
        <w:rFonts w:ascii="Arial" w:hAnsi="Arial"/>
        <w:sz w:val="18"/>
      </w:rPr>
    </w:pPr>
    <w:r w:rsidRPr="00C908E1">
      <w:rPr>
        <w:rFonts w:ascii="Arial" w:hAnsi="Arial"/>
        <w:sz w:val="18"/>
      </w:rPr>
      <w:t>337NPRR-03 PRS Report 042111</w:t>
    </w:r>
    <w:r w:rsidR="00630FB4">
      <w:rPr>
        <w:rFonts w:ascii="Arial" w:hAnsi="Arial"/>
        <w:sz w:val="18"/>
      </w:rPr>
      <w:tab/>
      <w:t xml:space="preserve">Page </w:t>
    </w:r>
    <w:r w:rsidR="00630FB4">
      <w:rPr>
        <w:rFonts w:ascii="Arial" w:hAnsi="Arial"/>
        <w:sz w:val="18"/>
      </w:rPr>
      <w:fldChar w:fldCharType="begin"/>
    </w:r>
    <w:r w:rsidR="00630FB4">
      <w:rPr>
        <w:rFonts w:ascii="Arial" w:hAnsi="Arial"/>
        <w:sz w:val="18"/>
      </w:rPr>
      <w:instrText xml:space="preserve"> PAGE </w:instrText>
    </w:r>
    <w:r w:rsidR="00630FB4">
      <w:rPr>
        <w:rFonts w:ascii="Arial" w:hAnsi="Arial"/>
        <w:sz w:val="18"/>
      </w:rPr>
      <w:fldChar w:fldCharType="separate"/>
    </w:r>
    <w:r w:rsidR="00C73395">
      <w:rPr>
        <w:rFonts w:ascii="Arial" w:hAnsi="Arial"/>
        <w:noProof/>
        <w:sz w:val="18"/>
      </w:rPr>
      <w:t>1</w:t>
    </w:r>
    <w:r w:rsidR="00630FB4">
      <w:rPr>
        <w:rFonts w:ascii="Arial" w:hAnsi="Arial"/>
        <w:sz w:val="18"/>
      </w:rPr>
      <w:fldChar w:fldCharType="end"/>
    </w:r>
    <w:r w:rsidR="00630FB4">
      <w:rPr>
        <w:rFonts w:ascii="Arial" w:hAnsi="Arial"/>
        <w:sz w:val="18"/>
      </w:rPr>
      <w:t xml:space="preserve"> of </w:t>
    </w:r>
    <w:r w:rsidR="00630FB4">
      <w:rPr>
        <w:rFonts w:ascii="Arial" w:hAnsi="Arial"/>
        <w:sz w:val="18"/>
      </w:rPr>
      <w:fldChar w:fldCharType="begin"/>
    </w:r>
    <w:r w:rsidR="00630FB4">
      <w:rPr>
        <w:rFonts w:ascii="Arial" w:hAnsi="Arial"/>
        <w:sz w:val="18"/>
      </w:rPr>
      <w:instrText xml:space="preserve"> NUMPAGES </w:instrText>
    </w:r>
    <w:r w:rsidR="00630FB4">
      <w:rPr>
        <w:rFonts w:ascii="Arial" w:hAnsi="Arial"/>
        <w:sz w:val="18"/>
      </w:rPr>
      <w:fldChar w:fldCharType="separate"/>
    </w:r>
    <w:r w:rsidR="00C73395">
      <w:rPr>
        <w:rFonts w:ascii="Arial" w:hAnsi="Arial"/>
        <w:noProof/>
        <w:sz w:val="18"/>
      </w:rPr>
      <w:t>6</w:t>
    </w:r>
    <w:r w:rsidR="00630FB4">
      <w:rPr>
        <w:rFonts w:ascii="Arial" w:hAnsi="Arial"/>
        <w:sz w:val="18"/>
      </w:rPr>
      <w:fldChar w:fldCharType="end"/>
    </w:r>
  </w:p>
  <w:p w:rsidR="00402DE4" w:rsidRDefault="00402DE4" w:rsidP="000A1FB0">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E3F" w:rsidRDefault="006D1E3F">
      <w:r>
        <w:separator/>
      </w:r>
    </w:p>
  </w:footnote>
  <w:footnote w:type="continuationSeparator" w:id="0">
    <w:p w:rsidR="006D1E3F" w:rsidRDefault="006D1E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72080C">
    <w:pPr>
      <w:pStyle w:val="Header"/>
      <w:jc w:val="center"/>
      <w:rPr>
        <w:sz w:val="32"/>
      </w:rPr>
    </w:pPr>
    <w:r>
      <w:rPr>
        <w:sz w:val="32"/>
      </w:rPr>
      <w:t xml:space="preserve">PRS </w:t>
    </w:r>
    <w:r w:rsidR="0065442E">
      <w:rPr>
        <w:sz w:val="32"/>
      </w:rPr>
      <w:t>Report</w:t>
    </w:r>
  </w:p>
  <w:p w:rsidR="00630FB4" w:rsidRDefault="00630FB4">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8"/>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93CA0"/>
    <w:rsid w:val="00035AE3"/>
    <w:rsid w:val="000611B2"/>
    <w:rsid w:val="00086DCF"/>
    <w:rsid w:val="00095877"/>
    <w:rsid w:val="000A163A"/>
    <w:rsid w:val="000A1FB0"/>
    <w:rsid w:val="000A42ED"/>
    <w:rsid w:val="000A6B12"/>
    <w:rsid w:val="000C7E86"/>
    <w:rsid w:val="000E375F"/>
    <w:rsid w:val="0010604E"/>
    <w:rsid w:val="0012688F"/>
    <w:rsid w:val="00144FC0"/>
    <w:rsid w:val="001527F2"/>
    <w:rsid w:val="00173E84"/>
    <w:rsid w:val="001C66A5"/>
    <w:rsid w:val="001F0371"/>
    <w:rsid w:val="001F2231"/>
    <w:rsid w:val="0020093C"/>
    <w:rsid w:val="00204D5F"/>
    <w:rsid w:val="002247A8"/>
    <w:rsid w:val="00226E82"/>
    <w:rsid w:val="00252C15"/>
    <w:rsid w:val="002604CD"/>
    <w:rsid w:val="00263CCE"/>
    <w:rsid w:val="002667E8"/>
    <w:rsid w:val="00270A64"/>
    <w:rsid w:val="002D3860"/>
    <w:rsid w:val="002F00AA"/>
    <w:rsid w:val="002F3A52"/>
    <w:rsid w:val="003246D7"/>
    <w:rsid w:val="00351BE0"/>
    <w:rsid w:val="00367DAD"/>
    <w:rsid w:val="00383223"/>
    <w:rsid w:val="0039321E"/>
    <w:rsid w:val="003A3D44"/>
    <w:rsid w:val="003E2966"/>
    <w:rsid w:val="00402DE4"/>
    <w:rsid w:val="00405990"/>
    <w:rsid w:val="00416769"/>
    <w:rsid w:val="004216CC"/>
    <w:rsid w:val="004919F5"/>
    <w:rsid w:val="004A14B4"/>
    <w:rsid w:val="005543FA"/>
    <w:rsid w:val="005909C1"/>
    <w:rsid w:val="005A6C4F"/>
    <w:rsid w:val="005B734C"/>
    <w:rsid w:val="006215B1"/>
    <w:rsid w:val="00627B04"/>
    <w:rsid w:val="00630FB4"/>
    <w:rsid w:val="0065442E"/>
    <w:rsid w:val="00683DC9"/>
    <w:rsid w:val="006C3F70"/>
    <w:rsid w:val="006D1E3F"/>
    <w:rsid w:val="006E7E09"/>
    <w:rsid w:val="006F64BC"/>
    <w:rsid w:val="0072080C"/>
    <w:rsid w:val="00730FA8"/>
    <w:rsid w:val="00744026"/>
    <w:rsid w:val="007B1997"/>
    <w:rsid w:val="00807265"/>
    <w:rsid w:val="00822372"/>
    <w:rsid w:val="00831D8E"/>
    <w:rsid w:val="00853004"/>
    <w:rsid w:val="00886FAE"/>
    <w:rsid w:val="00895AB9"/>
    <w:rsid w:val="008C6885"/>
    <w:rsid w:val="008F2CFE"/>
    <w:rsid w:val="00903426"/>
    <w:rsid w:val="00910E30"/>
    <w:rsid w:val="00913972"/>
    <w:rsid w:val="00944960"/>
    <w:rsid w:val="0097026C"/>
    <w:rsid w:val="00976802"/>
    <w:rsid w:val="009B2A32"/>
    <w:rsid w:val="009D1DBF"/>
    <w:rsid w:val="009D7C0C"/>
    <w:rsid w:val="00A1506D"/>
    <w:rsid w:val="00A16A9C"/>
    <w:rsid w:val="00A457CE"/>
    <w:rsid w:val="00A51D32"/>
    <w:rsid w:val="00AA38C1"/>
    <w:rsid w:val="00AD0AAE"/>
    <w:rsid w:val="00B23B44"/>
    <w:rsid w:val="00B34308"/>
    <w:rsid w:val="00B40895"/>
    <w:rsid w:val="00B852F4"/>
    <w:rsid w:val="00B85BD1"/>
    <w:rsid w:val="00B93CA0"/>
    <w:rsid w:val="00BE61CB"/>
    <w:rsid w:val="00C006F4"/>
    <w:rsid w:val="00C01DB5"/>
    <w:rsid w:val="00C21A19"/>
    <w:rsid w:val="00C35462"/>
    <w:rsid w:val="00C63519"/>
    <w:rsid w:val="00C67B64"/>
    <w:rsid w:val="00C72DAD"/>
    <w:rsid w:val="00C73395"/>
    <w:rsid w:val="00C75ABB"/>
    <w:rsid w:val="00C908E1"/>
    <w:rsid w:val="00C95FFC"/>
    <w:rsid w:val="00CC13B4"/>
    <w:rsid w:val="00D051D0"/>
    <w:rsid w:val="00D6204F"/>
    <w:rsid w:val="00E0419C"/>
    <w:rsid w:val="00E20A63"/>
    <w:rsid w:val="00E66305"/>
    <w:rsid w:val="00E87E8C"/>
    <w:rsid w:val="00E90F4F"/>
    <w:rsid w:val="00EA3848"/>
    <w:rsid w:val="00F16015"/>
    <w:rsid w:val="00F17837"/>
    <w:rsid w:val="00F353F6"/>
    <w:rsid w:val="00F405FC"/>
    <w:rsid w:val="00F43905"/>
    <w:rsid w:val="00F573FE"/>
    <w:rsid w:val="00F60F29"/>
    <w:rsid w:val="00F67190"/>
    <w:rsid w:val="00F7034D"/>
    <w:rsid w:val="00F760E5"/>
    <w:rsid w:val="00FB3196"/>
    <w:rsid w:val="00FC1F16"/>
    <w:rsid w:val="00FC6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rsid w:val="000C7E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C7E86"/>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0C7E86"/>
    <w:rPr>
      <w:color w:val="0000FF"/>
      <w:u w:val="single"/>
    </w:rPr>
  </w:style>
  <w:style w:type="paragraph" w:styleId="BodyText">
    <w:name w:val="Body Text"/>
    <w:basedOn w:val="Normal"/>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rsid w:val="000C7E86"/>
    <w:pPr>
      <w:numPr>
        <w:ilvl w:val="0"/>
        <w:numId w:val="0"/>
      </w:numPr>
      <w:tabs>
        <w:tab w:val="clear" w:pos="1008"/>
        <w:tab w:val="left" w:pos="1080"/>
      </w:tabs>
      <w:ind w:left="1080" w:hanging="1080"/>
    </w:pPr>
  </w:style>
  <w:style w:type="paragraph" w:customStyle="1" w:styleId="H4">
    <w:name w:val="H4"/>
    <w:basedOn w:val="Heading4"/>
    <w:next w:val="BodyText"/>
    <w:rsid w:val="000C7E86"/>
    <w:pPr>
      <w:numPr>
        <w:ilvl w:val="0"/>
        <w:numId w:val="0"/>
      </w:numPr>
      <w:tabs>
        <w:tab w:val="clear" w:pos="1296"/>
        <w:tab w:val="left" w:pos="1260"/>
      </w:tabs>
      <w:ind w:left="1260" w:hanging="1260"/>
    </w:pPr>
  </w:style>
  <w:style w:type="paragraph" w:customStyle="1" w:styleId="H5">
    <w:name w:val="H5"/>
    <w:basedOn w:val="Heading5"/>
    <w:next w:val="BodyText"/>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basedOn w:val="Normal"/>
    <w:rsid w:val="000C7E86"/>
    <w:pPr>
      <w:spacing w:after="240"/>
      <w:ind w:left="720" w:hanging="720"/>
    </w:pPr>
    <w:rPr>
      <w:szCs w:val="20"/>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C006F4"/>
    <w:rPr>
      <w:rFonts w:ascii="Tahoma" w:hAnsi="Tahoma" w:cs="Tahoma"/>
      <w:sz w:val="16"/>
      <w:szCs w:val="16"/>
    </w:rPr>
  </w:style>
  <w:style w:type="character" w:styleId="CommentReference">
    <w:name w:val="annotation reference"/>
    <w:basedOn w:val="DefaultParagraphFont"/>
    <w:semiHidden/>
    <w:rsid w:val="0010604E"/>
    <w:rPr>
      <w:sz w:val="16"/>
      <w:szCs w:val="16"/>
    </w:rPr>
  </w:style>
  <w:style w:type="paragraph" w:styleId="CommentText">
    <w:name w:val="annotation text"/>
    <w:basedOn w:val="Normal"/>
    <w:semiHidden/>
    <w:rsid w:val="0010604E"/>
    <w:rPr>
      <w:sz w:val="20"/>
      <w:szCs w:val="20"/>
    </w:rPr>
  </w:style>
  <w:style w:type="paragraph" w:styleId="CommentSubject">
    <w:name w:val="annotation subject"/>
    <w:basedOn w:val="CommentText"/>
    <w:next w:val="CommentText"/>
    <w:semiHidden/>
    <w:rsid w:val="0010604E"/>
    <w:rPr>
      <w:b/>
      <w:bCs/>
    </w:rPr>
  </w:style>
  <w:style w:type="character" w:customStyle="1" w:styleId="NormalArialChar">
    <w:name w:val="Normal+Arial Char"/>
    <w:basedOn w:val="DefaultParagraphFont"/>
    <w:link w:val="NormalArial"/>
    <w:rsid w:val="00B85BD1"/>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383223"/>
    <w:rPr>
      <w:iCs/>
      <w:sz w:val="24"/>
    </w:rPr>
  </w:style>
  <w:style w:type="paragraph" w:customStyle="1" w:styleId="BodyTextNumbered">
    <w:name w:val="Body Text Numbered"/>
    <w:basedOn w:val="BodyText"/>
    <w:link w:val="BodyTextNumberedChar1"/>
    <w:rsid w:val="00383223"/>
    <w:pPr>
      <w:ind w:left="720" w:hanging="720"/>
    </w:pPr>
    <w:rPr>
      <w:iCs/>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ndall@ercot.com" TargetMode="External"/><Relationship Id="rId3" Type="http://schemas.openxmlformats.org/officeDocument/2006/relationships/settings" Target="settings.xml"/><Relationship Id="rId7" Type="http://schemas.openxmlformats.org/officeDocument/2006/relationships/hyperlink" Target="mailto:stindal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1538</Words>
  <Characters>8771</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10289</CharactersWithSpaces>
  <SharedDoc>false</SharedDoc>
  <HLinks>
    <vt:vector size="12" baseType="variant">
      <vt:variant>
        <vt:i4>7077964</vt:i4>
      </vt:variant>
      <vt:variant>
        <vt:i4>3</vt:i4>
      </vt:variant>
      <vt:variant>
        <vt:i4>0</vt:i4>
      </vt:variant>
      <vt:variant>
        <vt:i4>5</vt:i4>
      </vt:variant>
      <vt:variant>
        <vt:lpwstr>mailto:stindall@ercot.com</vt:lpwstr>
      </vt:variant>
      <vt:variant>
        <vt:lpwstr/>
      </vt:variant>
      <vt:variant>
        <vt:i4>7077964</vt:i4>
      </vt:variant>
      <vt:variant>
        <vt:i4>0</vt:i4>
      </vt:variant>
      <vt:variant>
        <vt:i4>0</vt:i4>
      </vt:variant>
      <vt:variant>
        <vt:i4>5</vt:i4>
      </vt:variant>
      <vt:variant>
        <vt:lpwstr>mailto:stindall@ercot.com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2004-09-29T14:26:00Z</cp:lastPrinted>
  <dcterms:created xsi:type="dcterms:W3CDTF">2011-04-29T19:25:00Z</dcterms:created>
  <dcterms:modified xsi:type="dcterms:W3CDTF">2011-04-29T19:25:00Z</dcterms:modified>
</cp:coreProperties>
</file>