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1260"/>
        <w:gridCol w:w="900"/>
        <w:gridCol w:w="1980"/>
        <w:gridCol w:w="4680"/>
      </w:tblGrid>
      <w:tr w:rsidR="00004403" w:rsidTr="00C062E5">
        <w:tblPrEx>
          <w:tblCellMar>
            <w:top w:w="0" w:type="dxa"/>
            <w:bottom w:w="0" w:type="dxa"/>
          </w:tblCellMar>
        </w:tblPrEx>
        <w:trPr>
          <w:trHeight w:val="512"/>
        </w:trPr>
        <w:tc>
          <w:tcPr>
            <w:tcW w:w="1620" w:type="dxa"/>
            <w:tcBorders>
              <w:bottom w:val="single" w:sz="4" w:space="0" w:color="auto"/>
            </w:tcBorders>
            <w:shd w:val="clear" w:color="auto" w:fill="FFFFFF"/>
            <w:vAlign w:val="center"/>
          </w:tcPr>
          <w:p w:rsidR="00004403" w:rsidRDefault="00004403" w:rsidP="00C062E5">
            <w:pPr>
              <w:pStyle w:val="Header"/>
            </w:pPr>
            <w:r>
              <w:t>NPRR Number</w:t>
            </w:r>
          </w:p>
        </w:tc>
        <w:tc>
          <w:tcPr>
            <w:tcW w:w="1260" w:type="dxa"/>
            <w:tcBorders>
              <w:bottom w:val="single" w:sz="4" w:space="0" w:color="auto"/>
            </w:tcBorders>
            <w:vAlign w:val="center"/>
          </w:tcPr>
          <w:p w:rsidR="00004403" w:rsidRDefault="00B314E3" w:rsidP="00C062E5">
            <w:pPr>
              <w:pStyle w:val="Header"/>
            </w:pPr>
            <w:r>
              <w:t>3</w:t>
            </w:r>
            <w:r w:rsidR="0007350C">
              <w:t>38</w:t>
            </w:r>
          </w:p>
        </w:tc>
        <w:tc>
          <w:tcPr>
            <w:tcW w:w="900" w:type="dxa"/>
            <w:tcBorders>
              <w:bottom w:val="single" w:sz="4" w:space="0" w:color="auto"/>
            </w:tcBorders>
            <w:shd w:val="clear" w:color="auto" w:fill="FFFFFF"/>
            <w:vAlign w:val="center"/>
          </w:tcPr>
          <w:p w:rsidR="00004403" w:rsidRDefault="00004403" w:rsidP="00C062E5">
            <w:pPr>
              <w:pStyle w:val="Header"/>
            </w:pPr>
            <w:r>
              <w:t>NPRR Title</w:t>
            </w:r>
          </w:p>
        </w:tc>
        <w:tc>
          <w:tcPr>
            <w:tcW w:w="6660" w:type="dxa"/>
            <w:gridSpan w:val="2"/>
            <w:tcBorders>
              <w:bottom w:val="single" w:sz="4" w:space="0" w:color="auto"/>
            </w:tcBorders>
            <w:vAlign w:val="center"/>
          </w:tcPr>
          <w:p w:rsidR="00004403" w:rsidRDefault="0007350C" w:rsidP="00B314E3">
            <w:pPr>
              <w:pStyle w:val="Header"/>
            </w:pPr>
            <w:r>
              <w:t>Modifications to Support Revenue Neutrality</w:t>
            </w:r>
          </w:p>
        </w:tc>
      </w:tr>
      <w:tr w:rsidR="00004403" w:rsidTr="00C062E5">
        <w:tblPrEx>
          <w:tblCellMar>
            <w:top w:w="0" w:type="dxa"/>
            <w:bottom w:w="0" w:type="dxa"/>
          </w:tblCellMar>
        </w:tblPrEx>
        <w:trPr>
          <w:cantSplit/>
          <w:trHeight w:val="512"/>
        </w:trPr>
        <w:tc>
          <w:tcPr>
            <w:tcW w:w="1620" w:type="dxa"/>
            <w:tcBorders>
              <w:bottom w:val="single" w:sz="4" w:space="0" w:color="auto"/>
            </w:tcBorders>
            <w:shd w:val="clear" w:color="auto" w:fill="FFFFFF"/>
            <w:vAlign w:val="center"/>
          </w:tcPr>
          <w:p w:rsidR="00004403" w:rsidRPr="00F573FE" w:rsidRDefault="00004403" w:rsidP="00C062E5">
            <w:pPr>
              <w:pStyle w:val="Header"/>
            </w:pPr>
            <w:r>
              <w:t>Timeline</w:t>
            </w:r>
          </w:p>
        </w:tc>
        <w:tc>
          <w:tcPr>
            <w:tcW w:w="1260" w:type="dxa"/>
            <w:tcBorders>
              <w:bottom w:val="single" w:sz="4" w:space="0" w:color="auto"/>
            </w:tcBorders>
            <w:vAlign w:val="center"/>
          </w:tcPr>
          <w:p w:rsidR="00004403" w:rsidRDefault="00004403" w:rsidP="00C062E5">
            <w:pPr>
              <w:pStyle w:val="Header"/>
              <w:rPr>
                <w:b w:val="0"/>
                <w:bCs w:val="0"/>
              </w:rPr>
            </w:pPr>
            <w:smartTag w:uri="urn:schemas-microsoft-com:office:smarttags" w:element="City">
              <w:smartTag w:uri="urn:schemas-microsoft-com:office:smarttags" w:element="place">
                <w:r>
                  <w:rPr>
                    <w:b w:val="0"/>
                    <w:bCs w:val="0"/>
                  </w:rPr>
                  <w:t>Normal</w:t>
                </w:r>
              </w:smartTag>
            </w:smartTag>
          </w:p>
        </w:tc>
        <w:tc>
          <w:tcPr>
            <w:tcW w:w="2880" w:type="dxa"/>
            <w:gridSpan w:val="2"/>
            <w:tcBorders>
              <w:bottom w:val="single" w:sz="4" w:space="0" w:color="auto"/>
            </w:tcBorders>
            <w:shd w:val="clear" w:color="auto" w:fill="FFFFFF"/>
            <w:vAlign w:val="center"/>
          </w:tcPr>
          <w:p w:rsidR="00004403" w:rsidRDefault="00004403" w:rsidP="00C062E5">
            <w:pPr>
              <w:pStyle w:val="Header"/>
            </w:pPr>
            <w:r>
              <w:t>Action</w:t>
            </w:r>
          </w:p>
        </w:tc>
        <w:tc>
          <w:tcPr>
            <w:tcW w:w="4680" w:type="dxa"/>
            <w:tcBorders>
              <w:bottom w:val="single" w:sz="4" w:space="0" w:color="auto"/>
            </w:tcBorders>
            <w:shd w:val="clear" w:color="auto" w:fill="FFFFFF"/>
            <w:vAlign w:val="center"/>
          </w:tcPr>
          <w:p w:rsidR="00004403" w:rsidRPr="00BD786A" w:rsidRDefault="0007350C" w:rsidP="00C062E5">
            <w:pPr>
              <w:pStyle w:val="Header"/>
              <w:rPr>
                <w:b w:val="0"/>
              </w:rPr>
            </w:pPr>
            <w:r>
              <w:rPr>
                <w:b w:val="0"/>
              </w:rPr>
              <w:t xml:space="preserve">Recommended Approval </w:t>
            </w:r>
          </w:p>
        </w:tc>
      </w:tr>
      <w:tr w:rsidR="00004403" w:rsidTr="00C062E5">
        <w:tblPrEx>
          <w:tblCellMar>
            <w:top w:w="0" w:type="dxa"/>
            <w:bottom w:w="0" w:type="dxa"/>
          </w:tblCellMar>
        </w:tblPrEx>
        <w:trPr>
          <w:trHeight w:val="467"/>
        </w:trPr>
        <w:tc>
          <w:tcPr>
            <w:tcW w:w="2880" w:type="dxa"/>
            <w:gridSpan w:val="2"/>
            <w:tcBorders>
              <w:top w:val="single" w:sz="4" w:space="0" w:color="auto"/>
              <w:bottom w:val="single" w:sz="4" w:space="0" w:color="auto"/>
            </w:tcBorders>
            <w:shd w:val="clear" w:color="auto" w:fill="FFFFFF"/>
            <w:vAlign w:val="center"/>
          </w:tcPr>
          <w:p w:rsidR="00004403" w:rsidRDefault="00004403" w:rsidP="00C062E5">
            <w:pPr>
              <w:pStyle w:val="Header"/>
            </w:pPr>
            <w:r>
              <w:t>Date of Decision</w:t>
            </w:r>
          </w:p>
        </w:tc>
        <w:tc>
          <w:tcPr>
            <w:tcW w:w="7560" w:type="dxa"/>
            <w:gridSpan w:val="3"/>
            <w:tcBorders>
              <w:top w:val="single" w:sz="4" w:space="0" w:color="auto"/>
            </w:tcBorders>
            <w:vAlign w:val="center"/>
          </w:tcPr>
          <w:p w:rsidR="00004403" w:rsidRDefault="00604582" w:rsidP="00C062E5">
            <w:pPr>
              <w:pStyle w:val="NormalArial"/>
            </w:pPr>
            <w:r>
              <w:t>April 21</w:t>
            </w:r>
            <w:r w:rsidR="00FE2889">
              <w:t>, 2011</w:t>
            </w:r>
          </w:p>
        </w:tc>
      </w:tr>
      <w:tr w:rsidR="00004403" w:rsidTr="00C062E5">
        <w:tblPrEx>
          <w:tblCellMar>
            <w:top w:w="0" w:type="dxa"/>
            <w:bottom w:w="0" w:type="dxa"/>
          </w:tblCellMar>
        </w:tblPrEx>
        <w:trPr>
          <w:trHeight w:val="647"/>
        </w:trPr>
        <w:tc>
          <w:tcPr>
            <w:tcW w:w="2880" w:type="dxa"/>
            <w:gridSpan w:val="2"/>
            <w:tcBorders>
              <w:bottom w:val="single" w:sz="4" w:space="0" w:color="auto"/>
            </w:tcBorders>
            <w:shd w:val="clear" w:color="auto" w:fill="FFFFFF"/>
            <w:vAlign w:val="center"/>
          </w:tcPr>
          <w:p w:rsidR="00004403" w:rsidRDefault="00004403" w:rsidP="00C062E5">
            <w:pPr>
              <w:pStyle w:val="Header"/>
            </w:pPr>
            <w:r>
              <w:t>Proposed Effective Date</w:t>
            </w:r>
          </w:p>
        </w:tc>
        <w:tc>
          <w:tcPr>
            <w:tcW w:w="7560" w:type="dxa"/>
            <w:gridSpan w:val="3"/>
            <w:vAlign w:val="center"/>
          </w:tcPr>
          <w:p w:rsidR="00B314E3" w:rsidRDefault="0007350C" w:rsidP="00C062E5">
            <w:pPr>
              <w:pStyle w:val="NormalArial"/>
            </w:pPr>
            <w:r>
              <w:t xml:space="preserve">To be determined. </w:t>
            </w:r>
          </w:p>
        </w:tc>
      </w:tr>
      <w:tr w:rsidR="00004403" w:rsidTr="00C062E5">
        <w:tblPrEx>
          <w:tblCellMar>
            <w:top w:w="0" w:type="dxa"/>
            <w:bottom w:w="0" w:type="dxa"/>
          </w:tblCellMar>
        </w:tblPrEx>
        <w:trPr>
          <w:trHeight w:val="710"/>
        </w:trPr>
        <w:tc>
          <w:tcPr>
            <w:tcW w:w="2880" w:type="dxa"/>
            <w:gridSpan w:val="2"/>
            <w:tcBorders>
              <w:bottom w:val="single" w:sz="4" w:space="0" w:color="auto"/>
            </w:tcBorders>
            <w:shd w:val="clear" w:color="auto" w:fill="FFFFFF"/>
            <w:vAlign w:val="center"/>
          </w:tcPr>
          <w:p w:rsidR="00004403" w:rsidRDefault="00004403" w:rsidP="00C062E5">
            <w:pPr>
              <w:pStyle w:val="Header"/>
            </w:pPr>
            <w:r>
              <w:t>Priority and Rank Assigned</w:t>
            </w:r>
          </w:p>
        </w:tc>
        <w:tc>
          <w:tcPr>
            <w:tcW w:w="7560" w:type="dxa"/>
            <w:gridSpan w:val="3"/>
            <w:vAlign w:val="center"/>
          </w:tcPr>
          <w:p w:rsidR="00004403" w:rsidRDefault="0007350C" w:rsidP="0007350C">
            <w:pPr>
              <w:pStyle w:val="NormalArial"/>
            </w:pPr>
            <w:r>
              <w:t xml:space="preserve">To be determined. </w:t>
            </w:r>
          </w:p>
        </w:tc>
      </w:tr>
      <w:tr w:rsidR="00B314E3" w:rsidTr="00C062E5">
        <w:tblPrEx>
          <w:tblCellMar>
            <w:top w:w="0" w:type="dxa"/>
            <w:bottom w:w="0" w:type="dxa"/>
          </w:tblCellMar>
        </w:tblPrEx>
        <w:trPr>
          <w:trHeight w:val="710"/>
        </w:trPr>
        <w:tc>
          <w:tcPr>
            <w:tcW w:w="2880" w:type="dxa"/>
            <w:gridSpan w:val="2"/>
            <w:tcBorders>
              <w:top w:val="single" w:sz="4" w:space="0" w:color="auto"/>
              <w:bottom w:val="single" w:sz="4" w:space="0" w:color="auto"/>
            </w:tcBorders>
            <w:shd w:val="clear" w:color="auto" w:fill="FFFFFF"/>
            <w:vAlign w:val="center"/>
          </w:tcPr>
          <w:p w:rsidR="00B314E3" w:rsidRDefault="00B314E3" w:rsidP="005F0857">
            <w:pPr>
              <w:pStyle w:val="Header"/>
            </w:pPr>
            <w:r>
              <w:t>Nodal Protocol Section</w:t>
            </w:r>
            <w:r w:rsidR="004B3C93">
              <w:t>s</w:t>
            </w:r>
            <w:r>
              <w:t xml:space="preserve"> Requiring Revision</w:t>
            </w:r>
          </w:p>
        </w:tc>
        <w:tc>
          <w:tcPr>
            <w:tcW w:w="7560" w:type="dxa"/>
            <w:gridSpan w:val="3"/>
            <w:tcBorders>
              <w:top w:val="single" w:sz="4" w:space="0" w:color="auto"/>
            </w:tcBorders>
            <w:vAlign w:val="center"/>
          </w:tcPr>
          <w:p w:rsidR="0007350C" w:rsidRDefault="0007350C" w:rsidP="0007350C">
            <w:pPr>
              <w:pStyle w:val="H3"/>
              <w:spacing w:before="0" w:after="0"/>
            </w:pPr>
            <w:r w:rsidRPr="006710CA">
              <w:rPr>
                <w:rFonts w:ascii="Arial" w:hAnsi="Arial" w:cs="Arial"/>
                <w:b w:val="0"/>
                <w:bCs w:val="0"/>
                <w:i w:val="0"/>
                <w:szCs w:val="24"/>
              </w:rPr>
              <w:t>9.2.5</w:t>
            </w:r>
            <w:r>
              <w:rPr>
                <w:rFonts w:ascii="Arial" w:hAnsi="Arial" w:cs="Arial"/>
                <w:b w:val="0"/>
                <w:bCs w:val="0"/>
                <w:i w:val="0"/>
                <w:szCs w:val="24"/>
              </w:rPr>
              <w:t xml:space="preserve">, </w:t>
            </w:r>
            <w:r w:rsidRPr="006710CA">
              <w:rPr>
                <w:rFonts w:ascii="Arial" w:hAnsi="Arial" w:cs="Arial"/>
                <w:b w:val="0"/>
                <w:bCs w:val="0"/>
                <w:i w:val="0"/>
                <w:szCs w:val="24"/>
              </w:rPr>
              <w:t>DAM Resettlement Statement</w:t>
            </w:r>
          </w:p>
          <w:p w:rsidR="00B314E3" w:rsidRDefault="0007350C" w:rsidP="0007350C">
            <w:pPr>
              <w:pStyle w:val="NormalArial"/>
            </w:pPr>
            <w:r>
              <w:rPr>
                <w:rFonts w:cs="Arial"/>
              </w:rPr>
              <w:t xml:space="preserve">9.19, </w:t>
            </w:r>
            <w:r w:rsidRPr="00E70A3E">
              <w:rPr>
                <w:rFonts w:cs="Arial"/>
              </w:rPr>
              <w:t>Partial Payments by Invoice Recipients</w:t>
            </w:r>
          </w:p>
        </w:tc>
      </w:tr>
      <w:tr w:rsidR="0007350C" w:rsidTr="00C062E5">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07350C" w:rsidRDefault="0007350C" w:rsidP="00C062E5">
            <w:pPr>
              <w:pStyle w:val="Header"/>
            </w:pPr>
            <w:r>
              <w:t>Revision Description</w:t>
            </w:r>
          </w:p>
        </w:tc>
        <w:tc>
          <w:tcPr>
            <w:tcW w:w="7560" w:type="dxa"/>
            <w:gridSpan w:val="3"/>
            <w:tcBorders>
              <w:bottom w:val="single" w:sz="4" w:space="0" w:color="auto"/>
            </w:tcBorders>
            <w:vAlign w:val="center"/>
          </w:tcPr>
          <w:p w:rsidR="0007350C" w:rsidRDefault="0007350C" w:rsidP="0007350C">
            <w:pPr>
              <w:pStyle w:val="NormalArial"/>
            </w:pPr>
            <w:r>
              <w:t xml:space="preserve">This Nodal Protocol Revision Request (NPRR) deducts the amount collected for the shortfall charges for Congestion Revenue Right (CRR) Owners from the amount received on all Real-Time Market (RTM) Invoices prior to prorating the payout to the RTM Invoice Recipients.  </w:t>
            </w:r>
          </w:p>
          <w:p w:rsidR="0007350C" w:rsidRDefault="0007350C" w:rsidP="0007350C">
            <w:pPr>
              <w:pStyle w:val="NormalArial"/>
            </w:pPr>
          </w:p>
          <w:p w:rsidR="0007350C" w:rsidRDefault="00BF155A" w:rsidP="0007350C">
            <w:pPr>
              <w:pStyle w:val="NormalArial"/>
            </w:pPr>
            <w:r>
              <w:t xml:space="preserve">This NPRR </w:t>
            </w:r>
            <w:r w:rsidR="0007350C">
              <w:t>also adds language to allow ERCOT to resettle the Day-Ahead Market (DAM) in the event that a DAM Settlement error, which does not otherwise meet the Protocol requirements for resettlement, will impact ERCOT’s ability to achieve revenue neutrality.</w:t>
            </w:r>
          </w:p>
        </w:tc>
      </w:tr>
      <w:tr w:rsidR="0007350C" w:rsidTr="00C062E5">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07350C" w:rsidRDefault="0007350C" w:rsidP="00C062E5">
            <w:pPr>
              <w:pStyle w:val="Header"/>
            </w:pPr>
            <w:r>
              <w:t>Reason for Revision</w:t>
            </w:r>
          </w:p>
        </w:tc>
        <w:tc>
          <w:tcPr>
            <w:tcW w:w="7560" w:type="dxa"/>
            <w:gridSpan w:val="3"/>
            <w:tcBorders>
              <w:bottom w:val="single" w:sz="4" w:space="0" w:color="auto"/>
            </w:tcBorders>
            <w:vAlign w:val="center"/>
          </w:tcPr>
          <w:p w:rsidR="0007350C" w:rsidRDefault="0007350C" w:rsidP="0007350C">
            <w:pPr>
              <w:pStyle w:val="NormalArial"/>
            </w:pPr>
            <w:r>
              <w:t>The reasons for this revision are:</w:t>
            </w:r>
          </w:p>
          <w:p w:rsidR="0007350C" w:rsidRDefault="0007350C" w:rsidP="0007350C">
            <w:pPr>
              <w:pStyle w:val="NormalArial"/>
              <w:numPr>
                <w:ilvl w:val="0"/>
                <w:numId w:val="19"/>
              </w:numPr>
            </w:pPr>
            <w:r>
              <w:t>To facilitate revenue neutrality in the CRR Balancing Account closure process in the event of a short payment on the RTM Invoices.  The amount collected from the RTM Invoices for the monthly refunds to the short-paid Day-Ahead CRR Owners should be deducted before calculating the pro-rated payout to the short-paid RTM Invoice Recipients.  This is consistent with the treatment of those funds for RTM Invoice payout when there is not a short-pay.</w:t>
            </w:r>
          </w:p>
          <w:p w:rsidR="0007350C" w:rsidRDefault="0007350C" w:rsidP="0007350C">
            <w:pPr>
              <w:pStyle w:val="NormalArial"/>
              <w:numPr>
                <w:ilvl w:val="0"/>
                <w:numId w:val="19"/>
              </w:numPr>
            </w:pPr>
            <w:r>
              <w:t>To facilitate ERCOT’s revenue neutrality by allowing ERCOT to perform a DAM Resettlement Statement to resolve a DAM Settlement error that impacts ERCOT’s ability to achieve revenue neutrality.</w:t>
            </w:r>
          </w:p>
        </w:tc>
      </w:tr>
      <w:tr w:rsidR="0007350C" w:rsidTr="00C062E5">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07350C" w:rsidRDefault="0007350C" w:rsidP="00C062E5">
            <w:pPr>
              <w:pStyle w:val="Header"/>
            </w:pPr>
            <w:r>
              <w:t>Overall Market Benefit</w:t>
            </w:r>
          </w:p>
        </w:tc>
        <w:tc>
          <w:tcPr>
            <w:tcW w:w="7560" w:type="dxa"/>
            <w:gridSpan w:val="3"/>
            <w:tcBorders>
              <w:bottom w:val="single" w:sz="4" w:space="0" w:color="auto"/>
            </w:tcBorders>
            <w:vAlign w:val="center"/>
          </w:tcPr>
          <w:p w:rsidR="0007350C" w:rsidRDefault="0007350C" w:rsidP="0007350C">
            <w:pPr>
              <w:pStyle w:val="NormalArial"/>
            </w:pPr>
            <w:r>
              <w:t>Maintain</w:t>
            </w:r>
            <w:r w:rsidR="00BF155A">
              <w:t>s</w:t>
            </w:r>
            <w:r>
              <w:t xml:space="preserve"> ERCOT’s revenue neutrality and ensure</w:t>
            </w:r>
            <w:r w:rsidR="00BF155A">
              <w:t>s</w:t>
            </w:r>
            <w:r>
              <w:t xml:space="preserve"> accurate Settlement of the DAM.</w:t>
            </w:r>
          </w:p>
        </w:tc>
      </w:tr>
      <w:tr w:rsidR="0007350C" w:rsidTr="00C062E5">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07350C" w:rsidRDefault="0007350C" w:rsidP="00C062E5">
            <w:pPr>
              <w:pStyle w:val="Header"/>
            </w:pPr>
            <w:r>
              <w:t>Overall Market Impact</w:t>
            </w:r>
          </w:p>
        </w:tc>
        <w:tc>
          <w:tcPr>
            <w:tcW w:w="7560" w:type="dxa"/>
            <w:gridSpan w:val="3"/>
            <w:tcBorders>
              <w:bottom w:val="single" w:sz="4" w:space="0" w:color="auto"/>
            </w:tcBorders>
            <w:vAlign w:val="center"/>
          </w:tcPr>
          <w:p w:rsidR="0007350C" w:rsidRDefault="0007350C" w:rsidP="0007350C">
            <w:pPr>
              <w:pStyle w:val="NormalArial"/>
            </w:pPr>
            <w:r>
              <w:t>Unknown.</w:t>
            </w:r>
          </w:p>
        </w:tc>
      </w:tr>
      <w:tr w:rsidR="0007350C" w:rsidTr="00C062E5">
        <w:tblPrEx>
          <w:tblCellMar>
            <w:top w:w="0" w:type="dxa"/>
            <w:bottom w:w="0" w:type="dxa"/>
          </w:tblCellMar>
        </w:tblPrEx>
        <w:trPr>
          <w:trHeight w:val="512"/>
        </w:trPr>
        <w:tc>
          <w:tcPr>
            <w:tcW w:w="2880" w:type="dxa"/>
            <w:gridSpan w:val="2"/>
            <w:shd w:val="clear" w:color="auto" w:fill="FFFFFF"/>
            <w:vAlign w:val="center"/>
          </w:tcPr>
          <w:p w:rsidR="0007350C" w:rsidRDefault="0007350C" w:rsidP="00C062E5">
            <w:pPr>
              <w:pStyle w:val="Header"/>
            </w:pPr>
            <w:r>
              <w:t>Consumer Impact</w:t>
            </w:r>
          </w:p>
        </w:tc>
        <w:tc>
          <w:tcPr>
            <w:tcW w:w="7560" w:type="dxa"/>
            <w:gridSpan w:val="3"/>
            <w:vAlign w:val="center"/>
          </w:tcPr>
          <w:p w:rsidR="0007350C" w:rsidRDefault="0007350C" w:rsidP="0007350C">
            <w:pPr>
              <w:pStyle w:val="NormalArial"/>
            </w:pPr>
            <w:r>
              <w:t>Unknown.</w:t>
            </w:r>
          </w:p>
        </w:tc>
      </w:tr>
      <w:tr w:rsidR="0007350C" w:rsidTr="00C062E5">
        <w:tblPrEx>
          <w:tblCellMar>
            <w:top w:w="0" w:type="dxa"/>
            <w:bottom w:w="0" w:type="dxa"/>
          </w:tblCellMar>
        </w:tblPrEx>
        <w:trPr>
          <w:trHeight w:val="1160"/>
        </w:trPr>
        <w:tc>
          <w:tcPr>
            <w:tcW w:w="2880" w:type="dxa"/>
            <w:gridSpan w:val="2"/>
            <w:shd w:val="clear" w:color="auto" w:fill="FFFFFF"/>
            <w:vAlign w:val="center"/>
          </w:tcPr>
          <w:p w:rsidR="0007350C" w:rsidRDefault="0007350C" w:rsidP="00C062E5">
            <w:pPr>
              <w:pStyle w:val="Header"/>
            </w:pPr>
            <w:r>
              <w:lastRenderedPageBreak/>
              <w:t>Credit Impacts</w:t>
            </w:r>
          </w:p>
        </w:tc>
        <w:tc>
          <w:tcPr>
            <w:tcW w:w="7560" w:type="dxa"/>
            <w:gridSpan w:val="3"/>
            <w:vAlign w:val="center"/>
          </w:tcPr>
          <w:p w:rsidR="0007350C" w:rsidRDefault="0007350C" w:rsidP="0007350C">
            <w:pPr>
              <w:pStyle w:val="NormalArial"/>
            </w:pPr>
            <w:r>
              <w:t xml:space="preserve">To be determined. </w:t>
            </w:r>
          </w:p>
        </w:tc>
      </w:tr>
      <w:tr w:rsidR="0007350C" w:rsidTr="00C062E5">
        <w:tblPrEx>
          <w:tblCellMar>
            <w:top w:w="0" w:type="dxa"/>
            <w:bottom w:w="0" w:type="dxa"/>
          </w:tblCellMar>
        </w:tblPrEx>
        <w:trPr>
          <w:trHeight w:val="458"/>
        </w:trPr>
        <w:tc>
          <w:tcPr>
            <w:tcW w:w="2880" w:type="dxa"/>
            <w:gridSpan w:val="2"/>
            <w:shd w:val="clear" w:color="auto" w:fill="FFFFFF"/>
            <w:vAlign w:val="center"/>
          </w:tcPr>
          <w:p w:rsidR="0007350C" w:rsidRDefault="0007350C" w:rsidP="00C062E5">
            <w:pPr>
              <w:pStyle w:val="Header"/>
            </w:pPr>
            <w:r>
              <w:t>Procedural History</w:t>
            </w:r>
          </w:p>
        </w:tc>
        <w:tc>
          <w:tcPr>
            <w:tcW w:w="7560" w:type="dxa"/>
            <w:gridSpan w:val="3"/>
            <w:vAlign w:val="center"/>
          </w:tcPr>
          <w:p w:rsidR="0007350C" w:rsidRDefault="0007350C" w:rsidP="00B314E3">
            <w:pPr>
              <w:pStyle w:val="NormalArial"/>
              <w:numPr>
                <w:ilvl w:val="0"/>
                <w:numId w:val="18"/>
              </w:numPr>
              <w:tabs>
                <w:tab w:val="clear" w:pos="720"/>
                <w:tab w:val="num" w:pos="432"/>
              </w:tabs>
              <w:ind w:left="432"/>
            </w:pPr>
            <w:r>
              <w:t>On 3/17/11, NPRR3</w:t>
            </w:r>
            <w:r w:rsidR="00BF155A">
              <w:t>38,</w:t>
            </w:r>
            <w:r>
              <w:t xml:space="preserve"> the associated Impact Analysis and Cost Benefit Analysis were posted.</w:t>
            </w:r>
          </w:p>
          <w:p w:rsidR="0007350C" w:rsidRDefault="0007350C" w:rsidP="0007350C">
            <w:pPr>
              <w:pStyle w:val="NormalArial"/>
              <w:numPr>
                <w:ilvl w:val="0"/>
                <w:numId w:val="18"/>
              </w:numPr>
              <w:tabs>
                <w:tab w:val="clear" w:pos="720"/>
                <w:tab w:val="num" w:pos="432"/>
              </w:tabs>
              <w:ind w:left="432"/>
            </w:pPr>
            <w:r>
              <w:t>On 4/21/11, PRS considered NPRR338.</w:t>
            </w:r>
          </w:p>
        </w:tc>
      </w:tr>
      <w:tr w:rsidR="0007350C" w:rsidTr="00C062E5">
        <w:tblPrEx>
          <w:tblCellMar>
            <w:top w:w="0" w:type="dxa"/>
            <w:bottom w:w="0" w:type="dxa"/>
          </w:tblCellMar>
        </w:tblPrEx>
        <w:trPr>
          <w:trHeight w:val="503"/>
        </w:trPr>
        <w:tc>
          <w:tcPr>
            <w:tcW w:w="2880" w:type="dxa"/>
            <w:gridSpan w:val="2"/>
            <w:shd w:val="clear" w:color="auto" w:fill="FFFFFF"/>
            <w:vAlign w:val="center"/>
          </w:tcPr>
          <w:p w:rsidR="0007350C" w:rsidRDefault="0007350C" w:rsidP="00C062E5">
            <w:pPr>
              <w:pStyle w:val="Header"/>
            </w:pPr>
            <w:smartTag w:uri="urn:schemas-microsoft-com:office:smarttags" w:element="PersonName">
              <w:smartTag w:uri="urn:schemas-microsoft-com:office:smarttags" w:element="place">
                <w:r>
                  <w:t>PRS</w:t>
                </w:r>
              </w:smartTag>
            </w:smartTag>
            <w:r>
              <w:t xml:space="preserve"> Decision </w:t>
            </w:r>
          </w:p>
        </w:tc>
        <w:tc>
          <w:tcPr>
            <w:tcW w:w="7560" w:type="dxa"/>
            <w:gridSpan w:val="3"/>
            <w:vAlign w:val="center"/>
          </w:tcPr>
          <w:p w:rsidR="0007350C" w:rsidRDefault="0007350C" w:rsidP="00604582">
            <w:pPr>
              <w:pStyle w:val="NormalArial"/>
            </w:pPr>
            <w:r>
              <w:t xml:space="preserve">On 4/21/11, </w:t>
            </w:r>
            <w:smartTag w:uri="urn:schemas-microsoft-com:office:smarttags" w:element="PersonName">
              <w:r>
                <w:t>PRS</w:t>
              </w:r>
            </w:smartTag>
            <w:r>
              <w:t xml:space="preserve"> unanimously voted to recommend approval of NPRR338 as submitted.  All Market Segments were present for the vote.</w:t>
            </w:r>
          </w:p>
        </w:tc>
      </w:tr>
      <w:tr w:rsidR="0007350C" w:rsidTr="00C062E5">
        <w:tblPrEx>
          <w:tblCellMar>
            <w:top w:w="0" w:type="dxa"/>
            <w:bottom w:w="0" w:type="dxa"/>
          </w:tblCellMar>
        </w:tblPrEx>
        <w:trPr>
          <w:trHeight w:val="557"/>
        </w:trPr>
        <w:tc>
          <w:tcPr>
            <w:tcW w:w="2880" w:type="dxa"/>
            <w:gridSpan w:val="2"/>
            <w:shd w:val="clear" w:color="auto" w:fill="FFFFFF"/>
            <w:vAlign w:val="center"/>
          </w:tcPr>
          <w:p w:rsidR="0007350C" w:rsidRDefault="0007350C" w:rsidP="00C062E5">
            <w:pPr>
              <w:pStyle w:val="Header"/>
            </w:pPr>
            <w:r>
              <w:t xml:space="preserve">Summary of </w:t>
            </w:r>
            <w:smartTag w:uri="urn:schemas-microsoft-com:office:smarttags" w:element="PersonName">
              <w:smartTag w:uri="urn:schemas-microsoft-com:office:smarttags" w:element="place">
                <w:r>
                  <w:t>PRS</w:t>
                </w:r>
              </w:smartTag>
            </w:smartTag>
            <w:r>
              <w:t xml:space="preserve"> Discussion</w:t>
            </w:r>
          </w:p>
        </w:tc>
        <w:tc>
          <w:tcPr>
            <w:tcW w:w="7560" w:type="dxa"/>
            <w:gridSpan w:val="3"/>
            <w:vAlign w:val="center"/>
          </w:tcPr>
          <w:p w:rsidR="0007350C" w:rsidRPr="00005D70" w:rsidRDefault="0007350C" w:rsidP="00BF155A">
            <w:pPr>
              <w:tabs>
                <w:tab w:val="left" w:pos="2160"/>
              </w:tabs>
              <w:rPr>
                <w:rFonts w:ascii="Arial" w:hAnsi="Arial" w:cs="Arial"/>
              </w:rPr>
            </w:pPr>
            <w:r w:rsidRPr="00005D70">
              <w:rPr>
                <w:rFonts w:ascii="Arial" w:hAnsi="Arial" w:cs="Arial"/>
              </w:rPr>
              <w:t xml:space="preserve">On 4/21/11, </w:t>
            </w:r>
            <w:r w:rsidR="00005D70" w:rsidRPr="00005D70">
              <w:rPr>
                <w:rFonts w:ascii="Arial" w:hAnsi="Arial" w:cs="Arial"/>
              </w:rPr>
              <w:t xml:space="preserve"> </w:t>
            </w:r>
            <w:r w:rsidR="00BF155A">
              <w:rPr>
                <w:rFonts w:ascii="Arial" w:hAnsi="Arial" w:cs="Arial"/>
              </w:rPr>
              <w:t>it was explained that</w:t>
            </w:r>
            <w:r w:rsidR="00005D70" w:rsidRPr="00005D70">
              <w:rPr>
                <w:rFonts w:ascii="Arial" w:hAnsi="Arial" w:cs="Arial"/>
              </w:rPr>
              <w:t xml:space="preserve"> NPRR338 </w:t>
            </w:r>
            <w:r w:rsidR="00BF155A">
              <w:rPr>
                <w:rFonts w:ascii="Arial" w:hAnsi="Arial" w:cs="Arial"/>
              </w:rPr>
              <w:t xml:space="preserve">provides ERCOT with guidance on how to perform resettlements that are not handled under the 2% rule or a price correction; and that it </w:t>
            </w:r>
            <w:r w:rsidR="00BF155A" w:rsidRPr="00BF155A">
              <w:rPr>
                <w:rFonts w:ascii="Arial" w:hAnsi="Arial" w:cs="Arial"/>
              </w:rPr>
              <w:t>facilitate</w:t>
            </w:r>
            <w:r w:rsidR="00BF155A">
              <w:rPr>
                <w:rFonts w:ascii="Arial" w:hAnsi="Arial" w:cs="Arial"/>
              </w:rPr>
              <w:t>s</w:t>
            </w:r>
            <w:r w:rsidR="00BF155A" w:rsidRPr="00BF155A">
              <w:rPr>
                <w:rFonts w:ascii="Arial" w:hAnsi="Arial" w:cs="Arial"/>
              </w:rPr>
              <w:t xml:space="preserve"> revenue neutrality in the CRR Balancing Account closure process in the event of a short payment on the RTM Invoices</w:t>
            </w:r>
            <w:r w:rsidR="00BF155A">
              <w:rPr>
                <w:rFonts w:ascii="Arial" w:hAnsi="Arial" w:cs="Arial"/>
              </w:rPr>
              <w:t>.</w:t>
            </w:r>
          </w:p>
        </w:tc>
      </w:tr>
    </w:tbl>
    <w:p w:rsidR="00004403" w:rsidRDefault="00004403"/>
    <w:tbl>
      <w:tblPr>
        <w:tblW w:w="10447"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
        <w:gridCol w:w="1800"/>
        <w:gridCol w:w="360"/>
        <w:gridCol w:w="3600"/>
        <w:gridCol w:w="4673"/>
        <w:gridCol w:w="7"/>
      </w:tblGrid>
      <w:tr w:rsidR="009A3772" w:rsidTr="00DF31CB">
        <w:tblPrEx>
          <w:tblCellMar>
            <w:top w:w="0" w:type="dxa"/>
            <w:bottom w:w="0" w:type="dxa"/>
          </w:tblCellMar>
        </w:tblPrEx>
        <w:trPr>
          <w:gridBefore w:val="1"/>
          <w:wBefore w:w="7" w:type="dxa"/>
          <w:trHeight w:val="350"/>
        </w:trPr>
        <w:tc>
          <w:tcPr>
            <w:tcW w:w="10440" w:type="dxa"/>
            <w:gridSpan w:val="5"/>
            <w:tcBorders>
              <w:bottom w:val="single" w:sz="4" w:space="0" w:color="auto"/>
            </w:tcBorders>
            <w:shd w:val="clear" w:color="auto" w:fill="FFFFFF"/>
            <w:vAlign w:val="center"/>
          </w:tcPr>
          <w:p w:rsidR="009A3772" w:rsidRDefault="009A3772">
            <w:pPr>
              <w:pStyle w:val="Header"/>
              <w:jc w:val="center"/>
            </w:pPr>
            <w:r>
              <w:br w:type="page"/>
              <w:t>Quantitative Impacts and Benefits</w:t>
            </w:r>
          </w:p>
        </w:tc>
      </w:tr>
      <w:tr w:rsidR="009C601F" w:rsidRPr="00AC6C37"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tcBorders>
            <w:shd w:val="clear" w:color="auto" w:fill="auto"/>
            <w:vAlign w:val="center"/>
          </w:tcPr>
          <w:p w:rsidR="009C601F" w:rsidRPr="00E41BCF" w:rsidRDefault="009C601F" w:rsidP="009C601F">
            <w:pPr>
              <w:pStyle w:val="Header"/>
            </w:pPr>
            <w:r w:rsidRPr="00E41BCF">
              <w:t>Assumptions</w:t>
            </w:r>
          </w:p>
        </w:tc>
        <w:tc>
          <w:tcPr>
            <w:tcW w:w="360" w:type="dxa"/>
            <w:tcBorders>
              <w:top w:val="single" w:sz="12" w:space="0" w:color="auto"/>
              <w:bottom w:val="single" w:sz="8" w:space="0" w:color="auto"/>
            </w:tcBorders>
            <w:vAlign w:val="center"/>
          </w:tcPr>
          <w:p w:rsidR="009C601F" w:rsidRPr="00BD6AA7" w:rsidRDefault="009C601F" w:rsidP="009C601F">
            <w:pPr>
              <w:pStyle w:val="Header"/>
              <w:jc w:val="center"/>
              <w:rPr>
                <w:b w:val="0"/>
                <w:sz w:val="20"/>
                <w:szCs w:val="20"/>
              </w:rPr>
            </w:pPr>
            <w:r w:rsidRPr="00BD6AA7">
              <w:rPr>
                <w:b w:val="0"/>
                <w:sz w:val="20"/>
                <w:szCs w:val="20"/>
              </w:rPr>
              <w:t>1</w:t>
            </w:r>
          </w:p>
        </w:tc>
        <w:tc>
          <w:tcPr>
            <w:tcW w:w="8273" w:type="dxa"/>
            <w:gridSpan w:val="2"/>
            <w:tcBorders>
              <w:top w:val="single" w:sz="12" w:space="0" w:color="auto"/>
              <w:bottom w:val="single" w:sz="8" w:space="0" w:color="auto"/>
            </w:tcBorders>
            <w:vAlign w:val="center"/>
          </w:tcPr>
          <w:p w:rsidR="009C601F" w:rsidRPr="00AC6C37" w:rsidRDefault="009C601F" w:rsidP="009C601F">
            <w:pPr>
              <w:pStyle w:val="Header"/>
              <w:rPr>
                <w:b w:val="0"/>
                <w:i/>
                <w:sz w:val="20"/>
                <w:szCs w:val="20"/>
              </w:rPr>
            </w:pPr>
          </w:p>
        </w:tc>
      </w:tr>
      <w:tr w:rsidR="009C601F" w:rsidRPr="00AC6C37"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9C601F" w:rsidRPr="00E41BCF" w:rsidRDefault="009C601F">
            <w:pPr>
              <w:pStyle w:val="Header"/>
            </w:pPr>
          </w:p>
        </w:tc>
        <w:tc>
          <w:tcPr>
            <w:tcW w:w="360" w:type="dxa"/>
            <w:tcBorders>
              <w:top w:val="single" w:sz="8" w:space="0" w:color="auto"/>
            </w:tcBorders>
            <w:vAlign w:val="center"/>
          </w:tcPr>
          <w:p w:rsidR="009C601F" w:rsidRPr="00864358" w:rsidRDefault="009C601F">
            <w:pPr>
              <w:pStyle w:val="Header"/>
              <w:jc w:val="center"/>
              <w:rPr>
                <w:b w:val="0"/>
                <w:sz w:val="20"/>
                <w:szCs w:val="20"/>
              </w:rPr>
            </w:pPr>
            <w:r w:rsidRPr="00864358">
              <w:rPr>
                <w:b w:val="0"/>
                <w:sz w:val="20"/>
                <w:szCs w:val="20"/>
              </w:rPr>
              <w:t>2</w:t>
            </w:r>
          </w:p>
        </w:tc>
        <w:tc>
          <w:tcPr>
            <w:tcW w:w="8273" w:type="dxa"/>
            <w:gridSpan w:val="2"/>
            <w:tcBorders>
              <w:top w:val="single" w:sz="8" w:space="0" w:color="auto"/>
            </w:tcBorders>
            <w:vAlign w:val="center"/>
          </w:tcPr>
          <w:p w:rsidR="009C601F" w:rsidRPr="00AC6C37" w:rsidRDefault="009C601F">
            <w:pPr>
              <w:pStyle w:val="Header"/>
              <w:rPr>
                <w:b w:val="0"/>
                <w:i/>
                <w:sz w:val="20"/>
                <w:szCs w:val="20"/>
              </w:rPr>
            </w:pPr>
          </w:p>
        </w:tc>
      </w:tr>
      <w:tr w:rsidR="009C601F" w:rsidRPr="00AC6C37"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9C601F" w:rsidRPr="00E41BCF" w:rsidRDefault="009C601F">
            <w:pPr>
              <w:pStyle w:val="Header"/>
            </w:pPr>
          </w:p>
        </w:tc>
        <w:tc>
          <w:tcPr>
            <w:tcW w:w="360" w:type="dxa"/>
            <w:vAlign w:val="center"/>
          </w:tcPr>
          <w:p w:rsidR="009C601F" w:rsidRPr="00864358" w:rsidRDefault="009C601F">
            <w:pPr>
              <w:pStyle w:val="Header"/>
              <w:jc w:val="center"/>
              <w:rPr>
                <w:b w:val="0"/>
                <w:sz w:val="20"/>
                <w:szCs w:val="20"/>
              </w:rPr>
            </w:pPr>
            <w:r w:rsidRPr="00864358">
              <w:rPr>
                <w:b w:val="0"/>
                <w:sz w:val="20"/>
                <w:szCs w:val="20"/>
              </w:rPr>
              <w:t>3</w:t>
            </w:r>
          </w:p>
        </w:tc>
        <w:tc>
          <w:tcPr>
            <w:tcW w:w="8273" w:type="dxa"/>
            <w:gridSpan w:val="2"/>
            <w:vAlign w:val="center"/>
          </w:tcPr>
          <w:p w:rsidR="009C601F" w:rsidRPr="00AC6C37" w:rsidRDefault="009C601F">
            <w:pPr>
              <w:pStyle w:val="Header"/>
              <w:rPr>
                <w:b w:val="0"/>
                <w:i/>
                <w:sz w:val="20"/>
                <w:szCs w:val="20"/>
              </w:rPr>
            </w:pPr>
          </w:p>
        </w:tc>
      </w:tr>
      <w:tr w:rsidR="009C601F" w:rsidRPr="00AC6C37"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9C601F" w:rsidRPr="00E41BCF" w:rsidRDefault="009C601F">
            <w:pPr>
              <w:pStyle w:val="Header"/>
            </w:pPr>
          </w:p>
        </w:tc>
        <w:tc>
          <w:tcPr>
            <w:tcW w:w="360" w:type="dxa"/>
            <w:tcBorders>
              <w:bottom w:val="single" w:sz="12" w:space="0" w:color="auto"/>
            </w:tcBorders>
            <w:vAlign w:val="center"/>
          </w:tcPr>
          <w:p w:rsidR="009C601F" w:rsidRPr="00864358" w:rsidRDefault="009C601F">
            <w:pPr>
              <w:pStyle w:val="Header"/>
              <w:jc w:val="center"/>
              <w:rPr>
                <w:b w:val="0"/>
                <w:sz w:val="20"/>
                <w:szCs w:val="20"/>
              </w:rPr>
            </w:pPr>
            <w:r w:rsidRPr="00864358">
              <w:rPr>
                <w:b w:val="0"/>
                <w:sz w:val="20"/>
                <w:szCs w:val="20"/>
              </w:rPr>
              <w:t>4</w:t>
            </w:r>
          </w:p>
        </w:tc>
        <w:tc>
          <w:tcPr>
            <w:tcW w:w="8273" w:type="dxa"/>
            <w:gridSpan w:val="2"/>
            <w:tcBorders>
              <w:bottom w:val="single" w:sz="12" w:space="0" w:color="auto"/>
            </w:tcBorders>
            <w:vAlign w:val="center"/>
          </w:tcPr>
          <w:p w:rsidR="009C601F" w:rsidRPr="00AC6C37" w:rsidRDefault="009C601F">
            <w:pPr>
              <w:pStyle w:val="Header"/>
              <w:rPr>
                <w:b w:val="0"/>
                <w:i/>
                <w:sz w:val="20"/>
                <w:szCs w:val="20"/>
              </w:rPr>
            </w:pPr>
          </w:p>
        </w:tc>
      </w:tr>
      <w:tr w:rsidR="009C601F" w:rsidRPr="000C3592"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right w:val="single" w:sz="4" w:space="0" w:color="auto"/>
            </w:tcBorders>
            <w:shd w:val="clear" w:color="auto" w:fill="auto"/>
            <w:vAlign w:val="center"/>
          </w:tcPr>
          <w:p w:rsidR="009C601F" w:rsidRPr="00E41BCF" w:rsidRDefault="009C601F" w:rsidP="009C601F">
            <w:pPr>
              <w:pStyle w:val="Header"/>
              <w:jc w:val="center"/>
            </w:pPr>
            <w:r w:rsidRPr="00E41BCF">
              <w:t>Market Cost</w:t>
            </w:r>
          </w:p>
        </w:tc>
        <w:tc>
          <w:tcPr>
            <w:tcW w:w="360" w:type="dxa"/>
            <w:tcBorders>
              <w:top w:val="single" w:sz="12" w:space="0" w:color="auto"/>
              <w:left w:val="single" w:sz="4" w:space="0" w:color="auto"/>
              <w:bottom w:val="single" w:sz="8" w:space="0" w:color="auto"/>
            </w:tcBorders>
            <w:shd w:val="clear" w:color="auto" w:fill="auto"/>
            <w:vAlign w:val="center"/>
          </w:tcPr>
          <w:p w:rsidR="009C601F" w:rsidRDefault="009C601F" w:rsidP="009C601F">
            <w:pPr>
              <w:pStyle w:val="NormalArial"/>
              <w:jc w:val="center"/>
              <w:rPr>
                <w:sz w:val="20"/>
              </w:rPr>
            </w:pPr>
          </w:p>
        </w:tc>
        <w:tc>
          <w:tcPr>
            <w:tcW w:w="3600" w:type="dxa"/>
            <w:tcBorders>
              <w:top w:val="single" w:sz="12" w:space="0" w:color="auto"/>
              <w:bottom w:val="single" w:sz="8" w:space="0" w:color="auto"/>
            </w:tcBorders>
            <w:shd w:val="clear" w:color="auto" w:fill="auto"/>
            <w:vAlign w:val="center"/>
          </w:tcPr>
          <w:p w:rsidR="009C601F" w:rsidRPr="000C3592" w:rsidRDefault="009C601F" w:rsidP="009C601F">
            <w:pPr>
              <w:pStyle w:val="NormalArial"/>
              <w:jc w:val="center"/>
              <w:rPr>
                <w:b/>
                <w:sz w:val="20"/>
              </w:rPr>
            </w:pPr>
            <w:r>
              <w:rPr>
                <w:b/>
                <w:sz w:val="20"/>
              </w:rPr>
              <w:t>Impact Area</w:t>
            </w:r>
          </w:p>
        </w:tc>
        <w:tc>
          <w:tcPr>
            <w:tcW w:w="4673" w:type="dxa"/>
            <w:tcBorders>
              <w:top w:val="single" w:sz="12" w:space="0" w:color="auto"/>
              <w:bottom w:val="single" w:sz="8" w:space="0" w:color="auto"/>
            </w:tcBorders>
            <w:shd w:val="clear" w:color="auto" w:fill="auto"/>
            <w:vAlign w:val="center"/>
          </w:tcPr>
          <w:p w:rsidR="009C601F" w:rsidRPr="00E41BCF" w:rsidRDefault="009C601F" w:rsidP="009C601F">
            <w:pPr>
              <w:pStyle w:val="Header"/>
              <w:jc w:val="center"/>
            </w:pPr>
            <w:r w:rsidRPr="00E41BCF">
              <w:t>Market Cost</w:t>
            </w:r>
          </w:p>
        </w:tc>
      </w:tr>
      <w:tr w:rsidR="00B314E3" w:rsidRPr="00C90F7E"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shd w:val="clear" w:color="auto" w:fill="auto"/>
            <w:vAlign w:val="center"/>
          </w:tcPr>
          <w:p w:rsidR="00B314E3" w:rsidRPr="00E41BCF" w:rsidRDefault="00B314E3">
            <w:pPr>
              <w:pStyle w:val="Header"/>
              <w:jc w:val="center"/>
            </w:pPr>
          </w:p>
        </w:tc>
        <w:tc>
          <w:tcPr>
            <w:tcW w:w="360" w:type="dxa"/>
            <w:tcBorders>
              <w:top w:val="single" w:sz="8" w:space="0" w:color="auto"/>
              <w:bottom w:val="single" w:sz="8" w:space="0" w:color="auto"/>
            </w:tcBorders>
            <w:vAlign w:val="center"/>
          </w:tcPr>
          <w:p w:rsidR="00B314E3" w:rsidRDefault="00B314E3">
            <w:pPr>
              <w:pStyle w:val="NormalArial"/>
              <w:jc w:val="center"/>
              <w:rPr>
                <w:sz w:val="20"/>
              </w:rPr>
            </w:pPr>
            <w:r>
              <w:rPr>
                <w:sz w:val="20"/>
              </w:rPr>
              <w:t>1</w:t>
            </w:r>
          </w:p>
        </w:tc>
        <w:tc>
          <w:tcPr>
            <w:tcW w:w="3600" w:type="dxa"/>
            <w:tcBorders>
              <w:top w:val="single" w:sz="8" w:space="0" w:color="auto"/>
              <w:bottom w:val="single" w:sz="8" w:space="0" w:color="auto"/>
            </w:tcBorders>
            <w:vAlign w:val="center"/>
          </w:tcPr>
          <w:p w:rsidR="00B314E3" w:rsidRPr="00C90F7E" w:rsidRDefault="004B3C93" w:rsidP="00F27A5C">
            <w:pPr>
              <w:pStyle w:val="NormalArial"/>
              <w:rPr>
                <w:i/>
                <w:sz w:val="20"/>
              </w:rPr>
            </w:pPr>
            <w:r>
              <w:rPr>
                <w:i/>
                <w:sz w:val="20"/>
              </w:rPr>
              <w:t>Unknown.</w:t>
            </w:r>
          </w:p>
        </w:tc>
        <w:tc>
          <w:tcPr>
            <w:tcW w:w="4673" w:type="dxa"/>
            <w:tcBorders>
              <w:top w:val="single" w:sz="8" w:space="0" w:color="auto"/>
              <w:bottom w:val="single" w:sz="8" w:space="0" w:color="auto"/>
            </w:tcBorders>
            <w:vAlign w:val="center"/>
          </w:tcPr>
          <w:p w:rsidR="00B314E3" w:rsidRPr="00C90F7E" w:rsidRDefault="00B314E3" w:rsidP="00F27A5C">
            <w:pPr>
              <w:pStyle w:val="NormalArial"/>
              <w:rPr>
                <w:i/>
                <w:sz w:val="20"/>
              </w:rPr>
            </w:pPr>
          </w:p>
        </w:tc>
      </w:tr>
      <w:tr w:rsidR="00B314E3" w:rsidRPr="00C90F7E"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B314E3" w:rsidRPr="00E41BCF" w:rsidRDefault="00B314E3">
            <w:pPr>
              <w:pStyle w:val="Header"/>
              <w:jc w:val="center"/>
            </w:pPr>
          </w:p>
        </w:tc>
        <w:tc>
          <w:tcPr>
            <w:tcW w:w="360" w:type="dxa"/>
            <w:tcBorders>
              <w:top w:val="single" w:sz="8" w:space="0" w:color="auto"/>
              <w:bottom w:val="single" w:sz="8" w:space="0" w:color="auto"/>
            </w:tcBorders>
            <w:shd w:val="clear" w:color="auto" w:fill="auto"/>
            <w:vAlign w:val="center"/>
          </w:tcPr>
          <w:p w:rsidR="00B314E3" w:rsidRDefault="00B314E3">
            <w:pPr>
              <w:pStyle w:val="NormalArial"/>
              <w:jc w:val="center"/>
              <w:rPr>
                <w:sz w:val="20"/>
              </w:rPr>
            </w:pPr>
            <w:r>
              <w:rPr>
                <w:sz w:val="20"/>
              </w:rPr>
              <w:t>2</w:t>
            </w:r>
          </w:p>
        </w:tc>
        <w:tc>
          <w:tcPr>
            <w:tcW w:w="3600" w:type="dxa"/>
            <w:tcBorders>
              <w:top w:val="single" w:sz="8" w:space="0" w:color="auto"/>
              <w:bottom w:val="single" w:sz="8" w:space="0" w:color="auto"/>
            </w:tcBorders>
            <w:shd w:val="clear" w:color="auto" w:fill="auto"/>
            <w:vAlign w:val="center"/>
          </w:tcPr>
          <w:p w:rsidR="00B314E3" w:rsidRPr="00C90F7E" w:rsidRDefault="00B314E3" w:rsidP="00F27A5C">
            <w:pPr>
              <w:pStyle w:val="NormalArial"/>
              <w:rPr>
                <w:i/>
                <w:sz w:val="20"/>
              </w:rPr>
            </w:pPr>
          </w:p>
        </w:tc>
        <w:tc>
          <w:tcPr>
            <w:tcW w:w="4673" w:type="dxa"/>
            <w:tcBorders>
              <w:top w:val="single" w:sz="8" w:space="0" w:color="auto"/>
              <w:bottom w:val="single" w:sz="8" w:space="0" w:color="auto"/>
            </w:tcBorders>
            <w:shd w:val="clear" w:color="auto" w:fill="auto"/>
            <w:vAlign w:val="center"/>
          </w:tcPr>
          <w:p w:rsidR="00B314E3" w:rsidRPr="00C90F7E" w:rsidRDefault="00B314E3" w:rsidP="00F27A5C">
            <w:pPr>
              <w:pStyle w:val="NormalArial"/>
              <w:rPr>
                <w:i/>
                <w:sz w:val="20"/>
              </w:rPr>
            </w:pPr>
          </w:p>
        </w:tc>
      </w:tr>
      <w:tr w:rsidR="00B314E3" w:rsidRPr="00C90F7E"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B314E3" w:rsidRPr="00E41BCF" w:rsidRDefault="00B314E3">
            <w:pPr>
              <w:pStyle w:val="Header"/>
              <w:jc w:val="center"/>
            </w:pPr>
          </w:p>
        </w:tc>
        <w:tc>
          <w:tcPr>
            <w:tcW w:w="360" w:type="dxa"/>
            <w:tcBorders>
              <w:top w:val="single" w:sz="8" w:space="0" w:color="auto"/>
              <w:bottom w:val="single" w:sz="8" w:space="0" w:color="auto"/>
            </w:tcBorders>
            <w:vAlign w:val="center"/>
          </w:tcPr>
          <w:p w:rsidR="00B314E3" w:rsidRDefault="00B314E3">
            <w:pPr>
              <w:pStyle w:val="NormalArial"/>
              <w:jc w:val="center"/>
              <w:rPr>
                <w:sz w:val="20"/>
              </w:rPr>
            </w:pPr>
            <w:r>
              <w:rPr>
                <w:sz w:val="20"/>
              </w:rPr>
              <w:t>3</w:t>
            </w:r>
          </w:p>
        </w:tc>
        <w:tc>
          <w:tcPr>
            <w:tcW w:w="3600" w:type="dxa"/>
            <w:tcBorders>
              <w:top w:val="single" w:sz="8" w:space="0" w:color="auto"/>
              <w:bottom w:val="single" w:sz="8" w:space="0" w:color="auto"/>
            </w:tcBorders>
            <w:vAlign w:val="center"/>
          </w:tcPr>
          <w:p w:rsidR="00B314E3" w:rsidRPr="00C90F7E" w:rsidRDefault="00B314E3" w:rsidP="00F27A5C">
            <w:pPr>
              <w:pStyle w:val="NormalArial"/>
              <w:rPr>
                <w:i/>
                <w:sz w:val="20"/>
              </w:rPr>
            </w:pPr>
          </w:p>
        </w:tc>
        <w:tc>
          <w:tcPr>
            <w:tcW w:w="4673" w:type="dxa"/>
            <w:tcBorders>
              <w:top w:val="single" w:sz="8" w:space="0" w:color="auto"/>
              <w:bottom w:val="single" w:sz="8" w:space="0" w:color="auto"/>
            </w:tcBorders>
            <w:vAlign w:val="center"/>
          </w:tcPr>
          <w:p w:rsidR="00B314E3" w:rsidRPr="00C90F7E" w:rsidRDefault="00B314E3" w:rsidP="00F27A5C">
            <w:pPr>
              <w:pStyle w:val="NormalArial"/>
              <w:rPr>
                <w:i/>
                <w:sz w:val="20"/>
              </w:rPr>
            </w:pPr>
          </w:p>
        </w:tc>
      </w:tr>
      <w:tr w:rsidR="00B314E3" w:rsidRPr="00C90F7E"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B314E3" w:rsidRPr="00E41BCF" w:rsidRDefault="00B314E3">
            <w:pPr>
              <w:pStyle w:val="Header"/>
              <w:jc w:val="center"/>
            </w:pPr>
          </w:p>
        </w:tc>
        <w:tc>
          <w:tcPr>
            <w:tcW w:w="360" w:type="dxa"/>
            <w:tcBorders>
              <w:top w:val="single" w:sz="8" w:space="0" w:color="auto"/>
              <w:bottom w:val="single" w:sz="12" w:space="0" w:color="auto"/>
            </w:tcBorders>
            <w:vAlign w:val="center"/>
          </w:tcPr>
          <w:p w:rsidR="00B314E3" w:rsidRDefault="00B314E3">
            <w:pPr>
              <w:pStyle w:val="NormalArial"/>
              <w:jc w:val="center"/>
              <w:rPr>
                <w:sz w:val="20"/>
              </w:rPr>
            </w:pPr>
            <w:r>
              <w:rPr>
                <w:sz w:val="20"/>
              </w:rPr>
              <w:t>4</w:t>
            </w:r>
          </w:p>
        </w:tc>
        <w:tc>
          <w:tcPr>
            <w:tcW w:w="3600" w:type="dxa"/>
            <w:tcBorders>
              <w:top w:val="single" w:sz="8" w:space="0" w:color="auto"/>
              <w:bottom w:val="single" w:sz="12" w:space="0" w:color="auto"/>
            </w:tcBorders>
            <w:vAlign w:val="center"/>
          </w:tcPr>
          <w:p w:rsidR="00B314E3" w:rsidRPr="00C90F7E" w:rsidRDefault="00B314E3" w:rsidP="00F27A5C">
            <w:pPr>
              <w:pStyle w:val="NormalArial"/>
              <w:rPr>
                <w:i/>
                <w:sz w:val="20"/>
              </w:rPr>
            </w:pPr>
          </w:p>
        </w:tc>
        <w:tc>
          <w:tcPr>
            <w:tcW w:w="4673" w:type="dxa"/>
            <w:tcBorders>
              <w:top w:val="single" w:sz="8" w:space="0" w:color="auto"/>
              <w:bottom w:val="single" w:sz="12" w:space="0" w:color="auto"/>
            </w:tcBorders>
            <w:vAlign w:val="center"/>
          </w:tcPr>
          <w:p w:rsidR="00B314E3" w:rsidRPr="00C90F7E" w:rsidRDefault="00B314E3" w:rsidP="00F27A5C">
            <w:pPr>
              <w:pStyle w:val="NormalArial"/>
              <w:rPr>
                <w:i/>
                <w:sz w:val="20"/>
              </w:rPr>
            </w:pPr>
          </w:p>
        </w:tc>
      </w:tr>
      <w:tr w:rsidR="00B314E3" w:rsidRPr="000C3592"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right w:val="single" w:sz="4" w:space="0" w:color="auto"/>
            </w:tcBorders>
            <w:shd w:val="clear" w:color="auto" w:fill="auto"/>
            <w:vAlign w:val="center"/>
          </w:tcPr>
          <w:p w:rsidR="00B314E3" w:rsidRPr="00E41BCF" w:rsidRDefault="00B314E3" w:rsidP="009C601F">
            <w:pPr>
              <w:pStyle w:val="Header"/>
              <w:jc w:val="center"/>
            </w:pPr>
            <w:r w:rsidRPr="00E41BCF">
              <w:t>Market Benefit</w:t>
            </w:r>
          </w:p>
        </w:tc>
        <w:tc>
          <w:tcPr>
            <w:tcW w:w="360" w:type="dxa"/>
            <w:tcBorders>
              <w:top w:val="single" w:sz="12" w:space="0" w:color="auto"/>
              <w:left w:val="single" w:sz="4" w:space="0" w:color="auto"/>
              <w:bottom w:val="single" w:sz="8" w:space="0" w:color="auto"/>
            </w:tcBorders>
            <w:shd w:val="clear" w:color="auto" w:fill="auto"/>
            <w:vAlign w:val="center"/>
          </w:tcPr>
          <w:p w:rsidR="00B314E3" w:rsidRDefault="00B314E3" w:rsidP="009C601F">
            <w:pPr>
              <w:pStyle w:val="NormalArial"/>
              <w:jc w:val="center"/>
              <w:rPr>
                <w:sz w:val="20"/>
              </w:rPr>
            </w:pPr>
          </w:p>
        </w:tc>
        <w:tc>
          <w:tcPr>
            <w:tcW w:w="3600" w:type="dxa"/>
            <w:tcBorders>
              <w:top w:val="single" w:sz="12" w:space="0" w:color="auto"/>
              <w:bottom w:val="single" w:sz="8" w:space="0" w:color="auto"/>
            </w:tcBorders>
            <w:shd w:val="clear" w:color="auto" w:fill="auto"/>
            <w:vAlign w:val="center"/>
          </w:tcPr>
          <w:p w:rsidR="00B314E3" w:rsidRPr="000C3592" w:rsidRDefault="00B314E3" w:rsidP="00F27A5C">
            <w:pPr>
              <w:pStyle w:val="NormalArial"/>
              <w:jc w:val="center"/>
              <w:rPr>
                <w:b/>
                <w:sz w:val="20"/>
              </w:rPr>
            </w:pPr>
            <w:r>
              <w:rPr>
                <w:b/>
                <w:sz w:val="20"/>
              </w:rPr>
              <w:t>Impact Area</w:t>
            </w:r>
          </w:p>
        </w:tc>
        <w:tc>
          <w:tcPr>
            <w:tcW w:w="4673" w:type="dxa"/>
            <w:tcBorders>
              <w:top w:val="single" w:sz="12" w:space="0" w:color="auto"/>
              <w:bottom w:val="single" w:sz="8" w:space="0" w:color="auto"/>
            </w:tcBorders>
            <w:shd w:val="clear" w:color="auto" w:fill="auto"/>
            <w:vAlign w:val="center"/>
          </w:tcPr>
          <w:p w:rsidR="00B314E3" w:rsidRPr="000C3592" w:rsidRDefault="00B314E3" w:rsidP="00F27A5C">
            <w:pPr>
              <w:pStyle w:val="NormalArial"/>
              <w:jc w:val="center"/>
              <w:rPr>
                <w:b/>
                <w:sz w:val="20"/>
              </w:rPr>
            </w:pPr>
            <w:r>
              <w:rPr>
                <w:b/>
                <w:sz w:val="20"/>
              </w:rPr>
              <w:t>Monetary Impact</w:t>
            </w:r>
          </w:p>
        </w:tc>
      </w:tr>
      <w:tr w:rsidR="0007350C" w:rsidRPr="00C90F7E"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shd w:val="clear" w:color="auto" w:fill="auto"/>
            <w:vAlign w:val="center"/>
          </w:tcPr>
          <w:p w:rsidR="0007350C" w:rsidRPr="00E41BCF" w:rsidRDefault="0007350C">
            <w:pPr>
              <w:pStyle w:val="Header"/>
              <w:jc w:val="center"/>
            </w:pPr>
          </w:p>
        </w:tc>
        <w:tc>
          <w:tcPr>
            <w:tcW w:w="360" w:type="dxa"/>
            <w:tcBorders>
              <w:top w:val="single" w:sz="8" w:space="0" w:color="auto"/>
              <w:bottom w:val="single" w:sz="8" w:space="0" w:color="auto"/>
            </w:tcBorders>
            <w:vAlign w:val="center"/>
          </w:tcPr>
          <w:p w:rsidR="0007350C" w:rsidRDefault="0007350C">
            <w:pPr>
              <w:pStyle w:val="NormalArial"/>
              <w:jc w:val="center"/>
              <w:rPr>
                <w:sz w:val="20"/>
              </w:rPr>
            </w:pPr>
            <w:r>
              <w:rPr>
                <w:sz w:val="20"/>
              </w:rPr>
              <w:t>1</w:t>
            </w:r>
          </w:p>
        </w:tc>
        <w:tc>
          <w:tcPr>
            <w:tcW w:w="3600" w:type="dxa"/>
            <w:tcBorders>
              <w:top w:val="single" w:sz="8" w:space="0" w:color="auto"/>
              <w:bottom w:val="single" w:sz="8" w:space="0" w:color="auto"/>
            </w:tcBorders>
            <w:vAlign w:val="center"/>
          </w:tcPr>
          <w:p w:rsidR="0007350C" w:rsidRPr="004C0D55" w:rsidRDefault="0007350C" w:rsidP="0007350C">
            <w:pPr>
              <w:pStyle w:val="NormalArial"/>
              <w:rPr>
                <w:i/>
                <w:sz w:val="20"/>
                <w:szCs w:val="20"/>
              </w:rPr>
            </w:pPr>
            <w:r w:rsidRPr="004C0D55">
              <w:rPr>
                <w:i/>
                <w:sz w:val="20"/>
                <w:szCs w:val="20"/>
              </w:rPr>
              <w:t>Maintains ERCOT’s revenue neutrality.</w:t>
            </w:r>
          </w:p>
        </w:tc>
        <w:tc>
          <w:tcPr>
            <w:tcW w:w="4673" w:type="dxa"/>
            <w:tcBorders>
              <w:top w:val="single" w:sz="8" w:space="0" w:color="auto"/>
              <w:bottom w:val="single" w:sz="8" w:space="0" w:color="auto"/>
            </w:tcBorders>
            <w:vAlign w:val="center"/>
          </w:tcPr>
          <w:p w:rsidR="0007350C" w:rsidRPr="00C90F7E" w:rsidRDefault="0007350C" w:rsidP="00F27A5C">
            <w:pPr>
              <w:pStyle w:val="NormalArial"/>
              <w:rPr>
                <w:i/>
                <w:sz w:val="20"/>
              </w:rPr>
            </w:pPr>
          </w:p>
        </w:tc>
      </w:tr>
      <w:tr w:rsidR="0007350C" w:rsidRPr="00C90F7E"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07350C" w:rsidRPr="00E41BCF" w:rsidRDefault="0007350C">
            <w:pPr>
              <w:pStyle w:val="Header"/>
              <w:jc w:val="center"/>
            </w:pPr>
          </w:p>
        </w:tc>
        <w:tc>
          <w:tcPr>
            <w:tcW w:w="360" w:type="dxa"/>
            <w:tcBorders>
              <w:top w:val="single" w:sz="8" w:space="0" w:color="auto"/>
              <w:bottom w:val="single" w:sz="8" w:space="0" w:color="auto"/>
            </w:tcBorders>
            <w:vAlign w:val="center"/>
          </w:tcPr>
          <w:p w:rsidR="0007350C" w:rsidRDefault="0007350C">
            <w:pPr>
              <w:pStyle w:val="NormalArial"/>
              <w:jc w:val="center"/>
              <w:rPr>
                <w:sz w:val="20"/>
              </w:rPr>
            </w:pPr>
            <w:r>
              <w:rPr>
                <w:sz w:val="20"/>
              </w:rPr>
              <w:t>2</w:t>
            </w:r>
          </w:p>
        </w:tc>
        <w:tc>
          <w:tcPr>
            <w:tcW w:w="3600" w:type="dxa"/>
            <w:tcBorders>
              <w:top w:val="single" w:sz="8" w:space="0" w:color="auto"/>
              <w:bottom w:val="single" w:sz="8" w:space="0" w:color="auto"/>
            </w:tcBorders>
            <w:vAlign w:val="center"/>
          </w:tcPr>
          <w:p w:rsidR="0007350C" w:rsidRPr="00C90F7E" w:rsidRDefault="0007350C" w:rsidP="0007350C">
            <w:pPr>
              <w:pStyle w:val="NormalArial"/>
              <w:rPr>
                <w:i/>
                <w:sz w:val="20"/>
              </w:rPr>
            </w:pPr>
            <w:r>
              <w:rPr>
                <w:i/>
                <w:sz w:val="20"/>
              </w:rPr>
              <w:t>Accurate Settlement of the DAM.</w:t>
            </w:r>
          </w:p>
        </w:tc>
        <w:tc>
          <w:tcPr>
            <w:tcW w:w="4673" w:type="dxa"/>
            <w:tcBorders>
              <w:top w:val="single" w:sz="8" w:space="0" w:color="auto"/>
              <w:bottom w:val="single" w:sz="8" w:space="0" w:color="auto"/>
            </w:tcBorders>
            <w:vAlign w:val="center"/>
          </w:tcPr>
          <w:p w:rsidR="0007350C" w:rsidRPr="00C90F7E" w:rsidRDefault="0007350C" w:rsidP="00F27A5C">
            <w:pPr>
              <w:pStyle w:val="NormalArial"/>
              <w:rPr>
                <w:i/>
                <w:sz w:val="20"/>
              </w:rPr>
            </w:pPr>
          </w:p>
        </w:tc>
      </w:tr>
      <w:tr w:rsidR="0007350C" w:rsidRPr="00C90F7E"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07350C" w:rsidRPr="00E41BCF" w:rsidRDefault="0007350C">
            <w:pPr>
              <w:pStyle w:val="Header"/>
              <w:jc w:val="center"/>
            </w:pPr>
          </w:p>
        </w:tc>
        <w:tc>
          <w:tcPr>
            <w:tcW w:w="360" w:type="dxa"/>
            <w:tcBorders>
              <w:top w:val="single" w:sz="8" w:space="0" w:color="auto"/>
              <w:bottom w:val="single" w:sz="8" w:space="0" w:color="auto"/>
            </w:tcBorders>
            <w:vAlign w:val="center"/>
          </w:tcPr>
          <w:p w:rsidR="0007350C" w:rsidRDefault="0007350C">
            <w:pPr>
              <w:pStyle w:val="NormalArial"/>
              <w:jc w:val="center"/>
              <w:rPr>
                <w:sz w:val="20"/>
              </w:rPr>
            </w:pPr>
            <w:r>
              <w:rPr>
                <w:sz w:val="20"/>
              </w:rPr>
              <w:t>3</w:t>
            </w:r>
          </w:p>
        </w:tc>
        <w:tc>
          <w:tcPr>
            <w:tcW w:w="3600" w:type="dxa"/>
            <w:tcBorders>
              <w:top w:val="single" w:sz="8" w:space="0" w:color="auto"/>
              <w:bottom w:val="single" w:sz="8" w:space="0" w:color="auto"/>
            </w:tcBorders>
            <w:vAlign w:val="center"/>
          </w:tcPr>
          <w:p w:rsidR="0007350C" w:rsidRPr="00C90F7E" w:rsidRDefault="0007350C">
            <w:pPr>
              <w:pStyle w:val="NormalArial"/>
              <w:rPr>
                <w:i/>
                <w:sz w:val="20"/>
              </w:rPr>
            </w:pPr>
          </w:p>
        </w:tc>
        <w:tc>
          <w:tcPr>
            <w:tcW w:w="4673" w:type="dxa"/>
            <w:tcBorders>
              <w:top w:val="single" w:sz="8" w:space="0" w:color="auto"/>
              <w:bottom w:val="single" w:sz="8" w:space="0" w:color="auto"/>
            </w:tcBorders>
            <w:vAlign w:val="center"/>
          </w:tcPr>
          <w:p w:rsidR="0007350C" w:rsidRPr="00E41BCF" w:rsidRDefault="0007350C" w:rsidP="009C601F">
            <w:pPr>
              <w:pStyle w:val="Header"/>
              <w:jc w:val="center"/>
            </w:pPr>
          </w:p>
        </w:tc>
      </w:tr>
      <w:tr w:rsidR="0007350C" w:rsidRPr="00C90F7E"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07350C" w:rsidRPr="00E41BCF" w:rsidRDefault="0007350C">
            <w:pPr>
              <w:pStyle w:val="Header"/>
              <w:jc w:val="center"/>
            </w:pPr>
          </w:p>
        </w:tc>
        <w:tc>
          <w:tcPr>
            <w:tcW w:w="360" w:type="dxa"/>
            <w:tcBorders>
              <w:top w:val="single" w:sz="8" w:space="0" w:color="auto"/>
              <w:bottom w:val="single" w:sz="12" w:space="0" w:color="auto"/>
            </w:tcBorders>
            <w:vAlign w:val="center"/>
          </w:tcPr>
          <w:p w:rsidR="0007350C" w:rsidRDefault="0007350C">
            <w:pPr>
              <w:pStyle w:val="NormalArial"/>
              <w:jc w:val="center"/>
              <w:rPr>
                <w:sz w:val="20"/>
              </w:rPr>
            </w:pPr>
            <w:r>
              <w:rPr>
                <w:sz w:val="20"/>
              </w:rPr>
              <w:t>4</w:t>
            </w:r>
          </w:p>
        </w:tc>
        <w:tc>
          <w:tcPr>
            <w:tcW w:w="3600" w:type="dxa"/>
            <w:tcBorders>
              <w:top w:val="single" w:sz="8" w:space="0" w:color="auto"/>
              <w:bottom w:val="single" w:sz="12" w:space="0" w:color="auto"/>
            </w:tcBorders>
            <w:vAlign w:val="center"/>
          </w:tcPr>
          <w:p w:rsidR="0007350C" w:rsidRPr="00C90F7E" w:rsidRDefault="0007350C">
            <w:pPr>
              <w:pStyle w:val="NormalArial"/>
              <w:rPr>
                <w:i/>
                <w:sz w:val="20"/>
              </w:rPr>
            </w:pPr>
          </w:p>
        </w:tc>
        <w:tc>
          <w:tcPr>
            <w:tcW w:w="4673" w:type="dxa"/>
            <w:tcBorders>
              <w:top w:val="single" w:sz="8" w:space="0" w:color="auto"/>
              <w:bottom w:val="single" w:sz="12" w:space="0" w:color="auto"/>
            </w:tcBorders>
            <w:vAlign w:val="center"/>
          </w:tcPr>
          <w:p w:rsidR="0007350C" w:rsidRPr="00E41BCF" w:rsidRDefault="0007350C" w:rsidP="009C601F">
            <w:pPr>
              <w:pStyle w:val="Header"/>
              <w:jc w:val="center"/>
            </w:pPr>
          </w:p>
        </w:tc>
      </w:tr>
      <w:tr w:rsidR="0007350C" w:rsidRPr="00B40AA6"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tcBorders>
            <w:shd w:val="clear" w:color="auto" w:fill="auto"/>
            <w:vAlign w:val="center"/>
          </w:tcPr>
          <w:p w:rsidR="0007350C" w:rsidRPr="00E41BCF" w:rsidRDefault="0007350C" w:rsidP="009C601F">
            <w:pPr>
              <w:pStyle w:val="Header"/>
            </w:pPr>
            <w:r w:rsidRPr="00E41BCF">
              <w:t>Additional Qualitative Information</w:t>
            </w:r>
          </w:p>
        </w:tc>
        <w:tc>
          <w:tcPr>
            <w:tcW w:w="360" w:type="dxa"/>
            <w:tcBorders>
              <w:top w:val="single" w:sz="12" w:space="0" w:color="auto"/>
              <w:bottom w:val="single" w:sz="8" w:space="0" w:color="auto"/>
            </w:tcBorders>
            <w:vAlign w:val="center"/>
          </w:tcPr>
          <w:p w:rsidR="0007350C" w:rsidRDefault="0007350C" w:rsidP="009C601F">
            <w:pPr>
              <w:pStyle w:val="NormalArial"/>
              <w:jc w:val="center"/>
              <w:rPr>
                <w:sz w:val="20"/>
              </w:rPr>
            </w:pPr>
            <w:r>
              <w:rPr>
                <w:sz w:val="20"/>
              </w:rPr>
              <w:t>1</w:t>
            </w:r>
          </w:p>
        </w:tc>
        <w:tc>
          <w:tcPr>
            <w:tcW w:w="8273" w:type="dxa"/>
            <w:gridSpan w:val="2"/>
            <w:tcBorders>
              <w:top w:val="single" w:sz="12" w:space="0" w:color="auto"/>
              <w:bottom w:val="single" w:sz="8" w:space="0" w:color="auto"/>
            </w:tcBorders>
            <w:vAlign w:val="center"/>
          </w:tcPr>
          <w:p w:rsidR="0007350C" w:rsidRPr="00B40AA6" w:rsidRDefault="0007350C" w:rsidP="009C601F">
            <w:pPr>
              <w:pStyle w:val="NormalArial"/>
              <w:rPr>
                <w:i/>
                <w:sz w:val="20"/>
              </w:rPr>
            </w:pPr>
          </w:p>
        </w:tc>
      </w:tr>
      <w:tr w:rsidR="0007350C" w:rsidRPr="00B40AA6"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shd w:val="clear" w:color="auto" w:fill="auto"/>
            <w:vAlign w:val="center"/>
          </w:tcPr>
          <w:p w:rsidR="0007350C" w:rsidRPr="00E41BCF" w:rsidRDefault="0007350C">
            <w:pPr>
              <w:pStyle w:val="Header"/>
              <w:jc w:val="center"/>
            </w:pPr>
          </w:p>
        </w:tc>
        <w:tc>
          <w:tcPr>
            <w:tcW w:w="360" w:type="dxa"/>
            <w:tcBorders>
              <w:top w:val="single" w:sz="8" w:space="0" w:color="auto"/>
              <w:bottom w:val="single" w:sz="8" w:space="0" w:color="auto"/>
            </w:tcBorders>
            <w:vAlign w:val="center"/>
          </w:tcPr>
          <w:p w:rsidR="0007350C" w:rsidRDefault="0007350C">
            <w:pPr>
              <w:pStyle w:val="NormalArial"/>
              <w:jc w:val="center"/>
              <w:rPr>
                <w:sz w:val="20"/>
              </w:rPr>
            </w:pPr>
            <w:r>
              <w:rPr>
                <w:sz w:val="20"/>
              </w:rPr>
              <w:t>2</w:t>
            </w:r>
          </w:p>
        </w:tc>
        <w:tc>
          <w:tcPr>
            <w:tcW w:w="8273" w:type="dxa"/>
            <w:gridSpan w:val="2"/>
            <w:tcBorders>
              <w:top w:val="single" w:sz="8" w:space="0" w:color="auto"/>
              <w:bottom w:val="single" w:sz="8" w:space="0" w:color="auto"/>
            </w:tcBorders>
            <w:vAlign w:val="center"/>
          </w:tcPr>
          <w:p w:rsidR="0007350C" w:rsidRPr="00B40AA6" w:rsidRDefault="0007350C">
            <w:pPr>
              <w:pStyle w:val="NormalArial"/>
              <w:rPr>
                <w:i/>
                <w:sz w:val="20"/>
              </w:rPr>
            </w:pPr>
          </w:p>
        </w:tc>
      </w:tr>
      <w:tr w:rsidR="0007350C" w:rsidRPr="00B40AA6"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07350C" w:rsidRPr="00E41BCF" w:rsidRDefault="0007350C">
            <w:pPr>
              <w:pStyle w:val="Header"/>
            </w:pPr>
          </w:p>
        </w:tc>
        <w:tc>
          <w:tcPr>
            <w:tcW w:w="360" w:type="dxa"/>
            <w:tcBorders>
              <w:top w:val="single" w:sz="8" w:space="0" w:color="auto"/>
              <w:bottom w:val="single" w:sz="8" w:space="0" w:color="auto"/>
            </w:tcBorders>
            <w:vAlign w:val="center"/>
          </w:tcPr>
          <w:p w:rsidR="0007350C" w:rsidRDefault="0007350C">
            <w:pPr>
              <w:pStyle w:val="NormalArial"/>
              <w:jc w:val="center"/>
              <w:rPr>
                <w:sz w:val="20"/>
              </w:rPr>
            </w:pPr>
            <w:r>
              <w:rPr>
                <w:sz w:val="20"/>
              </w:rPr>
              <w:t>3</w:t>
            </w:r>
          </w:p>
        </w:tc>
        <w:tc>
          <w:tcPr>
            <w:tcW w:w="8273" w:type="dxa"/>
            <w:gridSpan w:val="2"/>
            <w:tcBorders>
              <w:top w:val="single" w:sz="8" w:space="0" w:color="auto"/>
              <w:bottom w:val="single" w:sz="8" w:space="0" w:color="auto"/>
            </w:tcBorders>
            <w:vAlign w:val="center"/>
          </w:tcPr>
          <w:p w:rsidR="0007350C" w:rsidRPr="00B40AA6" w:rsidRDefault="0007350C">
            <w:pPr>
              <w:pStyle w:val="NormalArial"/>
              <w:rPr>
                <w:i/>
                <w:sz w:val="20"/>
              </w:rPr>
            </w:pPr>
          </w:p>
        </w:tc>
      </w:tr>
      <w:tr w:rsidR="0007350C" w:rsidRPr="00B40AA6"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07350C" w:rsidRPr="00E41BCF" w:rsidRDefault="0007350C">
            <w:pPr>
              <w:pStyle w:val="Header"/>
            </w:pPr>
          </w:p>
        </w:tc>
        <w:tc>
          <w:tcPr>
            <w:tcW w:w="360" w:type="dxa"/>
            <w:tcBorders>
              <w:top w:val="single" w:sz="8" w:space="0" w:color="auto"/>
              <w:bottom w:val="single" w:sz="12" w:space="0" w:color="auto"/>
            </w:tcBorders>
            <w:vAlign w:val="center"/>
          </w:tcPr>
          <w:p w:rsidR="0007350C" w:rsidRDefault="0007350C">
            <w:pPr>
              <w:pStyle w:val="NormalArial"/>
              <w:jc w:val="center"/>
              <w:rPr>
                <w:sz w:val="20"/>
              </w:rPr>
            </w:pPr>
            <w:r>
              <w:rPr>
                <w:sz w:val="20"/>
              </w:rPr>
              <w:t>4</w:t>
            </w:r>
          </w:p>
        </w:tc>
        <w:tc>
          <w:tcPr>
            <w:tcW w:w="8273" w:type="dxa"/>
            <w:gridSpan w:val="2"/>
            <w:tcBorders>
              <w:top w:val="single" w:sz="8" w:space="0" w:color="auto"/>
              <w:bottom w:val="single" w:sz="12" w:space="0" w:color="auto"/>
            </w:tcBorders>
            <w:vAlign w:val="center"/>
          </w:tcPr>
          <w:p w:rsidR="0007350C" w:rsidRPr="00B40AA6" w:rsidRDefault="0007350C">
            <w:pPr>
              <w:pStyle w:val="NormalArial"/>
              <w:rPr>
                <w:i/>
                <w:sz w:val="20"/>
              </w:rPr>
            </w:pPr>
          </w:p>
        </w:tc>
      </w:tr>
      <w:tr w:rsidR="0007350C" w:rsidRPr="00E966F7"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tcBorders>
            <w:shd w:val="clear" w:color="auto" w:fill="auto"/>
            <w:vAlign w:val="center"/>
          </w:tcPr>
          <w:p w:rsidR="0007350C" w:rsidRPr="00E41BCF" w:rsidRDefault="0007350C" w:rsidP="009C601F">
            <w:pPr>
              <w:pStyle w:val="Header"/>
              <w:jc w:val="center"/>
            </w:pPr>
            <w:r w:rsidRPr="00E41BCF">
              <w:t>Other Comments</w:t>
            </w:r>
          </w:p>
        </w:tc>
        <w:tc>
          <w:tcPr>
            <w:tcW w:w="360" w:type="dxa"/>
            <w:tcBorders>
              <w:top w:val="single" w:sz="12" w:space="0" w:color="auto"/>
              <w:bottom w:val="single" w:sz="8" w:space="0" w:color="auto"/>
            </w:tcBorders>
            <w:vAlign w:val="center"/>
          </w:tcPr>
          <w:p w:rsidR="0007350C" w:rsidRDefault="0007350C" w:rsidP="009C601F">
            <w:pPr>
              <w:pStyle w:val="NormalArial"/>
              <w:jc w:val="center"/>
              <w:rPr>
                <w:sz w:val="20"/>
              </w:rPr>
            </w:pPr>
            <w:r>
              <w:rPr>
                <w:sz w:val="20"/>
              </w:rPr>
              <w:t>1</w:t>
            </w:r>
          </w:p>
        </w:tc>
        <w:tc>
          <w:tcPr>
            <w:tcW w:w="8273" w:type="dxa"/>
            <w:gridSpan w:val="2"/>
            <w:tcBorders>
              <w:top w:val="single" w:sz="12" w:space="0" w:color="auto"/>
              <w:bottom w:val="single" w:sz="8" w:space="0" w:color="auto"/>
            </w:tcBorders>
            <w:vAlign w:val="center"/>
          </w:tcPr>
          <w:p w:rsidR="0007350C" w:rsidRPr="00E966F7" w:rsidRDefault="0007350C" w:rsidP="009C601F">
            <w:pPr>
              <w:pStyle w:val="NormalArial"/>
              <w:rPr>
                <w:i/>
                <w:sz w:val="20"/>
              </w:rPr>
            </w:pPr>
          </w:p>
        </w:tc>
      </w:tr>
      <w:tr w:rsidR="0007350C" w:rsidRPr="00E966F7"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shd w:val="clear" w:color="auto" w:fill="auto"/>
            <w:vAlign w:val="center"/>
          </w:tcPr>
          <w:p w:rsidR="0007350C" w:rsidRPr="00E966F7" w:rsidRDefault="0007350C">
            <w:pPr>
              <w:pStyle w:val="Header"/>
              <w:jc w:val="center"/>
              <w:rPr>
                <w:sz w:val="20"/>
                <w:szCs w:val="20"/>
              </w:rPr>
            </w:pPr>
          </w:p>
        </w:tc>
        <w:tc>
          <w:tcPr>
            <w:tcW w:w="360" w:type="dxa"/>
            <w:tcBorders>
              <w:top w:val="single" w:sz="8" w:space="0" w:color="auto"/>
            </w:tcBorders>
            <w:vAlign w:val="center"/>
          </w:tcPr>
          <w:p w:rsidR="0007350C" w:rsidRDefault="0007350C">
            <w:pPr>
              <w:pStyle w:val="NormalArial"/>
              <w:jc w:val="center"/>
              <w:rPr>
                <w:sz w:val="20"/>
              </w:rPr>
            </w:pPr>
            <w:r>
              <w:rPr>
                <w:sz w:val="20"/>
              </w:rPr>
              <w:t>2</w:t>
            </w:r>
          </w:p>
        </w:tc>
        <w:tc>
          <w:tcPr>
            <w:tcW w:w="8273" w:type="dxa"/>
            <w:gridSpan w:val="2"/>
            <w:tcBorders>
              <w:top w:val="single" w:sz="8" w:space="0" w:color="auto"/>
            </w:tcBorders>
            <w:vAlign w:val="center"/>
          </w:tcPr>
          <w:p w:rsidR="0007350C" w:rsidRPr="00E966F7" w:rsidRDefault="0007350C">
            <w:pPr>
              <w:pStyle w:val="NormalArial"/>
              <w:rPr>
                <w:i/>
                <w:sz w:val="20"/>
              </w:rPr>
            </w:pPr>
          </w:p>
        </w:tc>
      </w:tr>
      <w:tr w:rsidR="0007350C" w:rsidRPr="00E966F7"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07350C" w:rsidRPr="00E966F7" w:rsidRDefault="0007350C">
            <w:pPr>
              <w:pStyle w:val="Header"/>
            </w:pPr>
          </w:p>
        </w:tc>
        <w:tc>
          <w:tcPr>
            <w:tcW w:w="360" w:type="dxa"/>
            <w:tcBorders>
              <w:top w:val="single" w:sz="8" w:space="0" w:color="auto"/>
              <w:bottom w:val="single" w:sz="8" w:space="0" w:color="auto"/>
            </w:tcBorders>
            <w:vAlign w:val="center"/>
          </w:tcPr>
          <w:p w:rsidR="0007350C" w:rsidRDefault="0007350C">
            <w:pPr>
              <w:pStyle w:val="NormalArial"/>
              <w:jc w:val="center"/>
              <w:rPr>
                <w:sz w:val="20"/>
              </w:rPr>
            </w:pPr>
            <w:r>
              <w:rPr>
                <w:sz w:val="20"/>
              </w:rPr>
              <w:t>3</w:t>
            </w:r>
          </w:p>
        </w:tc>
        <w:tc>
          <w:tcPr>
            <w:tcW w:w="8273" w:type="dxa"/>
            <w:gridSpan w:val="2"/>
            <w:tcBorders>
              <w:top w:val="single" w:sz="8" w:space="0" w:color="auto"/>
              <w:bottom w:val="single" w:sz="8" w:space="0" w:color="auto"/>
            </w:tcBorders>
            <w:vAlign w:val="center"/>
          </w:tcPr>
          <w:p w:rsidR="0007350C" w:rsidRPr="00E966F7" w:rsidRDefault="0007350C">
            <w:pPr>
              <w:pStyle w:val="NormalArial"/>
              <w:rPr>
                <w:i/>
                <w:sz w:val="20"/>
              </w:rPr>
            </w:pPr>
          </w:p>
        </w:tc>
      </w:tr>
      <w:tr w:rsidR="0007350C" w:rsidRPr="00E966F7" w:rsidTr="00DF31CB">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8" w:space="0" w:color="auto"/>
            </w:tcBorders>
            <w:vAlign w:val="center"/>
          </w:tcPr>
          <w:p w:rsidR="0007350C" w:rsidRPr="00E966F7" w:rsidRDefault="0007350C">
            <w:pPr>
              <w:pStyle w:val="Header"/>
            </w:pPr>
          </w:p>
        </w:tc>
        <w:tc>
          <w:tcPr>
            <w:tcW w:w="360" w:type="dxa"/>
            <w:tcBorders>
              <w:top w:val="single" w:sz="8" w:space="0" w:color="auto"/>
              <w:bottom w:val="single" w:sz="8" w:space="0" w:color="auto"/>
            </w:tcBorders>
            <w:vAlign w:val="center"/>
          </w:tcPr>
          <w:p w:rsidR="0007350C" w:rsidRDefault="0007350C">
            <w:pPr>
              <w:pStyle w:val="NormalArial"/>
              <w:jc w:val="center"/>
              <w:rPr>
                <w:sz w:val="20"/>
              </w:rPr>
            </w:pPr>
            <w:r>
              <w:rPr>
                <w:sz w:val="20"/>
              </w:rPr>
              <w:t>4</w:t>
            </w:r>
          </w:p>
        </w:tc>
        <w:tc>
          <w:tcPr>
            <w:tcW w:w="8273" w:type="dxa"/>
            <w:gridSpan w:val="2"/>
            <w:tcBorders>
              <w:top w:val="single" w:sz="8" w:space="0" w:color="auto"/>
              <w:bottom w:val="single" w:sz="8" w:space="0" w:color="auto"/>
            </w:tcBorders>
            <w:vAlign w:val="center"/>
          </w:tcPr>
          <w:p w:rsidR="0007350C" w:rsidRPr="00E966F7" w:rsidRDefault="0007350C">
            <w:pPr>
              <w:pStyle w:val="NormalArial"/>
              <w:rPr>
                <w:i/>
                <w:sz w:val="20"/>
              </w:rPr>
            </w:pPr>
          </w:p>
        </w:tc>
      </w:tr>
    </w:tbl>
    <w:p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7560"/>
      </w:tblGrid>
      <w:tr w:rsidR="009A3772" w:rsidTr="00BC2D06">
        <w:tblPrEx>
          <w:tblCellMar>
            <w:top w:w="0" w:type="dxa"/>
            <w:bottom w:w="0" w:type="dxa"/>
          </w:tblCellMar>
        </w:tblPrEx>
        <w:trPr>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07350C" w:rsidTr="00BC2D06">
        <w:tblPrEx>
          <w:tblCellMar>
            <w:top w:w="0" w:type="dxa"/>
            <w:bottom w:w="0" w:type="dxa"/>
          </w:tblCellMar>
        </w:tblPrEx>
        <w:trPr>
          <w:trHeight w:val="432"/>
        </w:trPr>
        <w:tc>
          <w:tcPr>
            <w:tcW w:w="2880" w:type="dxa"/>
            <w:shd w:val="clear" w:color="auto" w:fill="FFFFFF"/>
            <w:vAlign w:val="center"/>
          </w:tcPr>
          <w:p w:rsidR="0007350C" w:rsidRPr="00B93CA0" w:rsidRDefault="0007350C">
            <w:pPr>
              <w:pStyle w:val="Header"/>
              <w:rPr>
                <w:bCs w:val="0"/>
              </w:rPr>
            </w:pPr>
            <w:r w:rsidRPr="00B93CA0">
              <w:rPr>
                <w:bCs w:val="0"/>
              </w:rPr>
              <w:t>Name</w:t>
            </w:r>
          </w:p>
        </w:tc>
        <w:tc>
          <w:tcPr>
            <w:tcW w:w="7560" w:type="dxa"/>
            <w:vAlign w:val="center"/>
          </w:tcPr>
          <w:p w:rsidR="0007350C" w:rsidRDefault="0007350C" w:rsidP="0007350C">
            <w:pPr>
              <w:pStyle w:val="NormalArial"/>
            </w:pPr>
            <w:r>
              <w:t>Ohlen Genove</w:t>
            </w:r>
          </w:p>
        </w:tc>
      </w:tr>
      <w:tr w:rsidR="0007350C" w:rsidTr="00BC2D06">
        <w:tblPrEx>
          <w:tblCellMar>
            <w:top w:w="0" w:type="dxa"/>
            <w:bottom w:w="0" w:type="dxa"/>
          </w:tblCellMar>
        </w:tblPrEx>
        <w:trPr>
          <w:trHeight w:val="432"/>
        </w:trPr>
        <w:tc>
          <w:tcPr>
            <w:tcW w:w="2880" w:type="dxa"/>
            <w:shd w:val="clear" w:color="auto" w:fill="FFFFFF"/>
            <w:vAlign w:val="center"/>
          </w:tcPr>
          <w:p w:rsidR="0007350C" w:rsidRPr="00B93CA0" w:rsidRDefault="0007350C">
            <w:pPr>
              <w:pStyle w:val="Header"/>
              <w:rPr>
                <w:bCs w:val="0"/>
              </w:rPr>
            </w:pPr>
            <w:r w:rsidRPr="00B93CA0">
              <w:rPr>
                <w:bCs w:val="0"/>
              </w:rPr>
              <w:t>E-mail Address</w:t>
            </w:r>
          </w:p>
        </w:tc>
        <w:tc>
          <w:tcPr>
            <w:tcW w:w="7560" w:type="dxa"/>
            <w:vAlign w:val="center"/>
          </w:tcPr>
          <w:p w:rsidR="0007350C" w:rsidRDefault="0007350C" w:rsidP="0007350C">
            <w:pPr>
              <w:pStyle w:val="NormalArial"/>
            </w:pPr>
            <w:hyperlink r:id="rId7" w:history="1">
              <w:r w:rsidRPr="009B1C79">
                <w:rPr>
                  <w:rStyle w:val="Hyperlink"/>
                </w:rPr>
                <w:t>ogenove@ercot.com</w:t>
              </w:r>
            </w:hyperlink>
          </w:p>
        </w:tc>
      </w:tr>
      <w:tr w:rsidR="0007350C" w:rsidTr="00BC2D06">
        <w:tblPrEx>
          <w:tblCellMar>
            <w:top w:w="0" w:type="dxa"/>
            <w:bottom w:w="0" w:type="dxa"/>
          </w:tblCellMar>
        </w:tblPrEx>
        <w:trPr>
          <w:trHeight w:val="432"/>
        </w:trPr>
        <w:tc>
          <w:tcPr>
            <w:tcW w:w="2880" w:type="dxa"/>
            <w:shd w:val="clear" w:color="auto" w:fill="FFFFFF"/>
            <w:vAlign w:val="center"/>
          </w:tcPr>
          <w:p w:rsidR="0007350C" w:rsidRPr="00B93CA0" w:rsidRDefault="0007350C">
            <w:pPr>
              <w:pStyle w:val="Header"/>
              <w:rPr>
                <w:bCs w:val="0"/>
              </w:rPr>
            </w:pPr>
            <w:r w:rsidRPr="00B93CA0">
              <w:rPr>
                <w:bCs w:val="0"/>
              </w:rPr>
              <w:t>Company</w:t>
            </w:r>
          </w:p>
        </w:tc>
        <w:tc>
          <w:tcPr>
            <w:tcW w:w="7560" w:type="dxa"/>
            <w:vAlign w:val="center"/>
          </w:tcPr>
          <w:p w:rsidR="0007350C" w:rsidRDefault="0007350C" w:rsidP="0007350C">
            <w:pPr>
              <w:pStyle w:val="NormalArial"/>
            </w:pPr>
            <w:r>
              <w:t>ERCOT</w:t>
            </w:r>
          </w:p>
        </w:tc>
      </w:tr>
      <w:tr w:rsidR="0007350C" w:rsidTr="00BC2D06">
        <w:tblPrEx>
          <w:tblCellMar>
            <w:top w:w="0" w:type="dxa"/>
            <w:bottom w:w="0" w:type="dxa"/>
          </w:tblCellMar>
        </w:tblPrEx>
        <w:trPr>
          <w:trHeight w:val="432"/>
        </w:trPr>
        <w:tc>
          <w:tcPr>
            <w:tcW w:w="2880" w:type="dxa"/>
            <w:tcBorders>
              <w:bottom w:val="single" w:sz="4" w:space="0" w:color="auto"/>
            </w:tcBorders>
            <w:shd w:val="clear" w:color="auto" w:fill="FFFFFF"/>
            <w:vAlign w:val="center"/>
          </w:tcPr>
          <w:p w:rsidR="0007350C" w:rsidRPr="00B93CA0" w:rsidRDefault="0007350C">
            <w:pPr>
              <w:pStyle w:val="Header"/>
              <w:rPr>
                <w:bCs w:val="0"/>
              </w:rPr>
            </w:pPr>
            <w:r w:rsidRPr="00B93CA0">
              <w:rPr>
                <w:bCs w:val="0"/>
              </w:rPr>
              <w:lastRenderedPageBreak/>
              <w:t>Phone Number</w:t>
            </w:r>
          </w:p>
        </w:tc>
        <w:tc>
          <w:tcPr>
            <w:tcW w:w="7560" w:type="dxa"/>
            <w:tcBorders>
              <w:bottom w:val="single" w:sz="4" w:space="0" w:color="auto"/>
            </w:tcBorders>
            <w:vAlign w:val="center"/>
          </w:tcPr>
          <w:p w:rsidR="0007350C" w:rsidRDefault="0007350C" w:rsidP="0007350C">
            <w:pPr>
              <w:pStyle w:val="NormalArial"/>
            </w:pPr>
            <w:r>
              <w:t>512-248-6798</w:t>
            </w:r>
          </w:p>
        </w:tc>
      </w:tr>
      <w:tr w:rsidR="0007350C" w:rsidTr="00BC2D06">
        <w:tblPrEx>
          <w:tblCellMar>
            <w:top w:w="0" w:type="dxa"/>
            <w:bottom w:w="0" w:type="dxa"/>
          </w:tblCellMar>
        </w:tblPrEx>
        <w:trPr>
          <w:trHeight w:val="432"/>
        </w:trPr>
        <w:tc>
          <w:tcPr>
            <w:tcW w:w="2880" w:type="dxa"/>
            <w:shd w:val="clear" w:color="auto" w:fill="FFFFFF"/>
            <w:vAlign w:val="center"/>
          </w:tcPr>
          <w:p w:rsidR="0007350C" w:rsidRPr="00B93CA0" w:rsidRDefault="0007350C">
            <w:pPr>
              <w:pStyle w:val="Header"/>
              <w:rPr>
                <w:bCs w:val="0"/>
              </w:rPr>
            </w:pPr>
            <w:r>
              <w:rPr>
                <w:bCs w:val="0"/>
              </w:rPr>
              <w:t>Cell</w:t>
            </w:r>
            <w:r w:rsidRPr="00B93CA0">
              <w:rPr>
                <w:bCs w:val="0"/>
              </w:rPr>
              <w:t xml:space="preserve"> Number</w:t>
            </w:r>
          </w:p>
        </w:tc>
        <w:tc>
          <w:tcPr>
            <w:tcW w:w="7560" w:type="dxa"/>
            <w:vAlign w:val="center"/>
          </w:tcPr>
          <w:p w:rsidR="0007350C" w:rsidRDefault="0007350C" w:rsidP="0007350C">
            <w:pPr>
              <w:pStyle w:val="NormalArial"/>
            </w:pPr>
          </w:p>
        </w:tc>
      </w:tr>
      <w:tr w:rsidR="0007350C" w:rsidTr="00BC2D06">
        <w:tblPrEx>
          <w:tblCellMar>
            <w:top w:w="0" w:type="dxa"/>
            <w:bottom w:w="0" w:type="dxa"/>
          </w:tblCellMar>
        </w:tblPrEx>
        <w:trPr>
          <w:trHeight w:val="432"/>
        </w:trPr>
        <w:tc>
          <w:tcPr>
            <w:tcW w:w="2880" w:type="dxa"/>
            <w:tcBorders>
              <w:bottom w:val="single" w:sz="4" w:space="0" w:color="auto"/>
            </w:tcBorders>
            <w:shd w:val="clear" w:color="auto" w:fill="FFFFFF"/>
            <w:vAlign w:val="center"/>
          </w:tcPr>
          <w:p w:rsidR="0007350C" w:rsidRPr="00B93CA0" w:rsidRDefault="0007350C">
            <w:pPr>
              <w:pStyle w:val="Header"/>
              <w:rPr>
                <w:bCs w:val="0"/>
              </w:rPr>
            </w:pPr>
            <w:r>
              <w:rPr>
                <w:bCs w:val="0"/>
              </w:rPr>
              <w:t>Market Segment</w:t>
            </w:r>
          </w:p>
        </w:tc>
        <w:tc>
          <w:tcPr>
            <w:tcW w:w="7560" w:type="dxa"/>
            <w:tcBorders>
              <w:bottom w:val="single" w:sz="4" w:space="0" w:color="auto"/>
            </w:tcBorders>
            <w:vAlign w:val="center"/>
          </w:tcPr>
          <w:p w:rsidR="0007350C" w:rsidRDefault="0007350C" w:rsidP="0007350C">
            <w:pPr>
              <w:pStyle w:val="NormalArial"/>
            </w:pPr>
            <w:r>
              <w:t>N</w:t>
            </w:r>
            <w:r w:rsidR="00BF155A">
              <w:t>/</w:t>
            </w:r>
            <w:r>
              <w:t>A</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7560"/>
      </w:tblGrid>
      <w:tr w:rsidR="009A3772" w:rsidRPr="00D56D61" w:rsidTr="00A05F04">
        <w:trPr>
          <w:trHeight w:val="432"/>
        </w:trPr>
        <w:tc>
          <w:tcPr>
            <w:tcW w:w="10440" w:type="dxa"/>
            <w:gridSpan w:val="2"/>
            <w:vAlign w:val="center"/>
          </w:tcPr>
          <w:p w:rsidR="009A3772" w:rsidRPr="00A05F04" w:rsidRDefault="009A3772" w:rsidP="00A05F04">
            <w:pPr>
              <w:pStyle w:val="NormalArial"/>
              <w:jc w:val="center"/>
              <w:rPr>
                <w:b/>
              </w:rPr>
            </w:pPr>
            <w:r w:rsidRPr="00A05F04">
              <w:rPr>
                <w:b/>
              </w:rPr>
              <w:t>Market Rules Staff Contact</w:t>
            </w:r>
          </w:p>
        </w:tc>
      </w:tr>
      <w:tr w:rsidR="009C601F" w:rsidRPr="00D56D61" w:rsidTr="00A05F04">
        <w:trPr>
          <w:trHeight w:val="432"/>
        </w:trPr>
        <w:tc>
          <w:tcPr>
            <w:tcW w:w="2880" w:type="dxa"/>
            <w:vAlign w:val="center"/>
          </w:tcPr>
          <w:p w:rsidR="009C601F" w:rsidRPr="00A05F04" w:rsidRDefault="009C601F">
            <w:pPr>
              <w:pStyle w:val="NormalArial"/>
              <w:rPr>
                <w:b/>
              </w:rPr>
            </w:pPr>
            <w:r w:rsidRPr="00A05F04">
              <w:rPr>
                <w:b/>
              </w:rPr>
              <w:t>Name</w:t>
            </w:r>
          </w:p>
        </w:tc>
        <w:tc>
          <w:tcPr>
            <w:tcW w:w="7560" w:type="dxa"/>
            <w:vAlign w:val="center"/>
          </w:tcPr>
          <w:p w:rsidR="009C601F" w:rsidRPr="00D56D61" w:rsidRDefault="009C601F" w:rsidP="009C601F">
            <w:pPr>
              <w:pStyle w:val="NormalArial"/>
            </w:pPr>
            <w:r>
              <w:t xml:space="preserve">Sonja B. Mingo </w:t>
            </w:r>
          </w:p>
        </w:tc>
      </w:tr>
      <w:tr w:rsidR="009C601F" w:rsidRPr="00D56D61" w:rsidTr="00A05F04">
        <w:trPr>
          <w:trHeight w:val="432"/>
        </w:trPr>
        <w:tc>
          <w:tcPr>
            <w:tcW w:w="2880" w:type="dxa"/>
            <w:vAlign w:val="center"/>
          </w:tcPr>
          <w:p w:rsidR="009C601F" w:rsidRPr="00A05F04" w:rsidRDefault="009C601F">
            <w:pPr>
              <w:pStyle w:val="NormalArial"/>
              <w:rPr>
                <w:b/>
              </w:rPr>
            </w:pPr>
            <w:r w:rsidRPr="00A05F04">
              <w:rPr>
                <w:b/>
              </w:rPr>
              <w:t>E-Mail Address</w:t>
            </w:r>
          </w:p>
        </w:tc>
        <w:tc>
          <w:tcPr>
            <w:tcW w:w="7560" w:type="dxa"/>
            <w:vAlign w:val="center"/>
          </w:tcPr>
          <w:p w:rsidR="009C601F" w:rsidRPr="00D56D61" w:rsidRDefault="009C601F" w:rsidP="009C601F">
            <w:pPr>
              <w:pStyle w:val="NormalArial"/>
            </w:pPr>
            <w:hyperlink r:id="rId8" w:history="1">
              <w:r w:rsidRPr="002B0CAA">
                <w:rPr>
                  <w:rStyle w:val="Hyperlink"/>
                </w:rPr>
                <w:t>smingo@ercot.com</w:t>
              </w:r>
            </w:hyperlink>
            <w:r>
              <w:t xml:space="preserve"> </w:t>
            </w:r>
          </w:p>
        </w:tc>
      </w:tr>
      <w:tr w:rsidR="009C601F" w:rsidRPr="005370B5" w:rsidTr="00A05F04">
        <w:trPr>
          <w:trHeight w:val="432"/>
        </w:trPr>
        <w:tc>
          <w:tcPr>
            <w:tcW w:w="2880" w:type="dxa"/>
            <w:vAlign w:val="center"/>
          </w:tcPr>
          <w:p w:rsidR="009C601F" w:rsidRPr="00A05F04" w:rsidRDefault="009C601F">
            <w:pPr>
              <w:pStyle w:val="NormalArial"/>
              <w:rPr>
                <w:b/>
              </w:rPr>
            </w:pPr>
            <w:r w:rsidRPr="00A05F04">
              <w:rPr>
                <w:b/>
              </w:rPr>
              <w:t>Phone Number</w:t>
            </w:r>
          </w:p>
        </w:tc>
        <w:tc>
          <w:tcPr>
            <w:tcW w:w="7560" w:type="dxa"/>
            <w:vAlign w:val="center"/>
          </w:tcPr>
          <w:p w:rsidR="009C601F" w:rsidRDefault="009C601F" w:rsidP="009C601F">
            <w:pPr>
              <w:pStyle w:val="NormalArial"/>
            </w:pPr>
            <w:r>
              <w:t>512-248-6463</w:t>
            </w:r>
          </w:p>
        </w:tc>
      </w:tr>
    </w:tbl>
    <w:p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7560"/>
      </w:tblGrid>
      <w:tr w:rsidR="00C062E5" w:rsidTr="00C062E5">
        <w:tblPrEx>
          <w:tblCellMar>
            <w:top w:w="0" w:type="dxa"/>
            <w:bottom w:w="0" w:type="dxa"/>
          </w:tblCellMar>
        </w:tblPrEx>
        <w:tc>
          <w:tcPr>
            <w:tcW w:w="10440" w:type="dxa"/>
            <w:gridSpan w:val="2"/>
            <w:shd w:val="clear" w:color="auto" w:fill="FFFFFF"/>
            <w:vAlign w:val="center"/>
          </w:tcPr>
          <w:p w:rsidR="00C062E5" w:rsidRPr="00895AB9" w:rsidRDefault="00C062E5" w:rsidP="00C062E5">
            <w:pPr>
              <w:pStyle w:val="NormalArial"/>
              <w:jc w:val="center"/>
              <w:rPr>
                <w:b/>
              </w:rPr>
            </w:pPr>
            <w:r w:rsidRPr="00895AB9">
              <w:rPr>
                <w:b/>
              </w:rPr>
              <w:t xml:space="preserve">Comments </w:t>
            </w:r>
            <w:r>
              <w:rPr>
                <w:b/>
              </w:rPr>
              <w:t>Received</w:t>
            </w:r>
          </w:p>
        </w:tc>
      </w:tr>
      <w:tr w:rsidR="00C062E5" w:rsidTr="00C062E5">
        <w:tblPrEx>
          <w:tblCellMar>
            <w:top w:w="0" w:type="dxa"/>
            <w:bottom w:w="0" w:type="dxa"/>
          </w:tblCellMar>
        </w:tblPrEx>
        <w:tc>
          <w:tcPr>
            <w:tcW w:w="2880" w:type="dxa"/>
            <w:shd w:val="clear" w:color="auto" w:fill="FFFFFF"/>
            <w:vAlign w:val="center"/>
          </w:tcPr>
          <w:p w:rsidR="00C062E5" w:rsidRPr="00895AB9" w:rsidRDefault="00C062E5" w:rsidP="00C062E5">
            <w:pPr>
              <w:pStyle w:val="Header"/>
              <w:rPr>
                <w:bCs w:val="0"/>
              </w:rPr>
            </w:pPr>
            <w:r w:rsidRPr="00895AB9">
              <w:rPr>
                <w:bCs w:val="0"/>
              </w:rPr>
              <w:t>Comment Author</w:t>
            </w:r>
          </w:p>
        </w:tc>
        <w:tc>
          <w:tcPr>
            <w:tcW w:w="7560" w:type="dxa"/>
            <w:vAlign w:val="center"/>
          </w:tcPr>
          <w:p w:rsidR="00C062E5" w:rsidRPr="00895AB9" w:rsidRDefault="00C062E5" w:rsidP="00C062E5">
            <w:pPr>
              <w:pStyle w:val="NormalArial"/>
              <w:rPr>
                <w:b/>
              </w:rPr>
            </w:pPr>
            <w:r w:rsidRPr="00895AB9">
              <w:rPr>
                <w:b/>
              </w:rPr>
              <w:t xml:space="preserve">Comment </w:t>
            </w:r>
            <w:r>
              <w:rPr>
                <w:b/>
              </w:rPr>
              <w:t>Summary</w:t>
            </w:r>
          </w:p>
        </w:tc>
      </w:tr>
      <w:tr w:rsidR="00CD072A" w:rsidTr="00C062E5">
        <w:tblPrEx>
          <w:tblCellMar>
            <w:top w:w="0" w:type="dxa"/>
            <w:bottom w:w="0" w:type="dxa"/>
          </w:tblCellMar>
        </w:tblPrEx>
        <w:tc>
          <w:tcPr>
            <w:tcW w:w="2880" w:type="dxa"/>
            <w:shd w:val="clear" w:color="auto" w:fill="FFFFFF"/>
            <w:vAlign w:val="center"/>
          </w:tcPr>
          <w:p w:rsidR="00CD072A" w:rsidRDefault="00B314E3" w:rsidP="000A7FDB">
            <w:pPr>
              <w:pStyle w:val="Header"/>
              <w:rPr>
                <w:b w:val="0"/>
                <w:bCs w:val="0"/>
              </w:rPr>
            </w:pPr>
            <w:r>
              <w:rPr>
                <w:b w:val="0"/>
                <w:bCs w:val="0"/>
              </w:rPr>
              <w:t xml:space="preserve">None. </w:t>
            </w:r>
          </w:p>
        </w:tc>
        <w:tc>
          <w:tcPr>
            <w:tcW w:w="7560" w:type="dxa"/>
            <w:vAlign w:val="center"/>
          </w:tcPr>
          <w:p w:rsidR="00CD072A" w:rsidRDefault="00CD072A" w:rsidP="00DA790B">
            <w:pPr>
              <w:pStyle w:val="NormalArial"/>
            </w:pPr>
          </w:p>
        </w:tc>
      </w:tr>
    </w:tbl>
    <w:p w:rsidR="00C062E5" w:rsidRDefault="00C062E5">
      <w:pPr>
        <w:tabs>
          <w:tab w:val="num" w:pos="0"/>
        </w:tabs>
        <w:rPr>
          <w:rFonts w:ascii="Arial" w:hAnsi="Arial" w:cs="Arial"/>
        </w:rPr>
      </w:pPr>
    </w:p>
    <w:p w:rsidR="00BF155A" w:rsidRDefault="00BF155A" w:rsidP="00BF155A">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40"/>
      </w:tblGrid>
      <w:tr w:rsidR="00BF155A" w:rsidTr="005755CB">
        <w:tblPrEx>
          <w:tblCellMar>
            <w:top w:w="0" w:type="dxa"/>
            <w:bottom w:w="0" w:type="dxa"/>
          </w:tblCellMar>
        </w:tblPrEx>
        <w:trPr>
          <w:trHeight w:val="350"/>
        </w:trPr>
        <w:tc>
          <w:tcPr>
            <w:tcW w:w="10440" w:type="dxa"/>
            <w:tcBorders>
              <w:bottom w:val="single" w:sz="4" w:space="0" w:color="auto"/>
            </w:tcBorders>
            <w:shd w:val="clear" w:color="auto" w:fill="FFFFFF"/>
            <w:vAlign w:val="center"/>
          </w:tcPr>
          <w:p w:rsidR="00BF155A" w:rsidRDefault="00BF155A" w:rsidP="005755CB">
            <w:pPr>
              <w:pStyle w:val="Header"/>
              <w:jc w:val="center"/>
            </w:pPr>
            <w:r>
              <w:br w:type="page"/>
              <w:t>Comments</w:t>
            </w:r>
          </w:p>
        </w:tc>
      </w:tr>
    </w:tbl>
    <w:p w:rsidR="00BF155A" w:rsidRDefault="00BF155A" w:rsidP="00BF155A">
      <w:pPr>
        <w:pStyle w:val="NormalArial"/>
      </w:pPr>
    </w:p>
    <w:p w:rsidR="00BF155A" w:rsidRPr="004A54A6" w:rsidRDefault="00BF155A" w:rsidP="00BF155A">
      <w:pPr>
        <w:rPr>
          <w:rFonts w:ascii="Arial" w:hAnsi="Arial" w:cs="Arial"/>
        </w:rPr>
      </w:pPr>
      <w:r w:rsidRPr="004A54A6">
        <w:rPr>
          <w:rFonts w:ascii="Arial" w:hAnsi="Arial" w:cs="Arial"/>
        </w:rPr>
        <w:t xml:space="preserve">Please </w:t>
      </w:r>
      <w:r>
        <w:rPr>
          <w:rFonts w:ascii="Arial" w:hAnsi="Arial" w:cs="Arial"/>
        </w:rPr>
        <w:t xml:space="preserve">also </w:t>
      </w:r>
      <w:r w:rsidRPr="004A54A6">
        <w:rPr>
          <w:rFonts w:ascii="Arial" w:hAnsi="Arial" w:cs="Arial"/>
        </w:rPr>
        <w:t>note that the following NPRR also propose</w:t>
      </w:r>
      <w:r>
        <w:rPr>
          <w:rFonts w:ascii="Arial" w:hAnsi="Arial" w:cs="Arial"/>
        </w:rPr>
        <w:t>s</w:t>
      </w:r>
      <w:r w:rsidRPr="004A54A6">
        <w:rPr>
          <w:rFonts w:ascii="Arial" w:hAnsi="Arial" w:cs="Arial"/>
        </w:rPr>
        <w:t xml:space="preserve"> revisions to the following section </w:t>
      </w:r>
      <w:r>
        <w:rPr>
          <w:rFonts w:ascii="Arial" w:hAnsi="Arial" w:cs="Arial"/>
        </w:rPr>
        <w:t xml:space="preserve">that </w:t>
      </w:r>
      <w:r w:rsidR="004B3C93">
        <w:rPr>
          <w:rFonts w:ascii="Arial" w:hAnsi="Arial" w:cs="Arial"/>
        </w:rPr>
        <w:t>is</w:t>
      </w:r>
      <w:r w:rsidRPr="004A54A6">
        <w:rPr>
          <w:rFonts w:ascii="Arial" w:hAnsi="Arial" w:cs="Arial"/>
        </w:rPr>
        <w:t xml:space="preserve"> included within this NPRR:</w:t>
      </w:r>
    </w:p>
    <w:p w:rsidR="00BF155A" w:rsidRDefault="00BF155A" w:rsidP="00BF155A">
      <w:pPr>
        <w:ind w:left="1440"/>
        <w:rPr>
          <w:rFonts w:ascii="Arial" w:hAnsi="Arial" w:cs="Arial"/>
        </w:rPr>
      </w:pPr>
    </w:p>
    <w:p w:rsidR="00BF155A" w:rsidRDefault="00BF155A" w:rsidP="00BF155A">
      <w:pPr>
        <w:numPr>
          <w:ilvl w:val="0"/>
          <w:numId w:val="20"/>
        </w:numPr>
        <w:ind w:hanging="630"/>
        <w:rPr>
          <w:rFonts w:ascii="Arial" w:hAnsi="Arial" w:cs="Arial"/>
        </w:rPr>
      </w:pPr>
      <w:r>
        <w:rPr>
          <w:rFonts w:ascii="Arial" w:hAnsi="Arial" w:cs="Arial"/>
        </w:rPr>
        <w:t xml:space="preserve">NPRR347, </w:t>
      </w:r>
      <w:r w:rsidRPr="00BF155A">
        <w:rPr>
          <w:rFonts w:ascii="Arial" w:hAnsi="Arial" w:cs="Arial"/>
        </w:rPr>
        <w:t>Si</w:t>
      </w:r>
      <w:r>
        <w:rPr>
          <w:rFonts w:ascii="Arial" w:hAnsi="Arial" w:cs="Arial"/>
        </w:rPr>
        <w:t>ngle Daily Settlement Invoice (</w:t>
      </w:r>
      <w:r w:rsidRPr="00BF155A">
        <w:rPr>
          <w:rFonts w:ascii="Arial" w:hAnsi="Arial" w:cs="Arial"/>
        </w:rPr>
        <w:t>formerly “Counter-Party Invoice and Single Daily Settlement Invoice”)</w:t>
      </w:r>
    </w:p>
    <w:p w:rsidR="00BF155A" w:rsidRDefault="00BF155A" w:rsidP="00BF155A">
      <w:pPr>
        <w:numPr>
          <w:ilvl w:val="1"/>
          <w:numId w:val="20"/>
        </w:numPr>
        <w:ind w:hanging="720"/>
        <w:rPr>
          <w:rFonts w:ascii="Arial" w:hAnsi="Arial" w:cs="Arial"/>
        </w:rPr>
      </w:pPr>
      <w:r>
        <w:rPr>
          <w:rFonts w:ascii="Arial" w:hAnsi="Arial" w:cs="Arial"/>
        </w:rPr>
        <w:t>Section 9.19</w:t>
      </w:r>
    </w:p>
    <w:p w:rsidR="00BF155A" w:rsidRPr="00F573FE" w:rsidRDefault="00BF155A" w:rsidP="00BF155A">
      <w:pPr>
        <w:pStyle w:val="NormalArial"/>
        <w:rPr>
          <w:rFonts w:cs="Arial"/>
        </w:rPr>
      </w:pPr>
    </w:p>
    <w:p w:rsidR="00BF155A" w:rsidRPr="00D56D61" w:rsidRDefault="00BF155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40"/>
      </w:tblGrid>
      <w:tr w:rsidR="009A3772">
        <w:tblPrEx>
          <w:tblCellMar>
            <w:top w:w="0" w:type="dxa"/>
            <w:bottom w:w="0" w:type="dxa"/>
          </w:tblCellMar>
        </w:tblPrEx>
        <w:trPr>
          <w:trHeight w:val="350"/>
        </w:trPr>
        <w:tc>
          <w:tcPr>
            <w:tcW w:w="10440" w:type="dxa"/>
            <w:tcBorders>
              <w:bottom w:val="single" w:sz="4" w:space="0" w:color="auto"/>
            </w:tcBorders>
            <w:shd w:val="clear" w:color="auto" w:fill="FFFFFF"/>
            <w:vAlign w:val="center"/>
          </w:tcPr>
          <w:p w:rsidR="009A3772" w:rsidRDefault="009A3772">
            <w:pPr>
              <w:pStyle w:val="Header"/>
              <w:jc w:val="center"/>
            </w:pPr>
            <w:r>
              <w:t>Proposed Protocol Language Revision</w:t>
            </w:r>
          </w:p>
        </w:tc>
      </w:tr>
    </w:tbl>
    <w:p w:rsidR="009A3772" w:rsidRDefault="009A3772" w:rsidP="00BC2D06"/>
    <w:p w:rsidR="0007350C" w:rsidRDefault="0007350C" w:rsidP="0007350C">
      <w:pPr>
        <w:pStyle w:val="H3"/>
      </w:pPr>
      <w:bookmarkStart w:id="0" w:name="_Toc283791479"/>
      <w:r>
        <w:t>9.2.5</w:t>
      </w:r>
      <w:r>
        <w:tab/>
        <w:t>DAM Resettlement Statement</w:t>
      </w:r>
      <w:bookmarkEnd w:id="0"/>
    </w:p>
    <w:p w:rsidR="0007350C" w:rsidRDefault="0007350C" w:rsidP="0007350C">
      <w:pPr>
        <w:pStyle w:val="BodyTextNumbered"/>
      </w:pPr>
      <w:r>
        <w:t>(1)</w:t>
      </w:r>
      <w:r>
        <w:tab/>
        <w:t xml:space="preserve">ERCOT shall issue DAM Resettlement Statements for a given DAM if the ERCOT Board finds that the DAM Locational Marginal Prices (LMPs), Market Clearing Prices for Capacity (MCPCs), or Settlement Point Prices are significantly affected by a software or data error under Section 4.5.3, Communicating DAM Results. </w:t>
      </w:r>
      <w:r>
        <w:tab/>
        <w:t xml:space="preserve">ERCOT shall also produce DAM Resettlement Statements required by resolution of Settlement and Billing disputes.  </w:t>
      </w:r>
    </w:p>
    <w:p w:rsidR="0007350C" w:rsidRDefault="0007350C" w:rsidP="0007350C">
      <w:pPr>
        <w:pStyle w:val="BodyTextNumbered"/>
      </w:pPr>
      <w:r>
        <w:t>(2)</w:t>
      </w:r>
      <w:r>
        <w:tab/>
        <w:t xml:space="preserve">ERCOT shall issue a DAM Resettlement Statement for a given DAM due to error in data other than prices when the total of all errors in data other than prices results in an impact greater than 2% of the total payments due to ERCOT for the DAM, excluding bilateral transactions.  ERCOT shall issue DAM Resettlement Statements as soon as possible to correct the errors.  ERCOT shall review this percentage on an annual basis.  Upon the </w:t>
      </w:r>
      <w:r>
        <w:lastRenderedPageBreak/>
        <w:t xml:space="preserve">review, ERCOT may make a recommendation to revise this percentage under Section 21, Process for Nodal Protocol Revision. </w:t>
      </w:r>
    </w:p>
    <w:p w:rsidR="0007350C" w:rsidRDefault="0007350C" w:rsidP="0007350C">
      <w:pPr>
        <w:pStyle w:val="BodyTextNumbered"/>
      </w:pPr>
      <w:ins w:id="1" w:author="ERCOT" w:date="2011-03-17T09:55:00Z">
        <w:r>
          <w:t>(3)</w:t>
        </w:r>
        <w:r>
          <w:tab/>
          <w:t xml:space="preserve">ERCOT shall issue a DAM Resettlement </w:t>
        </w:r>
      </w:ins>
      <w:ins w:id="2" w:author="ERCOT" w:date="2011-03-17T10:54:00Z">
        <w:r>
          <w:t xml:space="preserve">Statement </w:t>
        </w:r>
      </w:ins>
      <w:ins w:id="3" w:author="ERCOT" w:date="2011-03-17T09:55:00Z">
        <w:r>
          <w:t>for an Operating Day if an error in the DAM Settlement, which does not otherwise meet the Protocol requirement</w:t>
        </w:r>
      </w:ins>
      <w:ins w:id="4" w:author="ERCOT" w:date="2011-03-17T11:20:00Z">
        <w:r>
          <w:t xml:space="preserve">s </w:t>
        </w:r>
      </w:ins>
      <w:ins w:id="5" w:author="ERCOT" w:date="2011-03-17T09:55:00Z">
        <w:r>
          <w:t xml:space="preserve">for </w:t>
        </w:r>
      </w:ins>
      <w:ins w:id="6" w:author="ERCOT" w:date="2011-03-17T10:55:00Z">
        <w:r>
          <w:t>r</w:t>
        </w:r>
      </w:ins>
      <w:ins w:id="7" w:author="ERCOT" w:date="2011-03-17T09:55:00Z">
        <w:r>
          <w:t>esettlement as specified in paragraph</w:t>
        </w:r>
      </w:ins>
      <w:ins w:id="8" w:author="ERCOT" w:date="2011-03-17T11:20:00Z">
        <w:r>
          <w:t>s (1) and (2) above</w:t>
        </w:r>
      </w:ins>
      <w:ins w:id="9" w:author="ERCOT" w:date="2011-03-17T09:55:00Z">
        <w:r>
          <w:t>, will prevent ERCOT from achieving revenue neutralit</w:t>
        </w:r>
      </w:ins>
      <w:ins w:id="10" w:author="ERCOT" w:date="2011-03-17T10:30:00Z">
        <w:r>
          <w:t>y</w:t>
        </w:r>
      </w:ins>
      <w:ins w:id="11" w:author="ERCOT" w:date="2011-03-17T09:55:00Z">
        <w:r>
          <w:t>.</w:t>
        </w:r>
      </w:ins>
    </w:p>
    <w:p w:rsidR="0007350C" w:rsidRDefault="0007350C" w:rsidP="0007350C">
      <w:pPr>
        <w:pStyle w:val="BodyTextNumbered"/>
      </w:pPr>
      <w:r>
        <w:t>(</w:t>
      </w:r>
      <w:del w:id="12" w:author="ERCOT" w:date="2011-03-17T09:55:00Z">
        <w:r w:rsidDel="00621440">
          <w:delText>3</w:delText>
        </w:r>
      </w:del>
      <w:ins w:id="13" w:author="ERCOT" w:date="2011-03-17T09:55:00Z">
        <w:r>
          <w:t>4</w:t>
        </w:r>
      </w:ins>
      <w:r>
        <w:t>)</w:t>
      </w:r>
      <w:r>
        <w:tab/>
        <w:t xml:space="preserve">A DAM Resettlement Statement must reflect differences to financial records generated on the previous Settlement Statement for the given DAM. </w:t>
      </w:r>
    </w:p>
    <w:p w:rsidR="0007350C" w:rsidRDefault="0007350C" w:rsidP="0007350C">
      <w:pPr>
        <w:pStyle w:val="H2"/>
      </w:pPr>
      <w:commentRangeStart w:id="14"/>
      <w:r w:rsidRPr="00C50231">
        <w:t>9.</w:t>
      </w:r>
      <w:r>
        <w:t>19</w:t>
      </w:r>
      <w:r>
        <w:tab/>
        <w:t>Partial Payments by Invoice Recipients</w:t>
      </w:r>
      <w:commentRangeEnd w:id="14"/>
      <w:r w:rsidR="00BE4152">
        <w:rPr>
          <w:rStyle w:val="CommentReference"/>
          <w:b w:val="0"/>
        </w:rPr>
        <w:commentReference w:id="14"/>
      </w:r>
    </w:p>
    <w:p w:rsidR="0007350C" w:rsidRDefault="0007350C" w:rsidP="0007350C">
      <w:pPr>
        <w:pStyle w:val="ListIntroduction"/>
      </w:pPr>
      <w:r>
        <w:t>If at least one Invoice Recipient owing funds does not pay its Day-Ahead Market (DAM) or Real-Time Market (RTM) Invoice in full (</w:t>
      </w:r>
      <w:r w:rsidRPr="00A761CE">
        <w:t>i.e.</w:t>
      </w:r>
      <w:r>
        <w:t>, a short-pay), ERCOT shall follow the procedure set forth below:</w:t>
      </w:r>
    </w:p>
    <w:p w:rsidR="0007350C" w:rsidRDefault="0007350C" w:rsidP="0007350C">
      <w:pPr>
        <w:pStyle w:val="List"/>
        <w:ind w:left="1440"/>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rsidR="0007350C" w:rsidRDefault="0007350C" w:rsidP="0007350C">
      <w:pPr>
        <w:pStyle w:val="BodyText"/>
        <w:ind w:left="1440" w:hanging="720"/>
      </w:pPr>
      <w:r>
        <w:t>(b)</w:t>
      </w:r>
      <w:r>
        <w:tab/>
        <w:t>ERCOT shall draw on any available security pledged to ERCOT by each short-paying Invoice Recipient that did not pay the amount due under paragraph (a) above.  ERCOT may, in its sole discretion, hold up to five percent of security (posted collateral) of each short-paying Invoice Recipient and use those funds to pay subsequent Settlement Invoices as they become due.  Any funds still held after the last True-Up Statements will be applied to unpaid Invoices in conjunction with the default uplift process outlined in</w:t>
      </w:r>
      <w:r w:rsidRPr="00CC0548">
        <w:t xml:space="preserve"> </w:t>
      </w:r>
      <w:r w:rsidRPr="001D737A">
        <w:t>Section 9.19.1</w:t>
      </w:r>
      <w:r>
        <w:t>, Default Uplift Invoices.</w:t>
      </w:r>
    </w:p>
    <w:p w:rsidR="0007350C" w:rsidRDefault="0007350C" w:rsidP="0007350C">
      <w:pPr>
        <w:pStyle w:val="BodyText"/>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after the last True-Up Statement will be offset or recouped against unpaid Invoices in conjunction with the default uplift process outlined in Section </w:t>
      </w:r>
      <w:r w:rsidRPr="001D737A">
        <w:t>9.19.1</w:t>
      </w:r>
      <w:r>
        <w:t>.</w:t>
      </w:r>
    </w:p>
    <w:p w:rsidR="0007350C" w:rsidRDefault="0007350C" w:rsidP="0007350C">
      <w:pPr>
        <w:pStyle w:val="BodyText"/>
        <w:ind w:left="1440" w:hanging="720"/>
      </w:pPr>
      <w:r>
        <w:t>(d)</w:t>
      </w:r>
      <w:r>
        <w:tab/>
        <w:t xml:space="preserve">If, after taking the actions set forth in paragraphs (a), (b) and (c) above, ERCOT still does not have sufficient funds to pay all amounts that it owes to DAM Invoice Recipients in full, ERCOT shall deduct any applicable DAM administrative fees as specified in Section </w:t>
      </w:r>
      <w:r w:rsidRPr="00C50231">
        <w:t>9.16</w:t>
      </w:r>
      <w:r>
        <w:t xml:space="preserve">, Administrative Fees, payments for Reliability Must-Run (RMR) Services and amounts calculated for the Congestion Revenue Right (CRR) Balancing Account from the amount received or collected and then reduce payments to all DAM Invoice Recipients owed </w:t>
      </w:r>
      <w:r>
        <w:lastRenderedPageBreak/>
        <w:t>monies from ERCOT.  If, after taking the actions set forth in paragraph</w:t>
      </w:r>
      <w:ins w:id="15" w:author="ERCOT" w:date="2011-03-17T11:21:00Z">
        <w:r>
          <w:t>s</w:t>
        </w:r>
      </w:ins>
      <w:r>
        <w:t xml:space="preserve"> (a), (b) and (c) above, ERCOT still does not have sufficient funds to pay in full all amounts owed to RTM Invoice Recipients, ERCOT shall deduct any applicable RTM administrative fees as specified in Section </w:t>
      </w:r>
      <w:r w:rsidRPr="00C50231">
        <w:t>9.16</w:t>
      </w:r>
      <w:ins w:id="16" w:author="ERCOT" w:date="2011-03-17T09:55:00Z">
        <w:r>
          <w:t>,</w:t>
        </w:r>
      </w:ins>
      <w:del w:id="17" w:author="ERCOT" w:date="2011-03-17T09:55:00Z">
        <w:r w:rsidDel="00621440">
          <w:delText xml:space="preserve"> and</w:delText>
        </w:r>
      </w:del>
      <w:r>
        <w:t xml:space="preserve"> payments for RMR Services</w:t>
      </w:r>
      <w:ins w:id="18" w:author="ERCOT" w:date="2011-03-17T09:55:00Z">
        <w:r>
          <w:t xml:space="preserve">, and RTM CRR shortfall charges as specified in paragraph </w:t>
        </w:r>
      </w:ins>
      <w:ins w:id="19" w:author="ERCOT" w:date="2011-03-17T11:21:00Z">
        <w:r>
          <w:t xml:space="preserve">(3) </w:t>
        </w:r>
      </w:ins>
      <w:ins w:id="20" w:author="ERCOT" w:date="2011-03-17T09:55:00Z">
        <w:r>
          <w:t>of Section 7.9.3.3, Shortfall Charges to CRR Owners</w:t>
        </w:r>
      </w:ins>
      <w:ins w:id="21" w:author="ERCOT" w:date="2011-03-17T11:21:00Z">
        <w:r>
          <w:t>,</w:t>
        </w:r>
      </w:ins>
      <w:r>
        <w:t>, from the amount received or collected and reduce payments to all RTM Invoice Recipients owed monies from ERCOT except for monies owed for RMR Services.  The reductions must be based on a pro rata basis of monies owed to each DAM or RTM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DAM or RTM Invoice.</w:t>
      </w:r>
      <w:r w:rsidDel="00621440">
        <w:t xml:space="preserve"> </w:t>
      </w:r>
    </w:p>
    <w:p w:rsidR="0007350C" w:rsidRDefault="0007350C" w:rsidP="0007350C">
      <w:pPr>
        <w:pStyle w:val="BodyText"/>
        <w:ind w:left="1440" w:hanging="720"/>
      </w:pPr>
      <w:r>
        <w:t>(e)</w:t>
      </w:r>
      <w:r>
        <w:tab/>
        <w:t>If sufficient funds continue to be unavailable for ERCOT to pay all amounts in full (excluding late fees) to short-paid Entities for that DAM or RTM Invoice, and the short-paying Entity is not complying with a payment plan designed to enable ERCOT to pay all amounts in full (excluding late fees) to short-paid Entities, the following shall occur:</w:t>
      </w:r>
    </w:p>
    <w:p w:rsidR="0007350C" w:rsidRDefault="0007350C" w:rsidP="0007350C">
      <w:pPr>
        <w:pStyle w:val="List"/>
        <w:tabs>
          <w:tab w:val="left" w:pos="2160"/>
        </w:tabs>
        <w:ind w:left="2160"/>
      </w:pPr>
      <w:r>
        <w:t>(i)</w:t>
      </w:r>
      <w:r>
        <w:tab/>
        <w:t xml:space="preserve">ERCOT will cease charging late fees to the short-paying Entity; provided however, that ERCOT may cease charging late fees earlier than 180 days following a short-payment of a DAM or RTM Invoice if ERCOT, in its sole discretion, determines that the recovery of late fees from the short-paying Entity is unlikely; and </w:t>
      </w:r>
    </w:p>
    <w:p w:rsidR="0007350C" w:rsidRDefault="0007350C" w:rsidP="0007350C">
      <w:pPr>
        <w:pStyle w:val="BodyText"/>
        <w:ind w:left="2160" w:hanging="720"/>
      </w:pPr>
      <w:r>
        <w:t>(ii)</w:t>
      </w:r>
      <w:r>
        <w:tab/>
        <w:t xml:space="preserve">ERCOT shall uplift short-paid amounts through the Default Uplift process described below in Section </w:t>
      </w:r>
      <w:r w:rsidRPr="00A761CE">
        <w:t>9.19.1</w:t>
      </w:r>
      <w:r>
        <w:t xml:space="preserve"> and Section </w:t>
      </w:r>
      <w:r w:rsidRPr="00A761CE">
        <w:t>9.19.2</w:t>
      </w:r>
      <w:r>
        <w:t>, Payment Process for Default Uplift Invoices.</w:t>
      </w:r>
    </w:p>
    <w:p w:rsidR="0007350C" w:rsidRDefault="0007350C" w:rsidP="0007350C">
      <w:pPr>
        <w:pStyle w:val="List"/>
      </w:pPr>
      <w:r w:rsidRPr="00A761CE">
        <w:t>(</w:t>
      </w:r>
      <w:r>
        <w:t>f)</w:t>
      </w:r>
      <w:r>
        <w:tab/>
        <w:t>When ERCOT enters into a payment plan with a short-pay Invoice Recipient, ERCOT shall post to the Market Information System (MIS) Secure Area:</w:t>
      </w:r>
    </w:p>
    <w:p w:rsidR="0007350C" w:rsidRDefault="0007350C" w:rsidP="0007350C">
      <w:pPr>
        <w:pStyle w:val="List"/>
        <w:ind w:left="2160"/>
      </w:pPr>
      <w:r>
        <w:t>(i)</w:t>
      </w:r>
      <w:r>
        <w:tab/>
        <w:t>The short-pay plan;</w:t>
      </w:r>
    </w:p>
    <w:p w:rsidR="0007350C" w:rsidRDefault="0007350C" w:rsidP="0007350C">
      <w:pPr>
        <w:pStyle w:val="List"/>
        <w:ind w:left="2160"/>
      </w:pPr>
      <w:r>
        <w:t>(ii)</w:t>
      </w:r>
      <w:r>
        <w:tab/>
        <w:t>The schedule of quantifiable expected payments, updated if and when modifications are made to the payment schedule; and</w:t>
      </w:r>
    </w:p>
    <w:p w:rsidR="0007350C" w:rsidRDefault="0007350C" w:rsidP="0007350C">
      <w:pPr>
        <w:pStyle w:val="BodyText"/>
        <w:ind w:left="2160" w:hanging="720"/>
      </w:pPr>
      <w:r>
        <w:t>(iii)</w:t>
      </w:r>
      <w:r>
        <w:tab/>
        <w:t>Invoice dates to which the payments will be applied.</w:t>
      </w:r>
    </w:p>
    <w:p w:rsidR="0007350C" w:rsidRDefault="0007350C" w:rsidP="0007350C">
      <w:pPr>
        <w:pStyle w:val="List"/>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w:t>
      </w:r>
      <w:r>
        <w:lastRenderedPageBreak/>
        <w:t>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unpaid Invoices in conjunction with the uplift process outlined in </w:t>
      </w:r>
      <w:r w:rsidRPr="0065195B">
        <w:t xml:space="preserve">Section </w:t>
      </w:r>
      <w:r w:rsidRPr="00A761CE">
        <w:t>9.19.1</w:t>
      </w:r>
      <w:r>
        <w:t xml:space="preserve">. </w:t>
      </w:r>
    </w:p>
    <w:p w:rsidR="0007350C" w:rsidRDefault="0007350C" w:rsidP="0007350C">
      <w:pPr>
        <w:pStyle w:val="BodyText"/>
        <w:ind w:left="720" w:hanging="720"/>
      </w:pPr>
      <w:r>
        <w:t>(h)</w:t>
      </w:r>
      <w:r>
        <w:tab/>
        <w:t xml:space="preserve">To the extent ERCOT is able to collect past due funds owed by a short-paying Invoice Recipient, after the default uplift process defined </w:t>
      </w:r>
      <w:r w:rsidRPr="0065195B">
        <w:t xml:space="preserve">in </w:t>
      </w:r>
      <w:r>
        <w:t xml:space="preserve">Section </w:t>
      </w:r>
      <w:r w:rsidRPr="00A761CE">
        <w:t>9.19.1</w:t>
      </w:r>
      <w:r w:rsidRPr="0065195B">
        <w:t>, ERCOT</w:t>
      </w:r>
      <w:r>
        <w:t xml:space="preserve"> shall allocate the collected funds using the same allocation method as in the default uplift process.  ERCOT shall use its best efforts to distribute subsequently collected funds quarterly by the 15</w:t>
      </w:r>
      <w:r w:rsidRPr="003B7565">
        <w:rPr>
          <w:vertAlign w:val="superscript"/>
        </w:rPr>
        <w:t>th</w:t>
      </w:r>
      <w:r>
        <w:t xml:space="preserve"> Business Day following the end of a calendar quarter for a short paying Entity when the cumulative amount of undistributed funds held exceed $50,000.</w:t>
      </w:r>
    </w:p>
    <w:p w:rsidR="0007350C" w:rsidRPr="00BA2009" w:rsidRDefault="0007350C" w:rsidP="0007350C"/>
    <w:p w:rsidR="0007350C" w:rsidRDefault="0007350C" w:rsidP="00BC2D06"/>
    <w:sectPr w:rsidR="0007350C">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4" w:author="Market Rules " w:date="2011-04-26T13:42:00Z" w:initials="s">
    <w:p w:rsidR="00BE4152" w:rsidRDefault="00BE4152">
      <w:pPr>
        <w:pStyle w:val="CommentText"/>
      </w:pPr>
      <w:r>
        <w:rPr>
          <w:rStyle w:val="CommentReference"/>
        </w:rPr>
        <w:annotationRef/>
      </w:r>
      <w:r>
        <w:t xml:space="preserve">Please note this Secion also being revised by NPRR347.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40D4" w:rsidRDefault="00DF40D4">
      <w:r>
        <w:separator/>
      </w:r>
    </w:p>
  </w:endnote>
  <w:endnote w:type="continuationSeparator" w:id="0">
    <w:p w:rsidR="00DF40D4" w:rsidRDefault="00DF40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50C" w:rsidRPr="00412DCA" w:rsidRDefault="0007350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14</w:t>
    </w:r>
    <w:r w:rsidRPr="00412DCA">
      <w:rPr>
        <w:rFonts w:ascii="Arial" w:hAnsi="Arial" w:cs="Arial"/>
        <w:sz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50C" w:rsidRDefault="0007350C">
    <w:pPr>
      <w:pStyle w:val="Footer"/>
      <w:tabs>
        <w:tab w:val="clear" w:pos="4320"/>
        <w:tab w:val="clear" w:pos="8640"/>
        <w:tab w:val="right" w:pos="9360"/>
      </w:tabs>
      <w:rPr>
        <w:rFonts w:ascii="Arial" w:hAnsi="Arial" w:cs="Arial"/>
        <w:sz w:val="18"/>
      </w:rPr>
    </w:pPr>
    <w:r>
      <w:rPr>
        <w:rFonts w:ascii="Arial" w:hAnsi="Arial" w:cs="Arial"/>
        <w:sz w:val="18"/>
      </w:rPr>
      <w:t>3</w:t>
    </w:r>
    <w:r w:rsidR="00005D70">
      <w:rPr>
        <w:rFonts w:ascii="Arial" w:hAnsi="Arial" w:cs="Arial"/>
        <w:sz w:val="18"/>
      </w:rPr>
      <w:t>38</w:t>
    </w:r>
    <w:r>
      <w:rPr>
        <w:rFonts w:ascii="Arial" w:hAnsi="Arial" w:cs="Arial"/>
        <w:sz w:val="18"/>
      </w:rPr>
      <w:t xml:space="preserve">NPRR-04 </w:t>
    </w:r>
    <w:smartTag w:uri="urn:schemas-microsoft-com:office:smarttags" w:element="PersonName">
      <w:r>
        <w:rPr>
          <w:rFonts w:ascii="Arial" w:hAnsi="Arial" w:cs="Arial"/>
          <w:sz w:val="18"/>
        </w:rPr>
        <w:t>PRS</w:t>
      </w:r>
    </w:smartTag>
    <w:r>
      <w:rPr>
        <w:rFonts w:ascii="Arial" w:hAnsi="Arial" w:cs="Arial"/>
        <w:sz w:val="18"/>
      </w:rPr>
      <w:t xml:space="preserve"> Report 042111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B06547">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B06547">
      <w:rPr>
        <w:rFonts w:ascii="Arial" w:hAnsi="Arial" w:cs="Arial"/>
        <w:noProof/>
        <w:sz w:val="18"/>
      </w:rPr>
      <w:t>6</w:t>
    </w:r>
    <w:r w:rsidRPr="00412DCA">
      <w:rPr>
        <w:rFonts w:ascii="Arial" w:hAnsi="Arial" w:cs="Arial"/>
        <w:sz w:val="18"/>
      </w:rPr>
      <w:fldChar w:fldCharType="end"/>
    </w:r>
  </w:p>
  <w:p w:rsidR="0007350C" w:rsidRPr="00412DCA" w:rsidRDefault="0007350C">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50C" w:rsidRPr="00412DCA" w:rsidRDefault="0007350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14</w:t>
    </w:r>
    <w:r w:rsidRPr="00412DCA">
      <w:rPr>
        <w:rFonts w:ascii="Arial" w:hAnsi="Arial" w:cs="Arial"/>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40D4" w:rsidRDefault="00DF40D4">
      <w:r>
        <w:separator/>
      </w:r>
    </w:p>
  </w:footnote>
  <w:footnote w:type="continuationSeparator" w:id="0">
    <w:p w:rsidR="00DF40D4" w:rsidRDefault="00DF40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50C" w:rsidRDefault="0007350C">
    <w:pPr>
      <w:pStyle w:val="Header"/>
      <w:jc w:val="center"/>
      <w:rPr>
        <w:sz w:val="32"/>
      </w:rPr>
    </w:pPr>
    <w:smartTag w:uri="urn:schemas-microsoft-com:office:smarttags" w:element="PersonName">
      <w:r>
        <w:rPr>
          <w:sz w:val="32"/>
        </w:rPr>
        <w:t>PRS</w:t>
      </w:r>
    </w:smartTag>
    <w:r>
      <w:rPr>
        <w:sz w:val="32"/>
      </w:rPr>
      <w:t xml:space="preserve"> Report</w:t>
    </w:r>
  </w:p>
  <w:p w:rsidR="0007350C" w:rsidRDefault="0007350C">
    <w:pPr>
      <w:pStyle w:val="Header"/>
      <w:rPr>
        <w:sz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BC5A5418"/>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nsid w:val="004A3A0B"/>
    <w:multiLevelType w:val="hybridMultilevel"/>
    <w:tmpl w:val="82FA4E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8B0138A"/>
    <w:multiLevelType w:val="hybridMultilevel"/>
    <w:tmpl w:val="ED7C55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1">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9"/>
  </w:num>
  <w:num w:numId="3">
    <w:abstractNumId w:val="10"/>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7"/>
  </w:num>
  <w:num w:numId="17">
    <w:abstractNumId w:val="8"/>
  </w:num>
  <w:num w:numId="18">
    <w:abstractNumId w:val="11"/>
  </w:num>
  <w:num w:numId="19">
    <w:abstractNumId w:val="4"/>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3F01"/>
  <w:trackRevisions/>
  <w:defaultTabStop w:val="720"/>
  <w:noPunctuationKerning/>
  <w:characterSpacingControl w:val="doNotCompress"/>
  <w:hdrShapeDefaults>
    <o:shapedefaults v:ext="edit" spidmax="3074">
      <o:colormenu v:ext="edit" fillcolor="none"/>
    </o:shapedefaults>
  </w:hdrShapeDefaults>
  <w:footnotePr>
    <w:footnote w:id="-1"/>
    <w:footnote w:id="0"/>
  </w:footnotePr>
  <w:endnotePr>
    <w:endnote w:id="-1"/>
    <w:endnote w:id="0"/>
  </w:endnotePr>
  <w:compat/>
  <w:rsids>
    <w:rsidRoot w:val="00534C6C"/>
    <w:rsid w:val="00004403"/>
    <w:rsid w:val="00005D70"/>
    <w:rsid w:val="00052418"/>
    <w:rsid w:val="00067FE2"/>
    <w:rsid w:val="0007350C"/>
    <w:rsid w:val="000A7FDB"/>
    <w:rsid w:val="00104171"/>
    <w:rsid w:val="0014546D"/>
    <w:rsid w:val="001562F6"/>
    <w:rsid w:val="0019314C"/>
    <w:rsid w:val="001A1220"/>
    <w:rsid w:val="001E1C1F"/>
    <w:rsid w:val="001E4582"/>
    <w:rsid w:val="001E501B"/>
    <w:rsid w:val="001E7036"/>
    <w:rsid w:val="001F0504"/>
    <w:rsid w:val="00240FFC"/>
    <w:rsid w:val="002632F5"/>
    <w:rsid w:val="00276914"/>
    <w:rsid w:val="002A5E7A"/>
    <w:rsid w:val="002B763A"/>
    <w:rsid w:val="002F6B40"/>
    <w:rsid w:val="003013F2"/>
    <w:rsid w:val="0030694A"/>
    <w:rsid w:val="00323616"/>
    <w:rsid w:val="00326CF1"/>
    <w:rsid w:val="0035519B"/>
    <w:rsid w:val="00367C2E"/>
    <w:rsid w:val="003A3D77"/>
    <w:rsid w:val="003B4B3B"/>
    <w:rsid w:val="003C0168"/>
    <w:rsid w:val="003D6C1F"/>
    <w:rsid w:val="003F2EF9"/>
    <w:rsid w:val="003F7BCD"/>
    <w:rsid w:val="004056BB"/>
    <w:rsid w:val="0040729E"/>
    <w:rsid w:val="00411EA8"/>
    <w:rsid w:val="00430F02"/>
    <w:rsid w:val="004463BA"/>
    <w:rsid w:val="00481F7D"/>
    <w:rsid w:val="004822D4"/>
    <w:rsid w:val="004A5E41"/>
    <w:rsid w:val="004B3C93"/>
    <w:rsid w:val="004B7004"/>
    <w:rsid w:val="004E13DD"/>
    <w:rsid w:val="004E670F"/>
    <w:rsid w:val="00527FF6"/>
    <w:rsid w:val="00534C6C"/>
    <w:rsid w:val="00561821"/>
    <w:rsid w:val="00566BBD"/>
    <w:rsid w:val="005755CB"/>
    <w:rsid w:val="00582D48"/>
    <w:rsid w:val="00585A97"/>
    <w:rsid w:val="005B63AF"/>
    <w:rsid w:val="005C7CFD"/>
    <w:rsid w:val="005F0857"/>
    <w:rsid w:val="005F2411"/>
    <w:rsid w:val="00604582"/>
    <w:rsid w:val="00620C84"/>
    <w:rsid w:val="0063190E"/>
    <w:rsid w:val="00652553"/>
    <w:rsid w:val="006C0C25"/>
    <w:rsid w:val="006C5351"/>
    <w:rsid w:val="00720455"/>
    <w:rsid w:val="00720FF3"/>
    <w:rsid w:val="0073043F"/>
    <w:rsid w:val="00743968"/>
    <w:rsid w:val="0074399C"/>
    <w:rsid w:val="007460A4"/>
    <w:rsid w:val="007803A8"/>
    <w:rsid w:val="00791CB9"/>
    <w:rsid w:val="00797DE2"/>
    <w:rsid w:val="007A164C"/>
    <w:rsid w:val="00821BC4"/>
    <w:rsid w:val="00845EEB"/>
    <w:rsid w:val="008B4AB4"/>
    <w:rsid w:val="00963A51"/>
    <w:rsid w:val="009972AF"/>
    <w:rsid w:val="009A3772"/>
    <w:rsid w:val="009C15D7"/>
    <w:rsid w:val="009C601F"/>
    <w:rsid w:val="00A03383"/>
    <w:rsid w:val="00A05F04"/>
    <w:rsid w:val="00A45BD3"/>
    <w:rsid w:val="00A560F8"/>
    <w:rsid w:val="00AF56C6"/>
    <w:rsid w:val="00B06547"/>
    <w:rsid w:val="00B135D3"/>
    <w:rsid w:val="00B27055"/>
    <w:rsid w:val="00B314E3"/>
    <w:rsid w:val="00B53E51"/>
    <w:rsid w:val="00B55089"/>
    <w:rsid w:val="00B57F96"/>
    <w:rsid w:val="00BA0E96"/>
    <w:rsid w:val="00BB5353"/>
    <w:rsid w:val="00BC2D06"/>
    <w:rsid w:val="00BC48C0"/>
    <w:rsid w:val="00BC5D36"/>
    <w:rsid w:val="00BD27C5"/>
    <w:rsid w:val="00BD3DB6"/>
    <w:rsid w:val="00BD69A3"/>
    <w:rsid w:val="00BE4152"/>
    <w:rsid w:val="00BF155A"/>
    <w:rsid w:val="00C01362"/>
    <w:rsid w:val="00C062E5"/>
    <w:rsid w:val="00C16C88"/>
    <w:rsid w:val="00C25547"/>
    <w:rsid w:val="00C6038E"/>
    <w:rsid w:val="00C90702"/>
    <w:rsid w:val="00C917FF"/>
    <w:rsid w:val="00C920E2"/>
    <w:rsid w:val="00CD072A"/>
    <w:rsid w:val="00CE7004"/>
    <w:rsid w:val="00D00A74"/>
    <w:rsid w:val="00D47A80"/>
    <w:rsid w:val="00D526EC"/>
    <w:rsid w:val="00D7545F"/>
    <w:rsid w:val="00D97220"/>
    <w:rsid w:val="00DA6468"/>
    <w:rsid w:val="00DA790B"/>
    <w:rsid w:val="00DE44A4"/>
    <w:rsid w:val="00DF31CB"/>
    <w:rsid w:val="00DF40D4"/>
    <w:rsid w:val="00E03E64"/>
    <w:rsid w:val="00E0404B"/>
    <w:rsid w:val="00E07C4E"/>
    <w:rsid w:val="00E21F09"/>
    <w:rsid w:val="00E24ED8"/>
    <w:rsid w:val="00E37AB0"/>
    <w:rsid w:val="00E57CC5"/>
    <w:rsid w:val="00EB2315"/>
    <w:rsid w:val="00ED6FB3"/>
    <w:rsid w:val="00EE55D4"/>
    <w:rsid w:val="00F27A5C"/>
    <w:rsid w:val="00F44236"/>
    <w:rsid w:val="00F75E05"/>
    <w:rsid w:val="00F82DCE"/>
    <w:rsid w:val="00FE2889"/>
    <w:rsid w:val="00FF76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microsoft-com:office:smarttags" w:name="City"/>
  <w:shapeDefaults>
    <o:shapedefaults v:ext="edit" spidmax="3074">
      <o:colormenu v:ext="edit" fill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Ind w:w="0" w:type="dxa"/>
      <w:tblBorders>
        <w:top w:val="single" w:sz="4" w:space="0" w:color="auto"/>
        <w:left w:val="single" w:sz="4" w:space="0" w:color="auto"/>
        <w:bottom w:val="single" w:sz="4" w:space="0" w:color="auto"/>
        <w:right w:val="single" w:sz="4" w:space="0" w:color="auto"/>
      </w:tblBorders>
      <w:tblCellMar>
        <w:top w:w="144" w:type="dxa"/>
        <w:left w:w="115" w:type="dxa"/>
        <w:bottom w:w="0"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rPr>
      <w:lang/>
    </w:r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tblInd w:w="0" w:type="dxa"/>
      <w:tblCellMar>
        <w:top w:w="0" w:type="dxa"/>
        <w:left w:w="108" w:type="dxa"/>
        <w:bottom w:w="0" w:type="dxa"/>
        <w:right w:w="108" w:type="dxa"/>
      </w:tblCellMar>
    </w:tbl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basedOn w:val="DefaultParagraphFont"/>
    <w:link w:val="NormalArial"/>
    <w:rPr>
      <w:rFonts w:ascii="Arial" w:hAnsi="Arial"/>
      <w:sz w:val="24"/>
      <w:szCs w:val="24"/>
      <w:lang w:val="en-US" w:eastAsia="en-US" w:bidi="ar-SA"/>
    </w:rPr>
  </w:style>
  <w:style w:type="character" w:customStyle="1" w:styleId="BodyTextNumberedChar1">
    <w:name w:val="Body Text Numbered Char1"/>
    <w:basedOn w:val="DefaultParagraphFont"/>
    <w:link w:val="BodyTextNumbered"/>
    <w:rsid w:val="00561821"/>
    <w:rPr>
      <w:iCs/>
      <w:sz w:val="24"/>
    </w:rPr>
  </w:style>
  <w:style w:type="paragraph" w:customStyle="1" w:styleId="BodyTextNumbered">
    <w:name w:val="Body Text Numbered"/>
    <w:basedOn w:val="BodyText"/>
    <w:link w:val="BodyTextNumberedChar1"/>
    <w:rsid w:val="00561821"/>
    <w:pPr>
      <w:ind w:left="720" w:hanging="720"/>
    </w:pPr>
    <w:rPr>
      <w:iCs/>
      <w:szCs w:val="20"/>
    </w:rPr>
  </w:style>
  <w:style w:type="character" w:customStyle="1" w:styleId="H3Char">
    <w:name w:val="H3 Char"/>
    <w:basedOn w:val="DefaultParagraphFont"/>
    <w:link w:val="H3"/>
    <w:rsid w:val="00561821"/>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Char1"/>
    <w:basedOn w:val="DefaultParagraphFont"/>
    <w:link w:val="BodyText"/>
    <w:locked/>
    <w:rsid w:val="00561821"/>
    <w:rPr>
      <w:sz w:val="24"/>
      <w:szCs w:val="24"/>
    </w:rPr>
  </w:style>
  <w:style w:type="character" w:customStyle="1" w:styleId="CommentTextChar">
    <w:name w:val="Comment Text Char"/>
    <w:basedOn w:val="DefaultParagraphFont"/>
    <w:link w:val="CommentText"/>
    <w:semiHidden/>
    <w:locked/>
    <w:rsid w:val="001562F6"/>
  </w:style>
  <w:style w:type="paragraph" w:customStyle="1" w:styleId="StyleHeading3TimesNewRoman12pt">
    <w:name w:val="Style Heading 3 + Times New Roman 12 pt"/>
    <w:basedOn w:val="Heading3"/>
    <w:link w:val="StyleHeading3TimesNewRoman12ptChar"/>
    <w:rsid w:val="001562F6"/>
    <w:pPr>
      <w:numPr>
        <w:ilvl w:val="0"/>
        <w:numId w:val="0"/>
      </w:numPr>
      <w:tabs>
        <w:tab w:val="clear" w:pos="1008"/>
      </w:tabs>
      <w:spacing w:after="60"/>
    </w:pPr>
    <w:rPr>
      <w:rFonts w:cs="Arial"/>
      <w:b w:val="0"/>
      <w:i w:val="0"/>
      <w:szCs w:val="26"/>
      <w:u w:val="single"/>
    </w:rPr>
  </w:style>
  <w:style w:type="character" w:customStyle="1" w:styleId="StyleHeading3TimesNewRoman12ptChar">
    <w:name w:val="Style Heading 3 + Times New Roman 12 pt Char"/>
    <w:basedOn w:val="DefaultParagraphFont"/>
    <w:link w:val="StyleHeading3TimesNewRoman12pt"/>
    <w:locked/>
    <w:rsid w:val="001562F6"/>
    <w:rPr>
      <w:rFonts w:cs="Arial"/>
      <w:bCs/>
      <w:sz w:val="24"/>
      <w:szCs w:val="26"/>
      <w:u w:val="single"/>
    </w:rPr>
  </w:style>
  <w:style w:type="character" w:customStyle="1" w:styleId="H2Char">
    <w:name w:val="H2 Char"/>
    <w:basedOn w:val="DefaultParagraphFont"/>
    <w:link w:val="H2"/>
    <w:rsid w:val="009972AF"/>
    <w:rPr>
      <w:b/>
      <w:sz w:val="24"/>
    </w:rPr>
  </w:style>
  <w:style w:type="paragraph" w:customStyle="1" w:styleId="TermTitle">
    <w:name w:val="Term Title"/>
    <w:basedOn w:val="Normal"/>
    <w:rsid w:val="009972AF"/>
    <w:pPr>
      <w:keepNext/>
    </w:pPr>
    <w:rPr>
      <w:b/>
      <w:szCs w:val="20"/>
    </w:rPr>
  </w:style>
  <w:style w:type="paragraph" w:customStyle="1" w:styleId="Acronym">
    <w:name w:val="Acronym"/>
    <w:basedOn w:val="BodyText"/>
    <w:rsid w:val="009972AF"/>
    <w:pPr>
      <w:tabs>
        <w:tab w:val="left" w:pos="1440"/>
      </w:tabs>
      <w:spacing w:after="0"/>
    </w:pPr>
    <w:rPr>
      <w:iCs/>
      <w:szCs w:val="20"/>
    </w:rPr>
  </w:style>
  <w:style w:type="paragraph" w:styleId="Revision">
    <w:name w:val="Revision"/>
    <w:hidden/>
    <w:uiPriority w:val="99"/>
    <w:semiHidden/>
    <w:rsid w:val="003B4B3B"/>
    <w:rPr>
      <w:sz w:val="24"/>
      <w:szCs w:val="24"/>
    </w:rPr>
  </w:style>
  <w:style w:type="character" w:customStyle="1" w:styleId="BodyTextNumberedChar">
    <w:name w:val="Body Text Numbered Char"/>
    <w:basedOn w:val="DefaultParagraphFont"/>
    <w:rsid w:val="005F0857"/>
    <w:rPr>
      <w:iCs/>
      <w:sz w:val="24"/>
      <w:szCs w:val="24"/>
    </w:rPr>
  </w:style>
  <w:style w:type="character" w:customStyle="1" w:styleId="H4Char">
    <w:name w:val="H4 Char"/>
    <w:link w:val="H4"/>
    <w:rsid w:val="00B314E3"/>
    <w:rPr>
      <w:b/>
      <w:bCs/>
      <w:snapToGrid w:val="0"/>
      <w:sz w:val="24"/>
    </w:rPr>
  </w:style>
  <w:style w:type="character" w:customStyle="1" w:styleId="ListIntroductionChar">
    <w:name w:val="List Introduction Char"/>
    <w:basedOn w:val="DefaultParagraphFont"/>
    <w:link w:val="ListIntroduction"/>
    <w:locked/>
    <w:rsid w:val="00FE2889"/>
    <w:rPr>
      <w:iCs/>
      <w:sz w:val="24"/>
    </w:rPr>
  </w:style>
  <w:style w:type="character" w:customStyle="1" w:styleId="H3Char1">
    <w:name w:val="H3 Char1"/>
    <w:basedOn w:val="DefaultParagraphFont"/>
    <w:rsid w:val="0007350C"/>
    <w:rPr>
      <w:b/>
      <w:bCs/>
      <w:i/>
      <w:sz w:val="24"/>
    </w:rPr>
  </w:style>
  <w:style w:type="character" w:customStyle="1" w:styleId="HeaderChar">
    <w:name w:val="Header Char"/>
    <w:basedOn w:val="DefaultParagraphFont"/>
    <w:link w:val="Header"/>
    <w:uiPriority w:val="99"/>
    <w:locked/>
    <w:rsid w:val="00BF155A"/>
    <w:rPr>
      <w:rFonts w:ascii="Arial" w:hAnsi="Arial"/>
      <w:b/>
      <w:bCs/>
      <w:sz w:val="24"/>
      <w:szCs w:val="24"/>
    </w:rPr>
  </w:style>
</w:styles>
</file>

<file path=word/webSettings.xml><?xml version="1.0" encoding="utf-8"?>
<w:webSettings xmlns:r="http://schemas.openxmlformats.org/officeDocument/2006/relationships" xmlns:w="http://schemas.openxmlformats.org/wordprocessingml/2006/main">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ingo@ercot.com"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ogenove@ercot.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1619</Words>
  <Characters>9234</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10832</CharactersWithSpaces>
  <SharedDoc>false</SharedDoc>
  <HLinks>
    <vt:vector size="12" baseType="variant">
      <vt:variant>
        <vt:i4>196663</vt:i4>
      </vt:variant>
      <vt:variant>
        <vt:i4>3</vt:i4>
      </vt:variant>
      <vt:variant>
        <vt:i4>0</vt:i4>
      </vt:variant>
      <vt:variant>
        <vt:i4>5</vt:i4>
      </vt:variant>
      <vt:variant>
        <vt:lpwstr>mailto:smingo@ercot.com</vt:lpwstr>
      </vt:variant>
      <vt:variant>
        <vt:lpwstr/>
      </vt:variant>
      <vt:variant>
        <vt:i4>1966121</vt:i4>
      </vt:variant>
      <vt:variant>
        <vt:i4>0</vt:i4>
      </vt:variant>
      <vt:variant>
        <vt:i4>0</vt:i4>
      </vt:variant>
      <vt:variant>
        <vt:i4>5</vt:i4>
      </vt:variant>
      <vt:variant>
        <vt:lpwstr>mailto:ogenove@ercot.com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vspells</cp:lastModifiedBy>
  <cp:revision>2</cp:revision>
  <cp:lastPrinted>2010-12-20T20:47:00Z</cp:lastPrinted>
  <dcterms:created xsi:type="dcterms:W3CDTF">2011-04-29T19:25:00Z</dcterms:created>
  <dcterms:modified xsi:type="dcterms:W3CDTF">2011-04-29T19:25:00Z</dcterms:modified>
</cp:coreProperties>
</file>