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971" w:rsidRDefault="00721C08" w:rsidP="00002163">
      <w:pPr>
        <w:jc w:val="right"/>
      </w:pPr>
      <w:r>
        <w:rPr>
          <w:noProof/>
        </w:rPr>
        <w:drawing>
          <wp:inline distT="0" distB="0" distL="0" distR="0">
            <wp:extent cx="1025525" cy="397510"/>
            <wp:effectExtent l="19050" t="0" r="3175" b="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srcRect/>
                    <a:stretch>
                      <a:fillRect/>
                    </a:stretch>
                  </pic:blipFill>
                  <pic:spPr bwMode="auto">
                    <a:xfrm>
                      <a:off x="0" y="0"/>
                      <a:ext cx="1025525" cy="397510"/>
                    </a:xfrm>
                    <a:prstGeom prst="rect">
                      <a:avLst/>
                    </a:prstGeom>
                    <a:noFill/>
                    <a:ln w="9525">
                      <a:noFill/>
                      <a:miter lim="800000"/>
                      <a:headEnd/>
                      <a:tailEnd/>
                    </a:ln>
                  </pic:spPr>
                </pic:pic>
              </a:graphicData>
            </a:graphic>
          </wp:inline>
        </w:drawing>
      </w:r>
    </w:p>
    <w:p w:rsidR="00387971" w:rsidRPr="00441AFB" w:rsidRDefault="00F101CC" w:rsidP="001A131B">
      <w:pPr>
        <w:pStyle w:val="spacer"/>
        <w:spacing w:before="8000"/>
        <w:jc w:val="right"/>
        <w:rPr>
          <w:b/>
          <w:sz w:val="18"/>
          <w:szCs w:val="18"/>
        </w:rPr>
      </w:pPr>
      <w:r>
        <w:rPr>
          <w:b/>
          <w:sz w:val="28"/>
          <w:szCs w:val="28"/>
        </w:rPr>
        <w:t xml:space="preserve"> </w:t>
      </w:r>
      <w:r w:rsidR="001E4652">
        <w:rPr>
          <w:b/>
          <w:sz w:val="28"/>
          <w:szCs w:val="28"/>
        </w:rPr>
        <w:t xml:space="preserve"> </w:t>
      </w:r>
      <w:r w:rsidR="009F0179" w:rsidRPr="00441AFB">
        <w:rPr>
          <w:b/>
          <w:sz w:val="28"/>
          <w:szCs w:val="28"/>
        </w:rPr>
        <w:br/>
      </w:r>
    </w:p>
    <w:p w:rsidR="001E4652" w:rsidRDefault="00F101CC" w:rsidP="00AE70F7">
      <w:pPr>
        <w:widowControl w:val="0"/>
        <w:jc w:val="right"/>
        <w:rPr>
          <w:rFonts w:ascii="Arial" w:hAnsi="Arial" w:cs="Arial"/>
          <w:b/>
          <w:sz w:val="36"/>
          <w:szCs w:val="36"/>
        </w:rPr>
      </w:pPr>
      <w:r>
        <w:rPr>
          <w:rFonts w:ascii="Arial" w:hAnsi="Arial" w:cs="Arial"/>
          <w:b/>
          <w:sz w:val="36"/>
          <w:szCs w:val="36"/>
        </w:rPr>
        <w:t>2010 ERCOT Target Reserve Margin Study</w:t>
      </w:r>
    </w:p>
    <w:p w:rsidR="00AE70F7" w:rsidRPr="00AE70F7" w:rsidRDefault="00F101CC" w:rsidP="00AE70F7">
      <w:pPr>
        <w:pStyle w:val="spacer"/>
        <w:widowControl w:val="0"/>
        <w:spacing w:before="240"/>
        <w:jc w:val="right"/>
        <w:rPr>
          <w:b/>
          <w:sz w:val="24"/>
          <w:szCs w:val="24"/>
        </w:rPr>
      </w:pPr>
      <w:r>
        <w:rPr>
          <w:b/>
          <w:sz w:val="24"/>
          <w:szCs w:val="24"/>
        </w:rPr>
        <w:t xml:space="preserve"> </w:t>
      </w:r>
    </w:p>
    <w:p w:rsidR="00AE70F7" w:rsidRPr="00AE70F7" w:rsidRDefault="00F101CC" w:rsidP="00AE70F7">
      <w:pPr>
        <w:pStyle w:val="spacer"/>
        <w:widowControl w:val="0"/>
        <w:spacing w:before="240"/>
        <w:jc w:val="right"/>
        <w:rPr>
          <w:sz w:val="24"/>
          <w:szCs w:val="24"/>
        </w:rPr>
      </w:pPr>
      <w:r>
        <w:rPr>
          <w:sz w:val="24"/>
          <w:szCs w:val="24"/>
        </w:rPr>
        <w:t>November 1, 2010</w:t>
      </w:r>
    </w:p>
    <w:p w:rsidR="003C5767" w:rsidRDefault="003C5767" w:rsidP="00400806">
      <w:pPr>
        <w:pStyle w:val="TOCHead"/>
        <w:sectPr w:rsidR="003C5767" w:rsidSect="00302001">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rsidR="00C14165" w:rsidRDefault="00B0784A" w:rsidP="00B86072">
      <w:pPr>
        <w:pStyle w:val="TOCHead"/>
      </w:pPr>
      <w:bookmarkStart w:id="0" w:name="_Toc85269770"/>
      <w:r>
        <w:lastRenderedPageBreak/>
        <w:t>Table of Contents</w:t>
      </w:r>
      <w:bookmarkEnd w:id="0"/>
    </w:p>
    <w:p w:rsidR="00344AC0" w:rsidRDefault="00442666">
      <w:pPr>
        <w:pStyle w:val="TOC1"/>
        <w:rPr>
          <w:rFonts w:asciiTheme="minorHAnsi" w:eastAsiaTheme="minorEastAsia" w:hAnsiTheme="minorHAnsi" w:cstheme="minorBidi"/>
          <w:sz w:val="22"/>
          <w:szCs w:val="22"/>
        </w:rPr>
      </w:pPr>
      <w:r w:rsidRPr="00442666">
        <w:fldChar w:fldCharType="begin"/>
      </w:r>
      <w:r w:rsidR="00AC4F79">
        <w:instrText xml:space="preserve"> TOC \o "1-3" \h \z \u </w:instrText>
      </w:r>
      <w:r w:rsidRPr="00442666">
        <w:fldChar w:fldCharType="separate"/>
      </w:r>
      <w:hyperlink w:anchor="_Toc276457208" w:history="1">
        <w:r w:rsidR="00344AC0" w:rsidRPr="00A4461B">
          <w:rPr>
            <w:rStyle w:val="Hyperlink"/>
          </w:rPr>
          <w:t>1.</w:t>
        </w:r>
        <w:r w:rsidR="00344AC0">
          <w:rPr>
            <w:rFonts w:asciiTheme="minorHAnsi" w:eastAsiaTheme="minorEastAsia" w:hAnsiTheme="minorHAnsi" w:cstheme="minorBidi"/>
            <w:sz w:val="22"/>
            <w:szCs w:val="22"/>
          </w:rPr>
          <w:tab/>
        </w:r>
        <w:r w:rsidR="00344AC0" w:rsidRPr="00A4461B">
          <w:rPr>
            <w:rStyle w:val="Hyperlink"/>
          </w:rPr>
          <w:t>INTRODUCTION</w:t>
        </w:r>
        <w:r w:rsidR="00344AC0">
          <w:rPr>
            <w:webHidden/>
          </w:rPr>
          <w:tab/>
        </w:r>
        <w:r>
          <w:rPr>
            <w:webHidden/>
          </w:rPr>
          <w:fldChar w:fldCharType="begin"/>
        </w:r>
        <w:r w:rsidR="00344AC0">
          <w:rPr>
            <w:webHidden/>
          </w:rPr>
          <w:instrText xml:space="preserve"> PAGEREF _Toc276457208 \h </w:instrText>
        </w:r>
        <w:r>
          <w:rPr>
            <w:webHidden/>
          </w:rPr>
        </w:r>
        <w:r>
          <w:rPr>
            <w:webHidden/>
          </w:rPr>
          <w:fldChar w:fldCharType="separate"/>
        </w:r>
        <w:r w:rsidR="00524EF7">
          <w:rPr>
            <w:webHidden/>
          </w:rPr>
          <w:t>1</w:t>
        </w:r>
        <w:r>
          <w:rPr>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09" w:history="1">
        <w:r w:rsidR="00344AC0" w:rsidRPr="00A4461B">
          <w:rPr>
            <w:rStyle w:val="Hyperlink"/>
            <w:noProof/>
          </w:rPr>
          <w:t>1.1.</w:t>
        </w:r>
        <w:r w:rsidR="00344AC0">
          <w:rPr>
            <w:rFonts w:asciiTheme="minorHAnsi" w:eastAsiaTheme="minorEastAsia" w:hAnsiTheme="minorHAnsi" w:cstheme="minorBidi"/>
            <w:noProof/>
            <w:sz w:val="22"/>
            <w:szCs w:val="22"/>
          </w:rPr>
          <w:tab/>
        </w:r>
        <w:r w:rsidR="00344AC0" w:rsidRPr="00A4461B">
          <w:rPr>
            <w:rStyle w:val="Hyperlink"/>
            <w:noProof/>
          </w:rPr>
          <w:t>Reliability Indices</w:t>
        </w:r>
        <w:r w:rsidR="00344AC0">
          <w:rPr>
            <w:noProof/>
            <w:webHidden/>
          </w:rPr>
          <w:tab/>
        </w:r>
        <w:r>
          <w:rPr>
            <w:noProof/>
            <w:webHidden/>
          </w:rPr>
          <w:fldChar w:fldCharType="begin"/>
        </w:r>
        <w:r w:rsidR="00344AC0">
          <w:rPr>
            <w:noProof/>
            <w:webHidden/>
          </w:rPr>
          <w:instrText xml:space="preserve"> PAGEREF _Toc276457209 \h </w:instrText>
        </w:r>
        <w:r>
          <w:rPr>
            <w:noProof/>
            <w:webHidden/>
          </w:rPr>
        </w:r>
        <w:r>
          <w:rPr>
            <w:noProof/>
            <w:webHidden/>
          </w:rPr>
          <w:fldChar w:fldCharType="separate"/>
        </w:r>
        <w:r w:rsidR="00524EF7">
          <w:rPr>
            <w:noProof/>
            <w:webHidden/>
          </w:rPr>
          <w:t>1</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10" w:history="1">
        <w:r w:rsidR="00344AC0" w:rsidRPr="00A4461B">
          <w:rPr>
            <w:rStyle w:val="Hyperlink"/>
            <w:noProof/>
          </w:rPr>
          <w:t>1.2.</w:t>
        </w:r>
        <w:r w:rsidR="00344AC0">
          <w:rPr>
            <w:rFonts w:asciiTheme="minorHAnsi" w:eastAsiaTheme="minorEastAsia" w:hAnsiTheme="minorHAnsi" w:cstheme="minorBidi"/>
            <w:noProof/>
            <w:sz w:val="22"/>
            <w:szCs w:val="22"/>
          </w:rPr>
          <w:tab/>
        </w:r>
        <w:r w:rsidR="00344AC0" w:rsidRPr="00A4461B">
          <w:rPr>
            <w:rStyle w:val="Hyperlink"/>
            <w:noProof/>
          </w:rPr>
          <w:t>Report Outline</w:t>
        </w:r>
        <w:r w:rsidR="00344AC0">
          <w:rPr>
            <w:noProof/>
            <w:webHidden/>
          </w:rPr>
          <w:tab/>
        </w:r>
        <w:r>
          <w:rPr>
            <w:noProof/>
            <w:webHidden/>
          </w:rPr>
          <w:fldChar w:fldCharType="begin"/>
        </w:r>
        <w:r w:rsidR="00344AC0">
          <w:rPr>
            <w:noProof/>
            <w:webHidden/>
          </w:rPr>
          <w:instrText xml:space="preserve"> PAGEREF _Toc276457210 \h </w:instrText>
        </w:r>
        <w:r>
          <w:rPr>
            <w:noProof/>
            <w:webHidden/>
          </w:rPr>
        </w:r>
        <w:r>
          <w:rPr>
            <w:noProof/>
            <w:webHidden/>
          </w:rPr>
          <w:fldChar w:fldCharType="separate"/>
        </w:r>
        <w:r w:rsidR="00524EF7">
          <w:rPr>
            <w:noProof/>
            <w:webHidden/>
          </w:rPr>
          <w:t>2</w:t>
        </w:r>
        <w:r>
          <w:rPr>
            <w:noProof/>
            <w:webHidden/>
          </w:rPr>
          <w:fldChar w:fldCharType="end"/>
        </w:r>
      </w:hyperlink>
    </w:p>
    <w:p w:rsidR="00344AC0" w:rsidRDefault="00442666">
      <w:pPr>
        <w:pStyle w:val="TOC1"/>
        <w:rPr>
          <w:rFonts w:asciiTheme="minorHAnsi" w:eastAsiaTheme="minorEastAsia" w:hAnsiTheme="minorHAnsi" w:cstheme="minorBidi"/>
          <w:sz w:val="22"/>
          <w:szCs w:val="22"/>
        </w:rPr>
      </w:pPr>
      <w:hyperlink w:anchor="_Toc276457211" w:history="1">
        <w:r w:rsidR="00344AC0" w:rsidRPr="00A4461B">
          <w:rPr>
            <w:rStyle w:val="Hyperlink"/>
          </w:rPr>
          <w:t>2.</w:t>
        </w:r>
        <w:r w:rsidR="00344AC0">
          <w:rPr>
            <w:rFonts w:asciiTheme="minorHAnsi" w:eastAsiaTheme="minorEastAsia" w:hAnsiTheme="minorHAnsi" w:cstheme="minorBidi"/>
            <w:sz w:val="22"/>
            <w:szCs w:val="22"/>
          </w:rPr>
          <w:tab/>
        </w:r>
        <w:r w:rsidR="00344AC0" w:rsidRPr="00A4461B">
          <w:rPr>
            <w:rStyle w:val="Hyperlink"/>
          </w:rPr>
          <w:t>RESOURCES AND DEMAND</w:t>
        </w:r>
        <w:r w:rsidR="00344AC0">
          <w:rPr>
            <w:webHidden/>
          </w:rPr>
          <w:tab/>
        </w:r>
        <w:r>
          <w:rPr>
            <w:webHidden/>
          </w:rPr>
          <w:fldChar w:fldCharType="begin"/>
        </w:r>
        <w:r w:rsidR="00344AC0">
          <w:rPr>
            <w:webHidden/>
          </w:rPr>
          <w:instrText xml:space="preserve"> PAGEREF _Toc276457211 \h </w:instrText>
        </w:r>
        <w:r>
          <w:rPr>
            <w:webHidden/>
          </w:rPr>
        </w:r>
        <w:r>
          <w:rPr>
            <w:webHidden/>
          </w:rPr>
          <w:fldChar w:fldCharType="separate"/>
        </w:r>
        <w:r w:rsidR="00524EF7">
          <w:rPr>
            <w:webHidden/>
          </w:rPr>
          <w:t>3</w:t>
        </w:r>
        <w:r>
          <w:rPr>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12" w:history="1">
        <w:r w:rsidR="00344AC0" w:rsidRPr="00A4461B">
          <w:rPr>
            <w:rStyle w:val="Hyperlink"/>
            <w:noProof/>
          </w:rPr>
          <w:t>2.1.</w:t>
        </w:r>
        <w:r w:rsidR="00344AC0">
          <w:rPr>
            <w:rFonts w:asciiTheme="minorHAnsi" w:eastAsiaTheme="minorEastAsia" w:hAnsiTheme="minorHAnsi" w:cstheme="minorBidi"/>
            <w:noProof/>
            <w:sz w:val="22"/>
            <w:szCs w:val="22"/>
          </w:rPr>
          <w:tab/>
        </w:r>
        <w:r w:rsidR="00344AC0" w:rsidRPr="00A4461B">
          <w:rPr>
            <w:rStyle w:val="Hyperlink"/>
            <w:noProof/>
          </w:rPr>
          <w:t>Simulation Process</w:t>
        </w:r>
        <w:r w:rsidR="00344AC0">
          <w:rPr>
            <w:noProof/>
            <w:webHidden/>
          </w:rPr>
          <w:tab/>
        </w:r>
        <w:r>
          <w:rPr>
            <w:noProof/>
            <w:webHidden/>
          </w:rPr>
          <w:fldChar w:fldCharType="begin"/>
        </w:r>
        <w:r w:rsidR="00344AC0">
          <w:rPr>
            <w:noProof/>
            <w:webHidden/>
          </w:rPr>
          <w:instrText xml:space="preserve"> PAGEREF _Toc276457212 \h </w:instrText>
        </w:r>
        <w:r>
          <w:rPr>
            <w:noProof/>
            <w:webHidden/>
          </w:rPr>
        </w:r>
        <w:r>
          <w:rPr>
            <w:noProof/>
            <w:webHidden/>
          </w:rPr>
          <w:fldChar w:fldCharType="separate"/>
        </w:r>
        <w:r w:rsidR="00524EF7">
          <w:rPr>
            <w:noProof/>
            <w:webHidden/>
          </w:rPr>
          <w:t>3</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13" w:history="1">
        <w:r w:rsidR="00344AC0" w:rsidRPr="00A4461B">
          <w:rPr>
            <w:rStyle w:val="Hyperlink"/>
            <w:noProof/>
          </w:rPr>
          <w:t>2.2.</w:t>
        </w:r>
        <w:r w:rsidR="00344AC0">
          <w:rPr>
            <w:rFonts w:asciiTheme="minorHAnsi" w:eastAsiaTheme="minorEastAsia" w:hAnsiTheme="minorHAnsi" w:cstheme="minorBidi"/>
            <w:noProof/>
            <w:sz w:val="22"/>
            <w:szCs w:val="22"/>
          </w:rPr>
          <w:tab/>
        </w:r>
        <w:r w:rsidR="00344AC0" w:rsidRPr="00A4461B">
          <w:rPr>
            <w:rStyle w:val="Hyperlink"/>
            <w:noProof/>
          </w:rPr>
          <w:t>NERC Terms</w:t>
        </w:r>
        <w:r w:rsidR="00344AC0">
          <w:rPr>
            <w:noProof/>
            <w:webHidden/>
          </w:rPr>
          <w:tab/>
        </w:r>
        <w:r>
          <w:rPr>
            <w:noProof/>
            <w:webHidden/>
          </w:rPr>
          <w:fldChar w:fldCharType="begin"/>
        </w:r>
        <w:r w:rsidR="00344AC0">
          <w:rPr>
            <w:noProof/>
            <w:webHidden/>
          </w:rPr>
          <w:instrText xml:space="preserve"> PAGEREF _Toc276457213 \h </w:instrText>
        </w:r>
        <w:r>
          <w:rPr>
            <w:noProof/>
            <w:webHidden/>
          </w:rPr>
        </w:r>
        <w:r>
          <w:rPr>
            <w:noProof/>
            <w:webHidden/>
          </w:rPr>
          <w:fldChar w:fldCharType="separate"/>
        </w:r>
        <w:r w:rsidR="00524EF7">
          <w:rPr>
            <w:noProof/>
            <w:webHidden/>
          </w:rPr>
          <w:t>3</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14" w:history="1">
        <w:r w:rsidR="00344AC0" w:rsidRPr="00A4461B">
          <w:rPr>
            <w:rStyle w:val="Hyperlink"/>
            <w:noProof/>
          </w:rPr>
          <w:t>2.3.</w:t>
        </w:r>
        <w:r w:rsidR="00344AC0">
          <w:rPr>
            <w:rFonts w:asciiTheme="minorHAnsi" w:eastAsiaTheme="minorEastAsia" w:hAnsiTheme="minorHAnsi" w:cstheme="minorBidi"/>
            <w:noProof/>
            <w:sz w:val="22"/>
            <w:szCs w:val="22"/>
          </w:rPr>
          <w:tab/>
        </w:r>
        <w:r w:rsidR="00344AC0" w:rsidRPr="00A4461B">
          <w:rPr>
            <w:rStyle w:val="Hyperlink"/>
            <w:noProof/>
          </w:rPr>
          <w:t>Resources</w:t>
        </w:r>
        <w:r w:rsidR="00344AC0">
          <w:rPr>
            <w:noProof/>
            <w:webHidden/>
          </w:rPr>
          <w:tab/>
        </w:r>
        <w:r>
          <w:rPr>
            <w:noProof/>
            <w:webHidden/>
          </w:rPr>
          <w:fldChar w:fldCharType="begin"/>
        </w:r>
        <w:r w:rsidR="00344AC0">
          <w:rPr>
            <w:noProof/>
            <w:webHidden/>
          </w:rPr>
          <w:instrText xml:space="preserve"> PAGEREF _Toc276457214 \h </w:instrText>
        </w:r>
        <w:r>
          <w:rPr>
            <w:noProof/>
            <w:webHidden/>
          </w:rPr>
        </w:r>
        <w:r>
          <w:rPr>
            <w:noProof/>
            <w:webHidden/>
          </w:rPr>
          <w:fldChar w:fldCharType="separate"/>
        </w:r>
        <w:r w:rsidR="00524EF7">
          <w:rPr>
            <w:noProof/>
            <w:webHidden/>
          </w:rPr>
          <w:t>5</w:t>
        </w:r>
        <w:r>
          <w:rPr>
            <w:noProof/>
            <w:webHidden/>
          </w:rPr>
          <w:fldChar w:fldCharType="end"/>
        </w:r>
      </w:hyperlink>
    </w:p>
    <w:p w:rsidR="00344AC0" w:rsidRDefault="00442666">
      <w:pPr>
        <w:pStyle w:val="TOC3"/>
        <w:tabs>
          <w:tab w:val="left" w:pos="1100"/>
        </w:tabs>
        <w:rPr>
          <w:rFonts w:asciiTheme="minorHAnsi" w:eastAsiaTheme="minorEastAsia" w:hAnsiTheme="minorHAnsi" w:cstheme="minorBidi"/>
          <w:noProof/>
          <w:sz w:val="22"/>
          <w:szCs w:val="22"/>
        </w:rPr>
      </w:pPr>
      <w:hyperlink w:anchor="_Toc276457215" w:history="1">
        <w:r w:rsidR="00344AC0" w:rsidRPr="00A4461B">
          <w:rPr>
            <w:rStyle w:val="Hyperlink"/>
            <w:noProof/>
          </w:rPr>
          <w:t>2.3.1.</w:t>
        </w:r>
        <w:r w:rsidR="00344AC0">
          <w:rPr>
            <w:rFonts w:asciiTheme="minorHAnsi" w:eastAsiaTheme="minorEastAsia" w:hAnsiTheme="minorHAnsi" w:cstheme="minorBidi"/>
            <w:noProof/>
            <w:sz w:val="22"/>
            <w:szCs w:val="22"/>
          </w:rPr>
          <w:tab/>
        </w:r>
        <w:r w:rsidR="00344AC0" w:rsidRPr="00A4461B">
          <w:rPr>
            <w:rStyle w:val="Hyperlink"/>
            <w:noProof/>
          </w:rPr>
          <w:t>Conventional Resources</w:t>
        </w:r>
        <w:r w:rsidR="00344AC0">
          <w:rPr>
            <w:noProof/>
            <w:webHidden/>
          </w:rPr>
          <w:tab/>
        </w:r>
        <w:r>
          <w:rPr>
            <w:noProof/>
            <w:webHidden/>
          </w:rPr>
          <w:fldChar w:fldCharType="begin"/>
        </w:r>
        <w:r w:rsidR="00344AC0">
          <w:rPr>
            <w:noProof/>
            <w:webHidden/>
          </w:rPr>
          <w:instrText xml:space="preserve"> PAGEREF _Toc276457215 \h </w:instrText>
        </w:r>
        <w:r>
          <w:rPr>
            <w:noProof/>
            <w:webHidden/>
          </w:rPr>
        </w:r>
        <w:r>
          <w:rPr>
            <w:noProof/>
            <w:webHidden/>
          </w:rPr>
          <w:fldChar w:fldCharType="separate"/>
        </w:r>
        <w:r w:rsidR="00524EF7">
          <w:rPr>
            <w:noProof/>
            <w:webHidden/>
          </w:rPr>
          <w:t>5</w:t>
        </w:r>
        <w:r>
          <w:rPr>
            <w:noProof/>
            <w:webHidden/>
          </w:rPr>
          <w:fldChar w:fldCharType="end"/>
        </w:r>
      </w:hyperlink>
    </w:p>
    <w:p w:rsidR="00344AC0" w:rsidRDefault="00442666">
      <w:pPr>
        <w:pStyle w:val="TOC3"/>
        <w:tabs>
          <w:tab w:val="left" w:pos="1100"/>
        </w:tabs>
        <w:rPr>
          <w:rFonts w:asciiTheme="minorHAnsi" w:eastAsiaTheme="minorEastAsia" w:hAnsiTheme="minorHAnsi" w:cstheme="minorBidi"/>
          <w:noProof/>
          <w:sz w:val="22"/>
          <w:szCs w:val="22"/>
        </w:rPr>
      </w:pPr>
      <w:hyperlink w:anchor="_Toc276457216" w:history="1">
        <w:r w:rsidR="00344AC0" w:rsidRPr="00A4461B">
          <w:rPr>
            <w:rStyle w:val="Hyperlink"/>
            <w:noProof/>
          </w:rPr>
          <w:t>2.3.2.</w:t>
        </w:r>
        <w:r w:rsidR="00344AC0">
          <w:rPr>
            <w:rFonts w:asciiTheme="minorHAnsi" w:eastAsiaTheme="minorEastAsia" w:hAnsiTheme="minorHAnsi" w:cstheme="minorBidi"/>
            <w:noProof/>
            <w:sz w:val="22"/>
            <w:szCs w:val="22"/>
          </w:rPr>
          <w:tab/>
        </w:r>
        <w:r w:rsidR="00344AC0" w:rsidRPr="00A4461B">
          <w:rPr>
            <w:rStyle w:val="Hyperlink"/>
            <w:noProof/>
          </w:rPr>
          <w:t>Private Network Units</w:t>
        </w:r>
        <w:r w:rsidR="00344AC0">
          <w:rPr>
            <w:noProof/>
            <w:webHidden/>
          </w:rPr>
          <w:tab/>
        </w:r>
        <w:r>
          <w:rPr>
            <w:noProof/>
            <w:webHidden/>
          </w:rPr>
          <w:fldChar w:fldCharType="begin"/>
        </w:r>
        <w:r w:rsidR="00344AC0">
          <w:rPr>
            <w:noProof/>
            <w:webHidden/>
          </w:rPr>
          <w:instrText xml:space="preserve"> PAGEREF _Toc276457216 \h </w:instrText>
        </w:r>
        <w:r>
          <w:rPr>
            <w:noProof/>
            <w:webHidden/>
          </w:rPr>
        </w:r>
        <w:r>
          <w:rPr>
            <w:noProof/>
            <w:webHidden/>
          </w:rPr>
          <w:fldChar w:fldCharType="separate"/>
        </w:r>
        <w:r w:rsidR="00524EF7">
          <w:rPr>
            <w:noProof/>
            <w:webHidden/>
          </w:rPr>
          <w:t>6</w:t>
        </w:r>
        <w:r>
          <w:rPr>
            <w:noProof/>
            <w:webHidden/>
          </w:rPr>
          <w:fldChar w:fldCharType="end"/>
        </w:r>
      </w:hyperlink>
    </w:p>
    <w:p w:rsidR="00344AC0" w:rsidRDefault="00442666">
      <w:pPr>
        <w:pStyle w:val="TOC3"/>
        <w:tabs>
          <w:tab w:val="left" w:pos="1100"/>
        </w:tabs>
        <w:rPr>
          <w:rFonts w:asciiTheme="minorHAnsi" w:eastAsiaTheme="minorEastAsia" w:hAnsiTheme="minorHAnsi" w:cstheme="minorBidi"/>
          <w:noProof/>
          <w:sz w:val="22"/>
          <w:szCs w:val="22"/>
        </w:rPr>
      </w:pPr>
      <w:hyperlink w:anchor="_Toc276457217" w:history="1">
        <w:r w:rsidR="00344AC0" w:rsidRPr="00A4461B">
          <w:rPr>
            <w:rStyle w:val="Hyperlink"/>
            <w:noProof/>
          </w:rPr>
          <w:t>2.3.3.</w:t>
        </w:r>
        <w:r w:rsidR="00344AC0">
          <w:rPr>
            <w:rFonts w:asciiTheme="minorHAnsi" w:eastAsiaTheme="minorEastAsia" w:hAnsiTheme="minorHAnsi" w:cstheme="minorBidi"/>
            <w:noProof/>
            <w:sz w:val="22"/>
            <w:szCs w:val="22"/>
          </w:rPr>
          <w:tab/>
        </w:r>
        <w:r w:rsidR="00344AC0" w:rsidRPr="00A4461B">
          <w:rPr>
            <w:rStyle w:val="Hyperlink"/>
            <w:noProof/>
          </w:rPr>
          <w:t>Wind Energy</w:t>
        </w:r>
        <w:r w:rsidR="00344AC0">
          <w:rPr>
            <w:noProof/>
            <w:webHidden/>
          </w:rPr>
          <w:tab/>
        </w:r>
        <w:r>
          <w:rPr>
            <w:noProof/>
            <w:webHidden/>
          </w:rPr>
          <w:fldChar w:fldCharType="begin"/>
        </w:r>
        <w:r w:rsidR="00344AC0">
          <w:rPr>
            <w:noProof/>
            <w:webHidden/>
          </w:rPr>
          <w:instrText xml:space="preserve"> PAGEREF _Toc276457217 \h </w:instrText>
        </w:r>
        <w:r>
          <w:rPr>
            <w:noProof/>
            <w:webHidden/>
          </w:rPr>
        </w:r>
        <w:r>
          <w:rPr>
            <w:noProof/>
            <w:webHidden/>
          </w:rPr>
          <w:fldChar w:fldCharType="separate"/>
        </w:r>
        <w:r w:rsidR="00524EF7">
          <w:rPr>
            <w:noProof/>
            <w:webHidden/>
          </w:rPr>
          <w:t>6</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18" w:history="1">
        <w:r w:rsidR="00344AC0" w:rsidRPr="00A4461B">
          <w:rPr>
            <w:rStyle w:val="Hyperlink"/>
            <w:noProof/>
          </w:rPr>
          <w:t>2.4.</w:t>
        </w:r>
        <w:r w:rsidR="00344AC0">
          <w:rPr>
            <w:rFonts w:asciiTheme="minorHAnsi" w:eastAsiaTheme="minorEastAsia" w:hAnsiTheme="minorHAnsi" w:cstheme="minorBidi"/>
            <w:noProof/>
            <w:sz w:val="22"/>
            <w:szCs w:val="22"/>
          </w:rPr>
          <w:tab/>
        </w:r>
        <w:r w:rsidR="00344AC0" w:rsidRPr="00A4461B">
          <w:rPr>
            <w:rStyle w:val="Hyperlink"/>
            <w:noProof/>
          </w:rPr>
          <w:t>Demand</w:t>
        </w:r>
        <w:r w:rsidR="00344AC0">
          <w:rPr>
            <w:noProof/>
            <w:webHidden/>
          </w:rPr>
          <w:tab/>
        </w:r>
        <w:r>
          <w:rPr>
            <w:noProof/>
            <w:webHidden/>
          </w:rPr>
          <w:fldChar w:fldCharType="begin"/>
        </w:r>
        <w:r w:rsidR="00344AC0">
          <w:rPr>
            <w:noProof/>
            <w:webHidden/>
          </w:rPr>
          <w:instrText xml:space="preserve"> PAGEREF _Toc276457218 \h </w:instrText>
        </w:r>
        <w:r>
          <w:rPr>
            <w:noProof/>
            <w:webHidden/>
          </w:rPr>
        </w:r>
        <w:r>
          <w:rPr>
            <w:noProof/>
            <w:webHidden/>
          </w:rPr>
          <w:fldChar w:fldCharType="separate"/>
        </w:r>
        <w:r w:rsidR="00524EF7">
          <w:rPr>
            <w:noProof/>
            <w:webHidden/>
          </w:rPr>
          <w:t>6</w:t>
        </w:r>
        <w:r>
          <w:rPr>
            <w:noProof/>
            <w:webHidden/>
          </w:rPr>
          <w:fldChar w:fldCharType="end"/>
        </w:r>
      </w:hyperlink>
    </w:p>
    <w:p w:rsidR="00344AC0" w:rsidRDefault="00442666">
      <w:pPr>
        <w:pStyle w:val="TOC1"/>
        <w:rPr>
          <w:rFonts w:asciiTheme="minorHAnsi" w:eastAsiaTheme="minorEastAsia" w:hAnsiTheme="minorHAnsi" w:cstheme="minorBidi"/>
          <w:sz w:val="22"/>
          <w:szCs w:val="22"/>
        </w:rPr>
      </w:pPr>
      <w:hyperlink w:anchor="_Toc276457219" w:history="1">
        <w:r w:rsidR="00344AC0" w:rsidRPr="00A4461B">
          <w:rPr>
            <w:rStyle w:val="Hyperlink"/>
          </w:rPr>
          <w:t>3.</w:t>
        </w:r>
        <w:r w:rsidR="00344AC0">
          <w:rPr>
            <w:rFonts w:asciiTheme="minorHAnsi" w:eastAsiaTheme="minorEastAsia" w:hAnsiTheme="minorHAnsi" w:cstheme="minorBidi"/>
            <w:sz w:val="22"/>
            <w:szCs w:val="22"/>
          </w:rPr>
          <w:tab/>
        </w:r>
        <w:r w:rsidR="00344AC0" w:rsidRPr="00A4461B">
          <w:rPr>
            <w:rStyle w:val="Hyperlink"/>
          </w:rPr>
          <w:t>STUDY METHODOLOGY</w:t>
        </w:r>
        <w:r w:rsidR="00344AC0">
          <w:rPr>
            <w:webHidden/>
          </w:rPr>
          <w:tab/>
        </w:r>
        <w:r>
          <w:rPr>
            <w:webHidden/>
          </w:rPr>
          <w:fldChar w:fldCharType="begin"/>
        </w:r>
        <w:r w:rsidR="00344AC0">
          <w:rPr>
            <w:webHidden/>
          </w:rPr>
          <w:instrText xml:space="preserve"> PAGEREF _Toc276457219 \h </w:instrText>
        </w:r>
        <w:r>
          <w:rPr>
            <w:webHidden/>
          </w:rPr>
        </w:r>
        <w:r>
          <w:rPr>
            <w:webHidden/>
          </w:rPr>
          <w:fldChar w:fldCharType="separate"/>
        </w:r>
        <w:r w:rsidR="00524EF7">
          <w:rPr>
            <w:webHidden/>
          </w:rPr>
          <w:t>8</w:t>
        </w:r>
        <w:r>
          <w:rPr>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20" w:history="1">
        <w:r w:rsidR="00344AC0" w:rsidRPr="00A4461B">
          <w:rPr>
            <w:rStyle w:val="Hyperlink"/>
            <w:noProof/>
          </w:rPr>
          <w:t>3.1.</w:t>
        </w:r>
        <w:r w:rsidR="00344AC0">
          <w:rPr>
            <w:rFonts w:asciiTheme="minorHAnsi" w:eastAsiaTheme="minorEastAsia" w:hAnsiTheme="minorHAnsi" w:cstheme="minorBidi"/>
            <w:noProof/>
            <w:sz w:val="22"/>
            <w:szCs w:val="22"/>
          </w:rPr>
          <w:tab/>
        </w:r>
        <w:r w:rsidR="00344AC0" w:rsidRPr="00A4461B">
          <w:rPr>
            <w:rStyle w:val="Hyperlink"/>
            <w:noProof/>
          </w:rPr>
          <w:t>System Model</w:t>
        </w:r>
        <w:r w:rsidR="00344AC0">
          <w:rPr>
            <w:noProof/>
            <w:webHidden/>
          </w:rPr>
          <w:tab/>
        </w:r>
        <w:r>
          <w:rPr>
            <w:noProof/>
            <w:webHidden/>
          </w:rPr>
          <w:fldChar w:fldCharType="begin"/>
        </w:r>
        <w:r w:rsidR="00344AC0">
          <w:rPr>
            <w:noProof/>
            <w:webHidden/>
          </w:rPr>
          <w:instrText xml:space="preserve"> PAGEREF _Toc276457220 \h </w:instrText>
        </w:r>
        <w:r>
          <w:rPr>
            <w:noProof/>
            <w:webHidden/>
          </w:rPr>
        </w:r>
        <w:r>
          <w:rPr>
            <w:noProof/>
            <w:webHidden/>
          </w:rPr>
          <w:fldChar w:fldCharType="separate"/>
        </w:r>
        <w:r w:rsidR="00524EF7">
          <w:rPr>
            <w:noProof/>
            <w:webHidden/>
          </w:rPr>
          <w:t>8</w:t>
        </w:r>
        <w:r>
          <w:rPr>
            <w:noProof/>
            <w:webHidden/>
          </w:rPr>
          <w:fldChar w:fldCharType="end"/>
        </w:r>
      </w:hyperlink>
    </w:p>
    <w:p w:rsidR="00344AC0" w:rsidRDefault="00442666">
      <w:pPr>
        <w:pStyle w:val="TOC3"/>
        <w:tabs>
          <w:tab w:val="left" w:pos="1100"/>
        </w:tabs>
        <w:rPr>
          <w:rFonts w:asciiTheme="minorHAnsi" w:eastAsiaTheme="minorEastAsia" w:hAnsiTheme="minorHAnsi" w:cstheme="minorBidi"/>
          <w:noProof/>
          <w:sz w:val="22"/>
          <w:szCs w:val="22"/>
        </w:rPr>
      </w:pPr>
      <w:hyperlink w:anchor="_Toc276457221" w:history="1">
        <w:r w:rsidR="00344AC0" w:rsidRPr="00A4461B">
          <w:rPr>
            <w:rStyle w:val="Hyperlink"/>
            <w:noProof/>
          </w:rPr>
          <w:t>3.1.1.</w:t>
        </w:r>
        <w:r w:rsidR="00344AC0">
          <w:rPr>
            <w:rFonts w:asciiTheme="minorHAnsi" w:eastAsiaTheme="minorEastAsia" w:hAnsiTheme="minorHAnsi" w:cstheme="minorBidi"/>
            <w:noProof/>
            <w:sz w:val="22"/>
            <w:szCs w:val="22"/>
          </w:rPr>
          <w:tab/>
        </w:r>
        <w:r w:rsidR="00344AC0" w:rsidRPr="00A4461B">
          <w:rPr>
            <w:rStyle w:val="Hyperlink"/>
            <w:noProof/>
          </w:rPr>
          <w:t>Conventional Generation Modeling</w:t>
        </w:r>
        <w:r w:rsidR="00344AC0">
          <w:rPr>
            <w:noProof/>
            <w:webHidden/>
          </w:rPr>
          <w:tab/>
        </w:r>
        <w:r>
          <w:rPr>
            <w:noProof/>
            <w:webHidden/>
          </w:rPr>
          <w:fldChar w:fldCharType="begin"/>
        </w:r>
        <w:r w:rsidR="00344AC0">
          <w:rPr>
            <w:noProof/>
            <w:webHidden/>
          </w:rPr>
          <w:instrText xml:space="preserve"> PAGEREF _Toc276457221 \h </w:instrText>
        </w:r>
        <w:r>
          <w:rPr>
            <w:noProof/>
            <w:webHidden/>
          </w:rPr>
        </w:r>
        <w:r>
          <w:rPr>
            <w:noProof/>
            <w:webHidden/>
          </w:rPr>
          <w:fldChar w:fldCharType="separate"/>
        </w:r>
        <w:r w:rsidR="00524EF7">
          <w:rPr>
            <w:noProof/>
            <w:webHidden/>
          </w:rPr>
          <w:t>8</w:t>
        </w:r>
        <w:r>
          <w:rPr>
            <w:noProof/>
            <w:webHidden/>
          </w:rPr>
          <w:fldChar w:fldCharType="end"/>
        </w:r>
      </w:hyperlink>
    </w:p>
    <w:p w:rsidR="00344AC0" w:rsidRDefault="00442666">
      <w:pPr>
        <w:pStyle w:val="TOC3"/>
        <w:tabs>
          <w:tab w:val="left" w:pos="1100"/>
        </w:tabs>
        <w:rPr>
          <w:rFonts w:asciiTheme="minorHAnsi" w:eastAsiaTheme="minorEastAsia" w:hAnsiTheme="minorHAnsi" w:cstheme="minorBidi"/>
          <w:noProof/>
          <w:sz w:val="22"/>
          <w:szCs w:val="22"/>
        </w:rPr>
      </w:pPr>
      <w:hyperlink w:anchor="_Toc276457222" w:history="1">
        <w:r w:rsidR="00344AC0" w:rsidRPr="00A4461B">
          <w:rPr>
            <w:rStyle w:val="Hyperlink"/>
            <w:noProof/>
          </w:rPr>
          <w:t>3.1.2.</w:t>
        </w:r>
        <w:r w:rsidR="00344AC0">
          <w:rPr>
            <w:rFonts w:asciiTheme="minorHAnsi" w:eastAsiaTheme="minorEastAsia" w:hAnsiTheme="minorHAnsi" w:cstheme="minorBidi"/>
            <w:noProof/>
            <w:sz w:val="22"/>
            <w:szCs w:val="22"/>
          </w:rPr>
          <w:tab/>
        </w:r>
        <w:r w:rsidR="00344AC0" w:rsidRPr="00A4461B">
          <w:rPr>
            <w:rStyle w:val="Hyperlink"/>
            <w:noProof/>
          </w:rPr>
          <w:t>Wind Modeling</w:t>
        </w:r>
        <w:r w:rsidR="00344AC0">
          <w:rPr>
            <w:noProof/>
            <w:webHidden/>
          </w:rPr>
          <w:tab/>
        </w:r>
        <w:r>
          <w:rPr>
            <w:noProof/>
            <w:webHidden/>
          </w:rPr>
          <w:fldChar w:fldCharType="begin"/>
        </w:r>
        <w:r w:rsidR="00344AC0">
          <w:rPr>
            <w:noProof/>
            <w:webHidden/>
          </w:rPr>
          <w:instrText xml:space="preserve"> PAGEREF _Toc276457222 \h </w:instrText>
        </w:r>
        <w:r>
          <w:rPr>
            <w:noProof/>
            <w:webHidden/>
          </w:rPr>
        </w:r>
        <w:r>
          <w:rPr>
            <w:noProof/>
            <w:webHidden/>
          </w:rPr>
          <w:fldChar w:fldCharType="separate"/>
        </w:r>
        <w:r w:rsidR="00524EF7">
          <w:rPr>
            <w:noProof/>
            <w:webHidden/>
          </w:rPr>
          <w:t>10</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23" w:history="1">
        <w:r w:rsidR="00344AC0" w:rsidRPr="00A4461B">
          <w:rPr>
            <w:rStyle w:val="Hyperlink"/>
            <w:noProof/>
          </w:rPr>
          <w:t>3.2.</w:t>
        </w:r>
        <w:r w:rsidR="00344AC0">
          <w:rPr>
            <w:rFonts w:asciiTheme="minorHAnsi" w:eastAsiaTheme="minorEastAsia" w:hAnsiTheme="minorHAnsi" w:cstheme="minorBidi"/>
            <w:noProof/>
            <w:sz w:val="22"/>
            <w:szCs w:val="22"/>
          </w:rPr>
          <w:tab/>
        </w:r>
        <w:r w:rsidR="00344AC0" w:rsidRPr="00A4461B">
          <w:rPr>
            <w:rStyle w:val="Hyperlink"/>
            <w:noProof/>
          </w:rPr>
          <w:t>Simulation</w:t>
        </w:r>
        <w:r w:rsidR="00344AC0">
          <w:rPr>
            <w:noProof/>
            <w:webHidden/>
          </w:rPr>
          <w:tab/>
        </w:r>
        <w:r>
          <w:rPr>
            <w:noProof/>
            <w:webHidden/>
          </w:rPr>
          <w:fldChar w:fldCharType="begin"/>
        </w:r>
        <w:r w:rsidR="00344AC0">
          <w:rPr>
            <w:noProof/>
            <w:webHidden/>
          </w:rPr>
          <w:instrText xml:space="preserve"> PAGEREF _Toc276457223 \h </w:instrText>
        </w:r>
        <w:r>
          <w:rPr>
            <w:noProof/>
            <w:webHidden/>
          </w:rPr>
        </w:r>
        <w:r>
          <w:rPr>
            <w:noProof/>
            <w:webHidden/>
          </w:rPr>
          <w:fldChar w:fldCharType="separate"/>
        </w:r>
        <w:r w:rsidR="00524EF7">
          <w:rPr>
            <w:noProof/>
            <w:webHidden/>
          </w:rPr>
          <w:t>11</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24" w:history="1">
        <w:r w:rsidR="00344AC0" w:rsidRPr="00A4461B">
          <w:rPr>
            <w:rStyle w:val="Hyperlink"/>
            <w:noProof/>
          </w:rPr>
          <w:t>3.3.</w:t>
        </w:r>
        <w:r w:rsidR="00344AC0">
          <w:rPr>
            <w:rFonts w:asciiTheme="minorHAnsi" w:eastAsiaTheme="minorEastAsia" w:hAnsiTheme="minorHAnsi" w:cstheme="minorBidi"/>
            <w:noProof/>
            <w:sz w:val="22"/>
            <w:szCs w:val="22"/>
          </w:rPr>
          <w:tab/>
        </w:r>
        <w:r w:rsidR="00344AC0" w:rsidRPr="00A4461B">
          <w:rPr>
            <w:rStyle w:val="Hyperlink"/>
            <w:noProof/>
          </w:rPr>
          <w:t>Stopping Criteria</w:t>
        </w:r>
        <w:r w:rsidR="00344AC0">
          <w:rPr>
            <w:noProof/>
            <w:webHidden/>
          </w:rPr>
          <w:tab/>
        </w:r>
        <w:r>
          <w:rPr>
            <w:noProof/>
            <w:webHidden/>
          </w:rPr>
          <w:fldChar w:fldCharType="begin"/>
        </w:r>
        <w:r w:rsidR="00344AC0">
          <w:rPr>
            <w:noProof/>
            <w:webHidden/>
          </w:rPr>
          <w:instrText xml:space="preserve"> PAGEREF _Toc276457224 \h </w:instrText>
        </w:r>
        <w:r>
          <w:rPr>
            <w:noProof/>
            <w:webHidden/>
          </w:rPr>
        </w:r>
        <w:r>
          <w:rPr>
            <w:noProof/>
            <w:webHidden/>
          </w:rPr>
          <w:fldChar w:fldCharType="separate"/>
        </w:r>
        <w:r w:rsidR="00524EF7">
          <w:rPr>
            <w:noProof/>
            <w:webHidden/>
          </w:rPr>
          <w:t>12</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25" w:history="1">
        <w:r w:rsidR="00344AC0" w:rsidRPr="00A4461B">
          <w:rPr>
            <w:rStyle w:val="Hyperlink"/>
            <w:noProof/>
          </w:rPr>
          <w:t>3.4.</w:t>
        </w:r>
        <w:r w:rsidR="00344AC0">
          <w:rPr>
            <w:rFonts w:asciiTheme="minorHAnsi" w:eastAsiaTheme="minorEastAsia" w:hAnsiTheme="minorHAnsi" w:cstheme="minorBidi"/>
            <w:noProof/>
            <w:sz w:val="22"/>
            <w:szCs w:val="22"/>
          </w:rPr>
          <w:tab/>
        </w:r>
        <w:r w:rsidR="00344AC0" w:rsidRPr="00A4461B">
          <w:rPr>
            <w:rStyle w:val="Hyperlink"/>
            <w:noProof/>
          </w:rPr>
          <w:t>Estimation of ELCC</w:t>
        </w:r>
        <w:r w:rsidR="00344AC0">
          <w:rPr>
            <w:noProof/>
            <w:webHidden/>
          </w:rPr>
          <w:tab/>
        </w:r>
        <w:r>
          <w:rPr>
            <w:noProof/>
            <w:webHidden/>
          </w:rPr>
          <w:fldChar w:fldCharType="begin"/>
        </w:r>
        <w:r w:rsidR="00344AC0">
          <w:rPr>
            <w:noProof/>
            <w:webHidden/>
          </w:rPr>
          <w:instrText xml:space="preserve"> PAGEREF _Toc276457225 \h </w:instrText>
        </w:r>
        <w:r>
          <w:rPr>
            <w:noProof/>
            <w:webHidden/>
          </w:rPr>
        </w:r>
        <w:r>
          <w:rPr>
            <w:noProof/>
            <w:webHidden/>
          </w:rPr>
          <w:fldChar w:fldCharType="separate"/>
        </w:r>
        <w:r w:rsidR="00524EF7">
          <w:rPr>
            <w:noProof/>
            <w:webHidden/>
          </w:rPr>
          <w:t>13</w:t>
        </w:r>
        <w:r>
          <w:rPr>
            <w:noProof/>
            <w:webHidden/>
          </w:rPr>
          <w:fldChar w:fldCharType="end"/>
        </w:r>
      </w:hyperlink>
    </w:p>
    <w:p w:rsidR="00344AC0" w:rsidRDefault="00442666">
      <w:pPr>
        <w:pStyle w:val="TOC1"/>
        <w:rPr>
          <w:rFonts w:asciiTheme="minorHAnsi" w:eastAsiaTheme="minorEastAsia" w:hAnsiTheme="minorHAnsi" w:cstheme="minorBidi"/>
          <w:sz w:val="22"/>
          <w:szCs w:val="22"/>
        </w:rPr>
      </w:pPr>
      <w:hyperlink w:anchor="_Toc276457226" w:history="1">
        <w:r w:rsidR="00344AC0" w:rsidRPr="00A4461B">
          <w:rPr>
            <w:rStyle w:val="Hyperlink"/>
          </w:rPr>
          <w:t>4.</w:t>
        </w:r>
        <w:r w:rsidR="00344AC0">
          <w:rPr>
            <w:rFonts w:asciiTheme="minorHAnsi" w:eastAsiaTheme="minorEastAsia" w:hAnsiTheme="minorHAnsi" w:cstheme="minorBidi"/>
            <w:sz w:val="22"/>
            <w:szCs w:val="22"/>
          </w:rPr>
          <w:tab/>
        </w:r>
        <w:r w:rsidR="00344AC0" w:rsidRPr="00A4461B">
          <w:rPr>
            <w:rStyle w:val="Hyperlink"/>
          </w:rPr>
          <w:t>RESULTS AND CONCLUSION</w:t>
        </w:r>
        <w:r w:rsidR="00344AC0">
          <w:rPr>
            <w:webHidden/>
          </w:rPr>
          <w:tab/>
        </w:r>
        <w:r>
          <w:rPr>
            <w:webHidden/>
          </w:rPr>
          <w:fldChar w:fldCharType="begin"/>
        </w:r>
        <w:r w:rsidR="00344AC0">
          <w:rPr>
            <w:webHidden/>
          </w:rPr>
          <w:instrText xml:space="preserve"> PAGEREF _Toc276457226 \h </w:instrText>
        </w:r>
        <w:r>
          <w:rPr>
            <w:webHidden/>
          </w:rPr>
        </w:r>
        <w:r>
          <w:rPr>
            <w:webHidden/>
          </w:rPr>
          <w:fldChar w:fldCharType="separate"/>
        </w:r>
        <w:r w:rsidR="00524EF7">
          <w:rPr>
            <w:webHidden/>
          </w:rPr>
          <w:t>15</w:t>
        </w:r>
        <w:r>
          <w:rPr>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27" w:history="1">
        <w:r w:rsidR="00344AC0" w:rsidRPr="00A4461B">
          <w:rPr>
            <w:rStyle w:val="Hyperlink"/>
            <w:noProof/>
          </w:rPr>
          <w:t>4.1.</w:t>
        </w:r>
        <w:r w:rsidR="00344AC0">
          <w:rPr>
            <w:rFonts w:asciiTheme="minorHAnsi" w:eastAsiaTheme="minorEastAsia" w:hAnsiTheme="minorHAnsi" w:cstheme="minorBidi"/>
            <w:noProof/>
            <w:sz w:val="22"/>
            <w:szCs w:val="22"/>
          </w:rPr>
          <w:tab/>
        </w:r>
        <w:r w:rsidR="00344AC0" w:rsidRPr="00A4461B">
          <w:rPr>
            <w:rStyle w:val="Hyperlink"/>
            <w:noProof/>
          </w:rPr>
          <w:t>Study Output</w:t>
        </w:r>
        <w:r w:rsidR="00344AC0">
          <w:rPr>
            <w:noProof/>
            <w:webHidden/>
          </w:rPr>
          <w:tab/>
        </w:r>
        <w:r>
          <w:rPr>
            <w:noProof/>
            <w:webHidden/>
          </w:rPr>
          <w:fldChar w:fldCharType="begin"/>
        </w:r>
        <w:r w:rsidR="00344AC0">
          <w:rPr>
            <w:noProof/>
            <w:webHidden/>
          </w:rPr>
          <w:instrText xml:space="preserve"> PAGEREF _Toc276457227 \h </w:instrText>
        </w:r>
        <w:r>
          <w:rPr>
            <w:noProof/>
            <w:webHidden/>
          </w:rPr>
        </w:r>
        <w:r>
          <w:rPr>
            <w:noProof/>
            <w:webHidden/>
          </w:rPr>
          <w:fldChar w:fldCharType="separate"/>
        </w:r>
        <w:r w:rsidR="00524EF7">
          <w:rPr>
            <w:noProof/>
            <w:webHidden/>
          </w:rPr>
          <w:t>15</w:t>
        </w:r>
        <w:r>
          <w:rPr>
            <w:noProof/>
            <w:webHidden/>
          </w:rPr>
          <w:fldChar w:fldCharType="end"/>
        </w:r>
      </w:hyperlink>
    </w:p>
    <w:p w:rsidR="00344AC0" w:rsidRDefault="00442666">
      <w:pPr>
        <w:pStyle w:val="TOC2"/>
        <w:rPr>
          <w:rFonts w:asciiTheme="minorHAnsi" w:eastAsiaTheme="minorEastAsia" w:hAnsiTheme="minorHAnsi" w:cstheme="minorBidi"/>
          <w:noProof/>
          <w:sz w:val="22"/>
          <w:szCs w:val="22"/>
        </w:rPr>
      </w:pPr>
      <w:hyperlink w:anchor="_Toc276457228" w:history="1">
        <w:r w:rsidR="00344AC0" w:rsidRPr="00A4461B">
          <w:rPr>
            <w:rStyle w:val="Hyperlink"/>
            <w:noProof/>
          </w:rPr>
          <w:t>4.2.</w:t>
        </w:r>
        <w:r w:rsidR="00344AC0">
          <w:rPr>
            <w:rFonts w:asciiTheme="minorHAnsi" w:eastAsiaTheme="minorEastAsia" w:hAnsiTheme="minorHAnsi" w:cstheme="minorBidi"/>
            <w:noProof/>
            <w:sz w:val="22"/>
            <w:szCs w:val="22"/>
          </w:rPr>
          <w:tab/>
        </w:r>
        <w:r w:rsidR="00344AC0" w:rsidRPr="00A4461B">
          <w:rPr>
            <w:rStyle w:val="Hyperlink"/>
            <w:noProof/>
          </w:rPr>
          <w:t>Comparison with the 2007 study by Global Energy Decisions</w:t>
        </w:r>
        <w:r w:rsidR="00344AC0">
          <w:rPr>
            <w:noProof/>
            <w:webHidden/>
          </w:rPr>
          <w:tab/>
        </w:r>
        <w:r>
          <w:rPr>
            <w:noProof/>
            <w:webHidden/>
          </w:rPr>
          <w:fldChar w:fldCharType="begin"/>
        </w:r>
        <w:r w:rsidR="00344AC0">
          <w:rPr>
            <w:noProof/>
            <w:webHidden/>
          </w:rPr>
          <w:instrText xml:space="preserve"> PAGEREF _Toc276457228 \h </w:instrText>
        </w:r>
        <w:r>
          <w:rPr>
            <w:noProof/>
            <w:webHidden/>
          </w:rPr>
        </w:r>
        <w:r>
          <w:rPr>
            <w:noProof/>
            <w:webHidden/>
          </w:rPr>
          <w:fldChar w:fldCharType="separate"/>
        </w:r>
        <w:r w:rsidR="00524EF7">
          <w:rPr>
            <w:noProof/>
            <w:webHidden/>
          </w:rPr>
          <w:t>18</w:t>
        </w:r>
        <w:r>
          <w:rPr>
            <w:noProof/>
            <w:webHidden/>
          </w:rPr>
          <w:fldChar w:fldCharType="end"/>
        </w:r>
      </w:hyperlink>
    </w:p>
    <w:p w:rsidR="001F7C8D" w:rsidRDefault="00442666" w:rsidP="00D15AE7">
      <w:pPr>
        <w:tabs>
          <w:tab w:val="left" w:pos="360"/>
          <w:tab w:val="left" w:pos="450"/>
          <w:tab w:val="right" w:leader="dot" w:pos="9360"/>
        </w:tabs>
        <w:rPr>
          <w:sz w:val="21"/>
        </w:rPr>
        <w:sectPr w:rsidR="001F7C8D" w:rsidSect="003C5767">
          <w:headerReference w:type="even" r:id="rId13"/>
          <w:footerReference w:type="default" r:id="rId14"/>
          <w:headerReference w:type="first" r:id="rId15"/>
          <w:pgSz w:w="12240" w:h="15840"/>
          <w:pgMar w:top="1440" w:right="1440" w:bottom="1440" w:left="1440" w:header="720" w:footer="720" w:gutter="0"/>
          <w:pgNumType w:fmt="lowerRoman" w:start="1"/>
          <w:cols w:space="720"/>
          <w:docGrid w:linePitch="360"/>
        </w:sectPr>
      </w:pPr>
      <w:r>
        <w:rPr>
          <w:sz w:val="21"/>
        </w:rPr>
        <w:fldChar w:fldCharType="end"/>
      </w:r>
    </w:p>
    <w:p w:rsidR="00A9643B" w:rsidRPr="00406F12" w:rsidRDefault="00A9643B" w:rsidP="00A9643B">
      <w:pPr>
        <w:pStyle w:val="IntenseQuote"/>
        <w:ind w:left="0" w:right="0"/>
        <w:rPr>
          <w:rFonts w:ascii="Times New Roman" w:hAnsi="Times New Roman"/>
          <w:sz w:val="36"/>
        </w:rPr>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19743311"/>
      <w:bookmarkStart w:id="249" w:name="_Toc12723646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406F12">
        <w:rPr>
          <w:rFonts w:ascii="Times New Roman" w:hAnsi="Times New Roman"/>
          <w:sz w:val="32"/>
        </w:rPr>
        <w:lastRenderedPageBreak/>
        <w:t>EXECUTIVE SUMMARY</w:t>
      </w:r>
    </w:p>
    <w:p w:rsidR="00A9643B" w:rsidRDefault="00A9643B" w:rsidP="00A9643B">
      <w:pPr>
        <w:spacing w:line="360" w:lineRule="auto"/>
        <w:ind w:firstLine="720"/>
        <w:jc w:val="both"/>
      </w:pPr>
    </w:p>
    <w:p w:rsidR="00A9643B" w:rsidRDefault="00A9643B" w:rsidP="00A9643B">
      <w:pPr>
        <w:spacing w:line="360" w:lineRule="auto"/>
        <w:ind w:firstLine="720"/>
        <w:jc w:val="both"/>
      </w:pPr>
      <w:r>
        <w:t xml:space="preserve">ERCOT 2010 Target Reserve Margin Study is an analysis to quantify the impact of system volatility on reserve levels and reliability.  This analysis is performed on a biennial basis to review the appropriateness, given changes to the ERCOT system, of the target reserve margin level used to evaluate resource adequacy in ERCOT.  System volatilities such as generator outages and </w:t>
      </w:r>
      <w:proofErr w:type="spellStart"/>
      <w:r>
        <w:t>derating</w:t>
      </w:r>
      <w:proofErr w:type="spellEnd"/>
      <w:r>
        <w:t xml:space="preserve">, load forecast uncertainties and intermittent nature of wind were studied. Reliability indices such as Loss of Load Events, Loss of Load Hours and Expected </w:t>
      </w:r>
      <w:proofErr w:type="spellStart"/>
      <w:r>
        <w:t>Unserved</w:t>
      </w:r>
      <w:proofErr w:type="spellEnd"/>
      <w:r>
        <w:t xml:space="preserve"> Energy for various levels of reserve margins were obtained </w:t>
      </w:r>
    </w:p>
    <w:p w:rsidR="00A9643B" w:rsidRDefault="00A9643B" w:rsidP="00A9643B">
      <w:pPr>
        <w:spacing w:line="360" w:lineRule="auto"/>
        <w:ind w:firstLine="720"/>
        <w:jc w:val="both"/>
      </w:pPr>
      <w:r>
        <w:t xml:space="preserve">Generator outages were modeled sequentially using random draws from two exponential distributions. Mean Time to Failure and Mean Time to Repair for each of generators were used to build sequences of generator availability and unavailability respectively. </w:t>
      </w:r>
      <w:r w:rsidR="00425BF4">
        <w:t xml:space="preserve"> For each scenario, t</w:t>
      </w:r>
      <w:r>
        <w:t xml:space="preserve">he simulation was iterated </w:t>
      </w:r>
      <w:r w:rsidR="00E30C7D">
        <w:t xml:space="preserve">sufficiently to achieve </w:t>
      </w:r>
      <w:r w:rsidR="00425BF4">
        <w:t>established stopping criteria</w:t>
      </w:r>
      <w:r>
        <w:t>.</w:t>
      </w:r>
    </w:p>
    <w:p w:rsidR="00A9643B" w:rsidRDefault="00A9643B" w:rsidP="00A9643B">
      <w:pPr>
        <w:spacing w:line="360" w:lineRule="auto"/>
        <w:ind w:firstLine="720"/>
        <w:jc w:val="both"/>
      </w:pPr>
      <w:r>
        <w:t xml:space="preserve">Load forecast uncertainties </w:t>
      </w:r>
      <w:r w:rsidR="00E30C7D">
        <w:t xml:space="preserve">due to weather </w:t>
      </w:r>
      <w:r>
        <w:t>were studied by running Monte Carlo simulation for five different load scenarios – extreme summer, warmer than average, average, cooler than average and much cooler than average. Each of these scenarios was assigned a probability of occurrence</w:t>
      </w:r>
      <w:r w:rsidR="00E30C7D">
        <w:t xml:space="preserve">.  </w:t>
      </w:r>
      <w:r w:rsidR="00FE2AF5">
        <w:t>All l</w:t>
      </w:r>
      <w:r w:rsidR="00E30C7D">
        <w:t>oad scenarios were developed using</w:t>
      </w:r>
      <w:r>
        <w:t xml:space="preserve"> Moody’s base economic forecast. </w:t>
      </w:r>
    </w:p>
    <w:p w:rsidR="00A9643B" w:rsidRDefault="00A9643B" w:rsidP="00A9643B">
      <w:pPr>
        <w:spacing w:line="360" w:lineRule="auto"/>
        <w:ind w:firstLine="720"/>
        <w:jc w:val="both"/>
      </w:pPr>
      <w:r>
        <w:t xml:space="preserve">Due to the inherent variability of wind powered generation on the ERCOT System, the availability of </w:t>
      </w:r>
      <w:r w:rsidRPr="002C3591">
        <w:t xml:space="preserve">wind power </w:t>
      </w:r>
      <w:r>
        <w:t>generation needed to be treated differently than the availability of conventional generators</w:t>
      </w:r>
      <w:r w:rsidRPr="00C15BFC">
        <w:t xml:space="preserve"> </w:t>
      </w:r>
      <w:r w:rsidRPr="002C3591">
        <w:t>in reserve margin calculations</w:t>
      </w:r>
      <w:r>
        <w:t xml:space="preserve">.  The </w:t>
      </w:r>
      <w:r w:rsidRPr="002C3591">
        <w:rPr>
          <w:i/>
        </w:rPr>
        <w:t xml:space="preserve">Effective Load Carrying Capability </w:t>
      </w:r>
      <w:r w:rsidRPr="002C3591">
        <w:t>(ELCC)</w:t>
      </w:r>
      <w:r>
        <w:t xml:space="preserve"> concept for variable resources like wind was introduced</w:t>
      </w:r>
      <w:r w:rsidR="00524EF7">
        <w:t xml:space="preserve"> for this purpose</w:t>
      </w:r>
      <w:r>
        <w:t xml:space="preserve"> in the past studies</w:t>
      </w:r>
      <w:r w:rsidRPr="002C3591">
        <w:t xml:space="preserve">. </w:t>
      </w:r>
      <w:r>
        <w:t>ELCC</w:t>
      </w:r>
      <w:r w:rsidRPr="002C3591">
        <w:t xml:space="preserve"> indicates the percentage of the total nameplate capacity of wind that can be counted tow</w:t>
      </w:r>
      <w:r>
        <w:t>ards the calculation of the reserve margin</w:t>
      </w:r>
      <w:r w:rsidRPr="002C3591">
        <w:t>.</w:t>
      </w:r>
      <w:r>
        <w:t xml:space="preserve"> ELCC was evaluated by comparing the relative reliability of the installed or planned wind generation to the reliability of the </w:t>
      </w:r>
      <w:r w:rsidR="00524EF7">
        <w:t xml:space="preserve">planned </w:t>
      </w:r>
      <w:r>
        <w:t xml:space="preserve">2012 fleet on an annual basis.  Wind profiles developed by AWS </w:t>
      </w:r>
      <w:proofErr w:type="spellStart"/>
      <w:r>
        <w:t>Truewind</w:t>
      </w:r>
      <w:proofErr w:type="spellEnd"/>
      <w:r>
        <w:t xml:space="preserve"> for ERCOT CREZ study were used in this analysis.  </w:t>
      </w:r>
    </w:p>
    <w:p w:rsidR="00FE2AF5" w:rsidRDefault="00A9643B" w:rsidP="00A9643B">
      <w:pPr>
        <w:spacing w:line="360" w:lineRule="auto"/>
        <w:ind w:firstLine="720"/>
        <w:jc w:val="both"/>
      </w:pPr>
      <w:r>
        <w:t>The ELCC of wind resources was calculated to be 12.2%.  The ERCOT target reserve margin, based on a 0.1 L</w:t>
      </w:r>
      <w:r w:rsidR="00425BF4">
        <w:t>oss of Load Events</w:t>
      </w:r>
      <w:r>
        <w:t xml:space="preserve"> metric that is equivalent to the “one day in ten years” metric that has traditionally been used in the industry, was found to be 13.75%.</w:t>
      </w:r>
    </w:p>
    <w:p w:rsidR="00FE2AF5" w:rsidRDefault="00FE2AF5" w:rsidP="00A9643B">
      <w:pPr>
        <w:spacing w:line="360" w:lineRule="auto"/>
        <w:ind w:firstLine="720"/>
        <w:jc w:val="both"/>
        <w:sectPr w:rsidR="00FE2AF5" w:rsidSect="003C5767">
          <w:headerReference w:type="even" r:id="rId16"/>
          <w:footerReference w:type="default" r:id="rId17"/>
          <w:headerReference w:type="first" r:id="rId18"/>
          <w:pgSz w:w="12240" w:h="15840"/>
          <w:pgMar w:top="1440" w:right="1440" w:bottom="1440" w:left="1440" w:header="720" w:footer="720" w:gutter="0"/>
          <w:pgNumType w:start="1"/>
          <w:cols w:space="720"/>
          <w:docGrid w:linePitch="360"/>
        </w:sectPr>
      </w:pPr>
    </w:p>
    <w:p w:rsidR="00A9643B" w:rsidRDefault="00A9643B" w:rsidP="00A9643B">
      <w:pPr>
        <w:spacing w:line="360" w:lineRule="auto"/>
        <w:ind w:firstLine="720"/>
        <w:jc w:val="both"/>
      </w:pPr>
    </w:p>
    <w:p w:rsidR="00A9643B" w:rsidRPr="00406F12" w:rsidRDefault="00A9643B" w:rsidP="00FE2AF5">
      <w:pPr>
        <w:pStyle w:val="Heading1"/>
      </w:pPr>
      <w:bookmarkStart w:id="250" w:name="_Toc276457208"/>
      <w:r w:rsidRPr="00FE2AF5">
        <w:t>INTRODUCTION</w:t>
      </w:r>
      <w:bookmarkEnd w:id="250"/>
    </w:p>
    <w:p w:rsidR="00A9643B" w:rsidRPr="002C3591" w:rsidRDefault="00A9643B" w:rsidP="00A9643B">
      <w:pPr>
        <w:spacing w:line="360" w:lineRule="auto"/>
        <w:ind w:firstLine="720"/>
        <w:jc w:val="both"/>
      </w:pPr>
      <w:r w:rsidRPr="002C3591">
        <w:t xml:space="preserve">The </w:t>
      </w:r>
      <w:r w:rsidRPr="002C3591">
        <w:rPr>
          <w:i/>
        </w:rPr>
        <w:t xml:space="preserve">ERCOT 2010 Target Reserve Margin </w:t>
      </w:r>
      <w:r>
        <w:rPr>
          <w:i/>
        </w:rPr>
        <w:t>Study</w:t>
      </w:r>
      <w:r w:rsidRPr="002C3591">
        <w:t xml:space="preserve"> </w:t>
      </w:r>
      <w:r>
        <w:t>is an analysis to</w:t>
      </w:r>
      <w:r w:rsidRPr="002C3591">
        <w:t xml:space="preserve"> </w:t>
      </w:r>
      <w:r w:rsidRPr="002C3591">
        <w:rPr>
          <w:bCs/>
        </w:rPr>
        <w:t>evaluat</w:t>
      </w:r>
      <w:r>
        <w:rPr>
          <w:bCs/>
        </w:rPr>
        <w:t>e</w:t>
      </w:r>
      <w:r w:rsidRPr="002C3591">
        <w:rPr>
          <w:bCs/>
        </w:rPr>
        <w:t xml:space="preserve"> the impact of system volatility on the relationship between generation reserve levels and system reliability</w:t>
      </w:r>
      <w:r w:rsidRPr="002C3591">
        <w:t xml:space="preserve">. A power system, in general, is volatile </w:t>
      </w:r>
      <w:r w:rsidR="00721C08">
        <w:t xml:space="preserve">from a resource adequacy perspective due to </w:t>
      </w:r>
      <w:r w:rsidRPr="002C3591">
        <w:t xml:space="preserve">several </w:t>
      </w:r>
      <w:proofErr w:type="gramStart"/>
      <w:r>
        <w:t>primary</w:t>
      </w:r>
      <w:proofErr w:type="gramEnd"/>
      <w:r>
        <w:t>:</w:t>
      </w:r>
      <w:r w:rsidRPr="002C3591">
        <w:t xml:space="preserve"> the forced outage and de-rating of generating facilities</w:t>
      </w:r>
      <w:r>
        <w:t>;</w:t>
      </w:r>
      <w:r w:rsidRPr="002C3591">
        <w:t xml:space="preserve"> the load forecast uncertainty related to weather</w:t>
      </w:r>
      <w:r>
        <w:t>;</w:t>
      </w:r>
      <w:r w:rsidRPr="002C3591">
        <w:t xml:space="preserve"> and</w:t>
      </w:r>
      <w:r>
        <w:t>,</w:t>
      </w:r>
      <w:r w:rsidRPr="002C3591">
        <w:t xml:space="preserve"> the intermittent nature of wind power. At the same time a power system needs to maintain </w:t>
      </w:r>
      <w:r>
        <w:t xml:space="preserve">an adequate level of </w:t>
      </w:r>
      <w:r w:rsidRPr="002C3591">
        <w:t xml:space="preserve">reliability. To cope with system volatility while maintaining </w:t>
      </w:r>
      <w:r>
        <w:t xml:space="preserve">adequate </w:t>
      </w:r>
      <w:r w:rsidRPr="002C3591">
        <w:t>reliability</w:t>
      </w:r>
      <w:r>
        <w:t>,</w:t>
      </w:r>
      <w:r w:rsidRPr="002C3591">
        <w:t xml:space="preserve"> an appropriate </w:t>
      </w:r>
      <w:r>
        <w:t>level</w:t>
      </w:r>
      <w:r w:rsidRPr="002C3591">
        <w:t xml:space="preserve"> of generation reserve</w:t>
      </w:r>
      <w:r>
        <w:t>s</w:t>
      </w:r>
      <w:r w:rsidRPr="002C3591">
        <w:t xml:space="preserve"> need</w:t>
      </w:r>
      <w:r w:rsidR="00721C08">
        <w:t>s</w:t>
      </w:r>
      <w:r w:rsidRPr="002C3591">
        <w:t xml:space="preserve"> to be maintained</w:t>
      </w:r>
      <w:r>
        <w:t xml:space="preserve"> in the planning timeframe</w:t>
      </w:r>
      <w:r w:rsidRPr="002C3591">
        <w:t xml:space="preserve">. </w:t>
      </w:r>
    </w:p>
    <w:p w:rsidR="00A9643B" w:rsidRPr="002C3591" w:rsidRDefault="00A9643B" w:rsidP="00A9643B">
      <w:pPr>
        <w:spacing w:line="360" w:lineRule="auto"/>
        <w:ind w:firstLine="720"/>
        <w:jc w:val="both"/>
      </w:pPr>
      <w:r w:rsidRPr="002C3591">
        <w:t>Historically</w:t>
      </w:r>
      <w:r>
        <w:t>,</w:t>
      </w:r>
      <w:r w:rsidRPr="002C3591">
        <w:t xml:space="preserve"> reserve levels have been quantified </w:t>
      </w:r>
      <w:r>
        <w:t>in</w:t>
      </w:r>
      <w:r w:rsidRPr="002C3591">
        <w:t xml:space="preserve"> terms of a reserve margin. The reserve margin has been defined as the difference between </w:t>
      </w:r>
      <w:proofErr w:type="gramStart"/>
      <w:r>
        <w:t>nameplate</w:t>
      </w:r>
      <w:proofErr w:type="gramEnd"/>
      <w:r w:rsidRPr="002C3591">
        <w:t xml:space="preserve"> installed capacity and annual peak load as a percentage of the annual peak load. </w:t>
      </w:r>
      <w:r>
        <w:t xml:space="preserve">This reserve margin calculation is used as a proxy to assess the level of reserves necessary to meet an adequately reliable level of resource adequacy over the course of a year.  </w:t>
      </w:r>
      <w:r w:rsidR="00C92FA0">
        <w:t>The s</w:t>
      </w:r>
      <w:r w:rsidRPr="002C3591">
        <w:t>cope of this study is to assess what the appropriate (target) reserve margin level</w:t>
      </w:r>
      <w:r w:rsidR="00C92FA0">
        <w:t xml:space="preserve"> is</w:t>
      </w:r>
      <w:r w:rsidRPr="002C3591">
        <w:t xml:space="preserve"> for the ERCOT system for year 2012.</w:t>
      </w:r>
    </w:p>
    <w:p w:rsidR="00A9643B" w:rsidRPr="002C3591" w:rsidRDefault="00A9643B" w:rsidP="00A9643B">
      <w:pPr>
        <w:spacing w:line="360" w:lineRule="auto"/>
        <w:ind w:firstLine="720"/>
        <w:jc w:val="both"/>
      </w:pPr>
      <w:r w:rsidRPr="002C3591">
        <w:t xml:space="preserve">The ERCOT system has a considerable amount of wind </w:t>
      </w:r>
      <w:r>
        <w:t xml:space="preserve">power </w:t>
      </w:r>
      <w:r w:rsidRPr="002C3591">
        <w:t>resources. Due to the</w:t>
      </w:r>
      <w:r>
        <w:t xml:space="preserve"> variation of </w:t>
      </w:r>
      <w:r w:rsidRPr="002C3591">
        <w:t>wind power availability</w:t>
      </w:r>
      <w:r>
        <w:t xml:space="preserve"> these resources need to be treated differently than conventional generators</w:t>
      </w:r>
      <w:r w:rsidRPr="00C15BFC">
        <w:t xml:space="preserve"> </w:t>
      </w:r>
      <w:r w:rsidRPr="002C3591">
        <w:t>in reserve margin calculations</w:t>
      </w:r>
      <w:r>
        <w:t xml:space="preserve">. The concept of </w:t>
      </w:r>
      <w:r w:rsidRPr="002C3591">
        <w:rPr>
          <w:i/>
        </w:rPr>
        <w:t xml:space="preserve">Effective Load Carrying Capability </w:t>
      </w:r>
      <w:r w:rsidRPr="002C3591">
        <w:t>(ELCC) o</w:t>
      </w:r>
      <w:r>
        <w:t>f wind was introduced in past studies</w:t>
      </w:r>
      <w:r w:rsidRPr="002C3591">
        <w:t>.</w:t>
      </w:r>
      <w:r>
        <w:t xml:space="preserve"> </w:t>
      </w:r>
      <w:r w:rsidRPr="002C3591">
        <w:t xml:space="preserve"> </w:t>
      </w:r>
      <w:r>
        <w:t>ELCC</w:t>
      </w:r>
      <w:r w:rsidRPr="002C3591">
        <w:t xml:space="preserve"> indicates the percentage of the total nameplate capacity of wind that can be counted tow</w:t>
      </w:r>
      <w:r>
        <w:t>ards the calculation of the reserve margin and forms the basis for the level of wind generation that currently counts towards planning reserves in ERCOT</w:t>
      </w:r>
      <w:r w:rsidRPr="002C3591">
        <w:t>.</w:t>
      </w:r>
      <w:r>
        <w:t xml:space="preserve">  Estimating a value of the ELCC </w:t>
      </w:r>
      <w:r w:rsidR="00C92FA0">
        <w:t>is</w:t>
      </w:r>
      <w:r>
        <w:t xml:space="preserve"> a part of this study and is discussed in detail.</w:t>
      </w:r>
    </w:p>
    <w:p w:rsidR="00A9643B" w:rsidRPr="00E249B9" w:rsidRDefault="00374646" w:rsidP="00E249B9">
      <w:pPr>
        <w:pStyle w:val="Heading2"/>
        <w:rPr>
          <w:rStyle w:val="IntenseReference"/>
          <w:b/>
          <w:bCs/>
          <w:smallCaps w:val="0"/>
          <w:color w:val="auto"/>
          <w:spacing w:val="0"/>
          <w:u w:val="none"/>
        </w:rPr>
      </w:pPr>
      <w:bookmarkStart w:id="251" w:name="_Toc276457209"/>
      <w:r w:rsidRPr="00374646">
        <w:rPr>
          <w:rStyle w:val="IntenseReference"/>
          <w:b/>
          <w:bCs/>
          <w:smallCaps w:val="0"/>
          <w:color w:val="auto"/>
          <w:spacing w:val="0"/>
          <w:u w:val="none"/>
        </w:rPr>
        <w:t>Reliab</w:t>
      </w:r>
      <w:r w:rsidRPr="00374646">
        <w:t>ility</w:t>
      </w:r>
      <w:r w:rsidRPr="00374646">
        <w:rPr>
          <w:rStyle w:val="IntenseReference"/>
          <w:b/>
          <w:bCs/>
          <w:smallCaps w:val="0"/>
          <w:color w:val="auto"/>
          <w:spacing w:val="0"/>
          <w:u w:val="none"/>
        </w:rPr>
        <w:t xml:space="preserve"> Indices</w:t>
      </w:r>
      <w:bookmarkEnd w:id="251"/>
    </w:p>
    <w:p w:rsidR="00A9643B" w:rsidRDefault="00A9643B" w:rsidP="00A9643B">
      <w:pPr>
        <w:spacing w:line="360" w:lineRule="auto"/>
        <w:ind w:firstLine="720"/>
        <w:jc w:val="both"/>
        <w:rPr>
          <w:i/>
        </w:rPr>
      </w:pPr>
    </w:p>
    <w:p w:rsidR="00A9643B" w:rsidRPr="00BB042A" w:rsidRDefault="00A9643B" w:rsidP="00A9643B">
      <w:pPr>
        <w:tabs>
          <w:tab w:val="left" w:pos="0"/>
        </w:tabs>
        <w:autoSpaceDE w:val="0"/>
        <w:autoSpaceDN w:val="0"/>
        <w:adjustRightInd w:val="0"/>
        <w:spacing w:line="360" w:lineRule="auto"/>
        <w:ind w:firstLine="720"/>
        <w:jc w:val="both"/>
        <w:rPr>
          <w:rFonts w:eastAsia="TimesNewRoman"/>
        </w:rPr>
      </w:pPr>
      <w:r w:rsidRPr="00BB042A">
        <w:t xml:space="preserve">Reliability is the probability </w:t>
      </w:r>
      <w:r w:rsidRPr="00BB042A">
        <w:rPr>
          <w:rFonts w:eastAsia="TimesNewRoman"/>
        </w:rPr>
        <w:t>of a device or system performing its function adequately, for the period of time intended, under the operating conditions intended. The reliability of a power system pertains to</w:t>
      </w:r>
      <w:r>
        <w:rPr>
          <w:rFonts w:eastAsia="TimesNewRoman"/>
        </w:rPr>
        <w:t xml:space="preserve"> its ability to satisfy its</w:t>
      </w:r>
      <w:r w:rsidRPr="00BB042A">
        <w:rPr>
          <w:rFonts w:eastAsia="TimesNewRoman"/>
        </w:rPr>
        <w:t xml:space="preserve"> demand under the specified operating conditions and </w:t>
      </w:r>
      <w:r w:rsidRPr="00BB042A">
        <w:rPr>
          <w:rFonts w:eastAsia="TimesNewRoman"/>
        </w:rPr>
        <w:lastRenderedPageBreak/>
        <w:t xml:space="preserve">supporting policies. </w:t>
      </w:r>
      <w:r>
        <w:rPr>
          <w:rFonts w:eastAsia="TimesNewRoman"/>
        </w:rPr>
        <w:t>For the purpose of quantifying the reliability of a power system</w:t>
      </w:r>
      <w:r w:rsidR="00C92FA0">
        <w:rPr>
          <w:rFonts w:eastAsia="TimesNewRoman"/>
        </w:rPr>
        <w:t>,</w:t>
      </w:r>
      <w:r>
        <w:rPr>
          <w:rFonts w:eastAsia="TimesNewRoman"/>
        </w:rPr>
        <w:t xml:space="preserve"> the following metrics apply: </w:t>
      </w:r>
    </w:p>
    <w:p w:rsidR="00A9643B" w:rsidRDefault="00A9643B" w:rsidP="00A9643B">
      <w:pPr>
        <w:tabs>
          <w:tab w:val="left" w:pos="0"/>
          <w:tab w:val="num" w:pos="2160"/>
        </w:tabs>
        <w:autoSpaceDE w:val="0"/>
        <w:autoSpaceDN w:val="0"/>
        <w:adjustRightInd w:val="0"/>
        <w:spacing w:line="360" w:lineRule="auto"/>
        <w:ind w:firstLine="720"/>
        <w:jc w:val="both"/>
      </w:pPr>
      <w:r w:rsidRPr="00AB6F72">
        <w:rPr>
          <w:rFonts w:eastAsia="TimesNewRoman"/>
          <w:i/>
        </w:rPr>
        <w:t>Loss of Load Events</w:t>
      </w:r>
      <w:r w:rsidRPr="00AB6F72">
        <w:rPr>
          <w:rFonts w:eastAsia="TimesNewRoman"/>
        </w:rPr>
        <w:t xml:space="preserve"> (</w:t>
      </w:r>
      <w:r>
        <w:rPr>
          <w:rFonts w:eastAsia="TimesNewRoman"/>
        </w:rPr>
        <w:t>LOLEV</w:t>
      </w:r>
      <w:r w:rsidRPr="00AB6F72">
        <w:rPr>
          <w:rFonts w:eastAsia="TimesNewRoman"/>
        </w:rPr>
        <w:t>)</w:t>
      </w:r>
      <w:r>
        <w:rPr>
          <w:rFonts w:eastAsia="TimesNewRoman"/>
        </w:rPr>
        <w:t>: T</w:t>
      </w:r>
      <w:r w:rsidRPr="00AB6F72">
        <w:t xml:space="preserve">he number of times in a year that available generation was incapable of meeting demand. </w:t>
      </w:r>
      <w:r>
        <w:t>LOLEV</w:t>
      </w:r>
      <w:r w:rsidRPr="00AB6F72">
        <w:t xml:space="preserve"> provides information about the frequency of events</w:t>
      </w:r>
      <w:r>
        <w:t xml:space="preserve"> and is measured in events/year</w:t>
      </w:r>
      <w:r w:rsidRPr="00AB6F72">
        <w:t>.</w:t>
      </w:r>
    </w:p>
    <w:p w:rsidR="00A9643B" w:rsidRDefault="00A9643B" w:rsidP="00A9643B">
      <w:pPr>
        <w:tabs>
          <w:tab w:val="left" w:pos="0"/>
          <w:tab w:val="num" w:pos="2160"/>
        </w:tabs>
        <w:autoSpaceDE w:val="0"/>
        <w:autoSpaceDN w:val="0"/>
        <w:adjustRightInd w:val="0"/>
        <w:spacing w:line="360" w:lineRule="auto"/>
        <w:ind w:firstLine="720"/>
        <w:jc w:val="both"/>
      </w:pPr>
      <w:r w:rsidRPr="00AB6F72">
        <w:rPr>
          <w:rFonts w:eastAsia="TimesNewRoman"/>
          <w:i/>
        </w:rPr>
        <w:t xml:space="preserve">Loss of Load Hours </w:t>
      </w:r>
      <w:r>
        <w:rPr>
          <w:rFonts w:eastAsia="TimesNewRoman"/>
        </w:rPr>
        <w:t>(LOLH): T</w:t>
      </w:r>
      <w:r w:rsidRPr="00AB6F72">
        <w:t>he number of hours in a year that available generation was incapable of meeting demand. LOLH provides information about the duration of events</w:t>
      </w:r>
      <w:r>
        <w:t xml:space="preserve"> and is measured in hrs/year</w:t>
      </w:r>
      <w:r w:rsidRPr="00AB6F72">
        <w:t>.</w:t>
      </w:r>
    </w:p>
    <w:p w:rsidR="00A9643B" w:rsidRDefault="00A9643B" w:rsidP="00A9643B">
      <w:pPr>
        <w:tabs>
          <w:tab w:val="left" w:pos="0"/>
          <w:tab w:val="num" w:pos="2160"/>
        </w:tabs>
        <w:autoSpaceDE w:val="0"/>
        <w:autoSpaceDN w:val="0"/>
        <w:adjustRightInd w:val="0"/>
        <w:spacing w:line="360" w:lineRule="auto"/>
        <w:ind w:firstLine="720"/>
        <w:jc w:val="both"/>
      </w:pPr>
      <w:proofErr w:type="gramStart"/>
      <w:r w:rsidRPr="00AB6F72">
        <w:rPr>
          <w:rFonts w:eastAsia="TimesNewRoman"/>
          <w:i/>
        </w:rPr>
        <w:t xml:space="preserve">Expected </w:t>
      </w:r>
      <w:proofErr w:type="spellStart"/>
      <w:r w:rsidRPr="00AB6F72">
        <w:rPr>
          <w:rFonts w:eastAsia="TimesNewRoman"/>
          <w:i/>
        </w:rPr>
        <w:t>Unserved</w:t>
      </w:r>
      <w:proofErr w:type="spellEnd"/>
      <w:r w:rsidRPr="00AB6F72">
        <w:rPr>
          <w:rFonts w:eastAsia="TimesNewRoman"/>
          <w:i/>
        </w:rPr>
        <w:t xml:space="preserve"> E</w:t>
      </w:r>
      <w:r w:rsidRPr="00BF0976">
        <w:rPr>
          <w:rFonts w:eastAsia="TimesNewRoman"/>
          <w:i/>
        </w:rPr>
        <w:t>nergy</w:t>
      </w:r>
      <w:r w:rsidRPr="00BF0976">
        <w:rPr>
          <w:rFonts w:eastAsia="TimesNewRoman"/>
        </w:rPr>
        <w:t xml:space="preserve"> (EUE): </w:t>
      </w:r>
      <w:r>
        <w:rPr>
          <w:rFonts w:eastAsia="TimesNewRoman"/>
        </w:rPr>
        <w:t xml:space="preserve"> </w:t>
      </w:r>
      <w:r w:rsidRPr="00BF0976">
        <w:rPr>
          <w:rFonts w:eastAsia="TimesNewRoman"/>
          <w:bCs/>
        </w:rPr>
        <w:t>T</w:t>
      </w:r>
      <w:r>
        <w:rPr>
          <w:rFonts w:eastAsia="TimesNewRoman"/>
          <w:bCs/>
        </w:rPr>
        <w:t>he total amount</w:t>
      </w:r>
      <w:r w:rsidRPr="00BF0976">
        <w:rPr>
          <w:rFonts w:eastAsia="TimesNewRoman"/>
          <w:bCs/>
        </w:rPr>
        <w:t xml:space="preserve"> of </w:t>
      </w:r>
      <w:r>
        <w:rPr>
          <w:rFonts w:eastAsia="TimesNewRoman"/>
          <w:bCs/>
        </w:rPr>
        <w:t xml:space="preserve">energy </w:t>
      </w:r>
      <w:r w:rsidRPr="00BF0976">
        <w:rPr>
          <w:rFonts w:eastAsia="TimesNewRoman"/>
          <w:bCs/>
        </w:rPr>
        <w:t>demand that could not be met by available generation</w:t>
      </w:r>
      <w:r>
        <w:rPr>
          <w:rFonts w:eastAsia="TimesNewRoman"/>
          <w:bCs/>
        </w:rPr>
        <w:t xml:space="preserve"> in a year.</w:t>
      </w:r>
      <w:proofErr w:type="gramEnd"/>
      <w:r>
        <w:rPr>
          <w:rFonts w:eastAsia="TimesNewRoman"/>
          <w:bCs/>
        </w:rPr>
        <w:t xml:space="preserve"> EUE provides information about the severity of events and is measured in </w:t>
      </w:r>
      <w:proofErr w:type="spellStart"/>
      <w:r>
        <w:rPr>
          <w:rFonts w:eastAsia="TimesNewRoman"/>
          <w:bCs/>
        </w:rPr>
        <w:t>MWh</w:t>
      </w:r>
      <w:proofErr w:type="spellEnd"/>
      <w:r>
        <w:rPr>
          <w:rFonts w:eastAsia="TimesNewRoman"/>
          <w:bCs/>
        </w:rPr>
        <w:t>/year.</w:t>
      </w:r>
    </w:p>
    <w:p w:rsidR="00A9643B" w:rsidRDefault="00A9643B" w:rsidP="00A9643B">
      <w:pPr>
        <w:tabs>
          <w:tab w:val="left" w:pos="0"/>
          <w:tab w:val="num" w:pos="2160"/>
        </w:tabs>
        <w:autoSpaceDE w:val="0"/>
        <w:autoSpaceDN w:val="0"/>
        <w:adjustRightInd w:val="0"/>
        <w:spacing w:line="360" w:lineRule="auto"/>
        <w:ind w:firstLine="720"/>
        <w:jc w:val="both"/>
        <w:rPr>
          <w:rFonts w:eastAsia="TimesNewRoman"/>
        </w:rPr>
      </w:pPr>
      <w:r w:rsidRPr="00AB6F72">
        <w:rPr>
          <w:rFonts w:eastAsia="TimesNewRoman"/>
          <w:i/>
        </w:rPr>
        <w:t>Loss of Load Probability</w:t>
      </w:r>
      <w:r w:rsidRPr="00AB6F72">
        <w:rPr>
          <w:rFonts w:eastAsia="TimesNewRoman"/>
        </w:rPr>
        <w:t xml:space="preserve"> (LOLP)</w:t>
      </w:r>
      <w:r>
        <w:rPr>
          <w:rFonts w:eastAsia="TimesNewRoman"/>
        </w:rPr>
        <w:t xml:space="preserve">: The </w:t>
      </w:r>
      <w:r w:rsidRPr="00AB6F72">
        <w:rPr>
          <w:rFonts w:eastAsia="TimesNewRoman"/>
        </w:rPr>
        <w:t xml:space="preserve">probability that </w:t>
      </w:r>
      <w:r>
        <w:rPr>
          <w:rFonts w:eastAsia="TimesNewRoman"/>
        </w:rPr>
        <w:t xml:space="preserve">in any given hour </w:t>
      </w:r>
      <w:r w:rsidRPr="00AB6F72">
        <w:rPr>
          <w:rFonts w:eastAsia="TimesNewRoman"/>
        </w:rPr>
        <w:t>t</w:t>
      </w:r>
      <w:r>
        <w:rPr>
          <w:rFonts w:eastAsia="TimesNewRoman"/>
        </w:rPr>
        <w:t>he available capacity will be less than the demand</w:t>
      </w:r>
      <w:r w:rsidRPr="00AB6F72">
        <w:rPr>
          <w:rFonts w:eastAsia="TimesNewRoman"/>
        </w:rPr>
        <w:t>. This index, being a probability measure, is dimensionless.</w:t>
      </w:r>
    </w:p>
    <w:p w:rsidR="00A9643B" w:rsidRDefault="00A9643B" w:rsidP="00A9643B">
      <w:pPr>
        <w:tabs>
          <w:tab w:val="left" w:pos="0"/>
          <w:tab w:val="num" w:pos="2160"/>
        </w:tabs>
        <w:autoSpaceDE w:val="0"/>
        <w:autoSpaceDN w:val="0"/>
        <w:adjustRightInd w:val="0"/>
        <w:spacing w:line="360" w:lineRule="auto"/>
        <w:ind w:firstLine="720"/>
        <w:jc w:val="both"/>
        <w:rPr>
          <w:rFonts w:eastAsia="TimesNewRoman"/>
        </w:rPr>
      </w:pPr>
      <w:r w:rsidRPr="00AB6F72">
        <w:rPr>
          <w:rFonts w:eastAsia="TimesNewRoman"/>
          <w:i/>
        </w:rPr>
        <w:t>Loss of Load Expectation</w:t>
      </w:r>
      <w:r w:rsidRPr="00AB6F72">
        <w:rPr>
          <w:rFonts w:eastAsia="TimesNewRoman"/>
        </w:rPr>
        <w:t xml:space="preserve"> (LOLE)</w:t>
      </w:r>
      <w:r>
        <w:rPr>
          <w:rFonts w:eastAsia="TimesNewRoman"/>
        </w:rPr>
        <w:t>: T</w:t>
      </w:r>
      <w:r w:rsidRPr="00AB6F72">
        <w:rPr>
          <w:rFonts w:eastAsia="TimesNewRoman"/>
        </w:rPr>
        <w:t xml:space="preserve">he expected number of days per year </w:t>
      </w:r>
      <w:r>
        <w:rPr>
          <w:rFonts w:eastAsia="TimesNewRoman"/>
        </w:rPr>
        <w:t xml:space="preserve">(hours per year) </w:t>
      </w:r>
      <w:r w:rsidRPr="00AB6F72">
        <w:rPr>
          <w:rFonts w:eastAsia="TimesNewRoman"/>
        </w:rPr>
        <w:t>for which available generating capacity is insufficient to ser</w:t>
      </w:r>
      <w:r>
        <w:rPr>
          <w:rFonts w:eastAsia="TimesNewRoman"/>
        </w:rPr>
        <w:t>ve the daily peak demand (the hourly demand</w:t>
      </w:r>
      <w:proofErr w:type="gramStart"/>
      <w:r w:rsidRPr="00AB6F72">
        <w:rPr>
          <w:rFonts w:eastAsia="TimesNewRoman"/>
        </w:rPr>
        <w:t>)</w:t>
      </w:r>
      <w:r>
        <w:rPr>
          <w:rFonts w:eastAsia="TimesNewRoman"/>
          <w:vertAlign w:val="superscript"/>
        </w:rPr>
        <w:t>[</w:t>
      </w:r>
      <w:proofErr w:type="gramEnd"/>
      <w:r>
        <w:rPr>
          <w:rFonts w:eastAsia="TimesNewRoman"/>
          <w:vertAlign w:val="superscript"/>
        </w:rPr>
        <w:t>1]</w:t>
      </w:r>
      <w:r w:rsidRPr="00AB6F72">
        <w:rPr>
          <w:rFonts w:eastAsia="TimesNewRoman"/>
        </w:rPr>
        <w:t xml:space="preserve">. The convention is that when given in days/year, </w:t>
      </w:r>
      <w:r>
        <w:rPr>
          <w:rFonts w:eastAsia="TimesNewRoman"/>
        </w:rPr>
        <w:t>LOLE</w:t>
      </w:r>
      <w:r w:rsidRPr="00AB6F72">
        <w:rPr>
          <w:rFonts w:eastAsia="TimesNewRoman"/>
        </w:rPr>
        <w:t xml:space="preserve"> represents a comparison between daily peak values and available generation. When given in hours/year, it represents a c</w:t>
      </w:r>
      <w:r>
        <w:rPr>
          <w:rFonts w:eastAsia="TimesNewRoman"/>
        </w:rPr>
        <w:t>omparison of hourly demand to available generation in which case it is equivalent to LOLH.</w:t>
      </w:r>
    </w:p>
    <w:p w:rsidR="00A9643B" w:rsidRPr="00BB042A" w:rsidRDefault="00A9643B" w:rsidP="00A9643B">
      <w:pPr>
        <w:tabs>
          <w:tab w:val="left" w:pos="0"/>
          <w:tab w:val="num" w:pos="2160"/>
        </w:tabs>
        <w:autoSpaceDE w:val="0"/>
        <w:autoSpaceDN w:val="0"/>
        <w:adjustRightInd w:val="0"/>
        <w:spacing w:line="360" w:lineRule="auto"/>
        <w:ind w:left="360" w:firstLine="720"/>
        <w:jc w:val="both"/>
      </w:pPr>
      <w:r w:rsidRPr="00BB042A">
        <w:t>A power syst</w:t>
      </w:r>
      <w:r w:rsidRPr="008971C1">
        <w:t xml:space="preserve">em is considered to be adequate when it satisfies a certain reliability level. </w:t>
      </w:r>
      <w:r>
        <w:t xml:space="preserve">The electric power industry has generally adopted the criteria of </w:t>
      </w:r>
      <w:r w:rsidRPr="008971C1">
        <w:rPr>
          <w:b/>
        </w:rPr>
        <w:t>1 loss of load event every 10 years</w:t>
      </w:r>
      <w:r>
        <w:t xml:space="preserve"> (a 0.1 LOLEV value) as this level, and this level has also been used historically for the ERCOT System</w:t>
      </w:r>
      <w:r w:rsidRPr="008971C1">
        <w:t>.</w:t>
      </w:r>
    </w:p>
    <w:p w:rsidR="00A9643B" w:rsidRPr="00E249B9" w:rsidRDefault="00374646" w:rsidP="00E249B9">
      <w:pPr>
        <w:pStyle w:val="Heading2"/>
        <w:rPr>
          <w:rStyle w:val="IntenseReference"/>
          <w:b/>
          <w:bCs/>
          <w:smallCaps w:val="0"/>
          <w:color w:val="auto"/>
          <w:spacing w:val="0"/>
          <w:u w:val="none"/>
        </w:rPr>
      </w:pPr>
      <w:bookmarkStart w:id="252" w:name="_Toc276457210"/>
      <w:r w:rsidRPr="00374646">
        <w:rPr>
          <w:rStyle w:val="IntenseReference"/>
          <w:b/>
          <w:bCs/>
          <w:smallCaps w:val="0"/>
          <w:color w:val="auto"/>
          <w:spacing w:val="0"/>
          <w:u w:val="none"/>
        </w:rPr>
        <w:t>Report Outline</w:t>
      </w:r>
      <w:bookmarkEnd w:id="252"/>
    </w:p>
    <w:p w:rsidR="00A9643B" w:rsidRDefault="00A9643B" w:rsidP="00A9643B">
      <w:pPr>
        <w:spacing w:line="360" w:lineRule="auto"/>
        <w:ind w:firstLine="720"/>
        <w:jc w:val="both"/>
        <w:rPr>
          <w:i/>
        </w:rPr>
      </w:pPr>
    </w:p>
    <w:p w:rsidR="00A9643B" w:rsidRDefault="00A9643B" w:rsidP="00A9643B">
      <w:pPr>
        <w:spacing w:line="360" w:lineRule="auto"/>
        <w:ind w:firstLine="720"/>
        <w:jc w:val="both"/>
      </w:pPr>
      <w:r>
        <w:t>This report is organized as follows: Chapter I briefly describes the goal of the reserve margin analysis, various reliability concepts and resource adequacy. Chapter II discusses details about the input data – resources and demand. In Chapter III, the study methodology and modeling issues are presented. Chapter IV summarizes the results obtained.</w:t>
      </w:r>
    </w:p>
    <w:p w:rsidR="00A9643B" w:rsidRDefault="00A9643B" w:rsidP="00A9643B">
      <w:pPr>
        <w:spacing w:line="360" w:lineRule="auto"/>
        <w:ind w:firstLine="720"/>
        <w:jc w:val="both"/>
      </w:pPr>
    </w:p>
    <w:p w:rsidR="00A9643B" w:rsidRDefault="00A9643B" w:rsidP="00A9643B">
      <w:pPr>
        <w:pStyle w:val="Heading1"/>
      </w:pPr>
      <w:bookmarkStart w:id="253" w:name="_Toc276457211"/>
      <w:r>
        <w:lastRenderedPageBreak/>
        <w:t>RESOURCES AND DEMAND</w:t>
      </w:r>
      <w:bookmarkEnd w:id="253"/>
    </w:p>
    <w:p w:rsidR="00A9643B" w:rsidRPr="00E249B9" w:rsidRDefault="00374646" w:rsidP="00E249B9">
      <w:pPr>
        <w:pStyle w:val="Heading2"/>
        <w:rPr>
          <w:rStyle w:val="IntenseReference"/>
          <w:b/>
          <w:bCs/>
          <w:smallCaps w:val="0"/>
          <w:color w:val="auto"/>
          <w:spacing w:val="0"/>
          <w:u w:val="none"/>
        </w:rPr>
      </w:pPr>
      <w:bookmarkStart w:id="254" w:name="_Toc276397007"/>
      <w:bookmarkStart w:id="255" w:name="_Toc276397057"/>
      <w:bookmarkStart w:id="256" w:name="_Toc276397107"/>
      <w:bookmarkStart w:id="257" w:name="_Toc276398692"/>
      <w:bookmarkStart w:id="258" w:name="_Toc276457212"/>
      <w:bookmarkEnd w:id="254"/>
      <w:bookmarkEnd w:id="255"/>
      <w:bookmarkEnd w:id="256"/>
      <w:bookmarkEnd w:id="257"/>
      <w:r w:rsidRPr="00374646">
        <w:rPr>
          <w:rStyle w:val="IntenseReference"/>
          <w:b/>
          <w:bCs/>
          <w:smallCaps w:val="0"/>
          <w:color w:val="auto"/>
          <w:spacing w:val="0"/>
          <w:u w:val="none"/>
        </w:rPr>
        <w:t>Simulation Process</w:t>
      </w:r>
      <w:bookmarkEnd w:id="258"/>
    </w:p>
    <w:p w:rsidR="00A9643B" w:rsidRDefault="00A9643B" w:rsidP="00A9643B">
      <w:pPr>
        <w:spacing w:line="360" w:lineRule="auto"/>
        <w:ind w:firstLine="720"/>
        <w:jc w:val="both"/>
        <w:rPr>
          <w:i/>
        </w:rPr>
      </w:pPr>
    </w:p>
    <w:p w:rsidR="00A9643B" w:rsidRDefault="00A9643B" w:rsidP="00A9643B">
      <w:pPr>
        <w:spacing w:line="360" w:lineRule="auto"/>
        <w:ind w:firstLine="720"/>
        <w:jc w:val="both"/>
      </w:pPr>
      <w:r>
        <w:t xml:space="preserve">Power system reliability indices can be calculated using a variety of methods. The two main approaches are analytical and simulation.  Monte Carlo simulation is </w:t>
      </w:r>
      <w:r w:rsidR="00397D7C">
        <w:t xml:space="preserve">utilized </w:t>
      </w:r>
      <w:r>
        <w:t xml:space="preserve">in this study </w:t>
      </w:r>
      <w:r w:rsidR="00397D7C">
        <w:t xml:space="preserve">because </w:t>
      </w:r>
      <w:r>
        <w:t xml:space="preserve">it </w:t>
      </w:r>
      <w:r w:rsidR="00397D7C">
        <w:t xml:space="preserve">allows for a more comprehensive modeling of </w:t>
      </w:r>
      <w:r>
        <w:t xml:space="preserve">system behavior </w:t>
      </w:r>
      <w:r w:rsidR="00397D7C">
        <w:t xml:space="preserve">and provides </w:t>
      </w:r>
      <w:r>
        <w:t xml:space="preserve">a more informative set of system reliability indices.  Specifically, the sequential approach of Monte Carlo simulation is used in this study.  This approach examines each basic interval of time of the simulated period in chronological order. </w:t>
      </w:r>
    </w:p>
    <w:p w:rsidR="00A9643B" w:rsidRPr="00D708CC" w:rsidRDefault="00A9643B" w:rsidP="00A9643B">
      <w:pPr>
        <w:spacing w:line="360" w:lineRule="auto"/>
        <w:ind w:firstLine="720"/>
        <w:jc w:val="both"/>
      </w:pPr>
      <w:r>
        <w:t xml:space="preserve">The basic interval of time is selected according to the type of system under study, as well as the length of the period to be simulated in order to ensure a certain level of confidence in the estimated indices.  In this study, one hour is the interval of time.  The </w:t>
      </w:r>
      <w:r w:rsidR="00425BF4">
        <w:t xml:space="preserve">stopping </w:t>
      </w:r>
      <w:r>
        <w:t xml:space="preserve">criteria for the </w:t>
      </w:r>
      <w:r w:rsidR="00397D7C">
        <w:t xml:space="preserve">estimated indices in the </w:t>
      </w:r>
      <w:r>
        <w:t>simulation are discussed in detail in the following chapter.</w:t>
      </w:r>
    </w:p>
    <w:p w:rsidR="00A9643B" w:rsidRDefault="00A9643B" w:rsidP="00A9643B">
      <w:pPr>
        <w:spacing w:line="360" w:lineRule="auto"/>
        <w:ind w:firstLine="720"/>
        <w:jc w:val="both"/>
      </w:pPr>
      <w:r>
        <w:t xml:space="preserve">In order to model and simulate the system for reliability evaluation and hence calculate the reserve margin, </w:t>
      </w:r>
      <w:r w:rsidR="00397D7C">
        <w:t xml:space="preserve">model </w:t>
      </w:r>
      <w:r>
        <w:t>inputs such as generation data, load data and wind data</w:t>
      </w:r>
      <w:r w:rsidR="00397D7C">
        <w:t xml:space="preserve"> were required</w:t>
      </w:r>
      <w:r>
        <w:t xml:space="preserve">. As mentioned previously, </w:t>
      </w:r>
      <w:r w:rsidR="00397D7C">
        <w:t xml:space="preserve">the </w:t>
      </w:r>
      <w:r>
        <w:t xml:space="preserve">transmission network is not modeled and hence transmission line data is not required. </w:t>
      </w:r>
      <w:r w:rsidR="00397D7C">
        <w:t>In this analysis,</w:t>
      </w:r>
      <w:r>
        <w:t xml:space="preserve"> the main focus in on resource adequacy.</w:t>
      </w:r>
      <w:r w:rsidRPr="003C2739">
        <w:t xml:space="preserve"> </w:t>
      </w:r>
    </w:p>
    <w:p w:rsidR="00A9643B" w:rsidRDefault="00A9643B" w:rsidP="00A9643B">
      <w:pPr>
        <w:spacing w:line="360" w:lineRule="auto"/>
        <w:ind w:firstLine="720"/>
        <w:jc w:val="both"/>
      </w:pPr>
    </w:p>
    <w:p w:rsidR="00A9643B" w:rsidRPr="00532E76" w:rsidRDefault="00374646" w:rsidP="00532E76">
      <w:pPr>
        <w:pStyle w:val="Heading2"/>
        <w:rPr>
          <w:rStyle w:val="IntenseReference"/>
          <w:b/>
          <w:bCs/>
          <w:smallCaps w:val="0"/>
          <w:color w:val="auto"/>
          <w:spacing w:val="0"/>
          <w:u w:val="none"/>
        </w:rPr>
      </w:pPr>
      <w:bookmarkStart w:id="259" w:name="_Toc276457213"/>
      <w:r w:rsidRPr="00374646">
        <w:rPr>
          <w:rStyle w:val="IntenseReference"/>
          <w:b/>
          <w:bCs/>
          <w:smallCaps w:val="0"/>
          <w:color w:val="auto"/>
          <w:spacing w:val="0"/>
          <w:u w:val="none"/>
        </w:rPr>
        <w:t>NERC Terms</w:t>
      </w:r>
      <w:bookmarkEnd w:id="259"/>
    </w:p>
    <w:p w:rsidR="00A9643B" w:rsidRDefault="00A9643B" w:rsidP="00A9643B">
      <w:pPr>
        <w:spacing w:line="360" w:lineRule="auto"/>
        <w:ind w:firstLine="720"/>
        <w:jc w:val="both"/>
        <w:rPr>
          <w:i/>
        </w:rPr>
      </w:pPr>
    </w:p>
    <w:p w:rsidR="00A9643B" w:rsidRDefault="00397D7C" w:rsidP="00A9643B">
      <w:pPr>
        <w:spacing w:line="360" w:lineRule="auto"/>
        <w:ind w:firstLine="720"/>
        <w:jc w:val="both"/>
      </w:pPr>
      <w:r>
        <w:t>The f</w:t>
      </w:r>
      <w:r w:rsidR="00A9643B">
        <w:t xml:space="preserve">ollowing parameters </w:t>
      </w:r>
      <w:r>
        <w:t>were utilized to simulate hourly generator capacity profiles:</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Net Maximum Capacity (NMC)</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Service Hours (SH)</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Forced Outage Hours (FOH)</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 xml:space="preserve">Equivalent Forced </w:t>
      </w:r>
      <w:proofErr w:type="spellStart"/>
      <w:r>
        <w:rPr>
          <w:rFonts w:ascii="Times New Roman" w:hAnsi="Times New Roman"/>
          <w:sz w:val="24"/>
        </w:rPr>
        <w:t>Derated</w:t>
      </w:r>
      <w:proofErr w:type="spellEnd"/>
      <w:r>
        <w:rPr>
          <w:rFonts w:ascii="Times New Roman" w:hAnsi="Times New Roman"/>
          <w:sz w:val="24"/>
        </w:rPr>
        <w:t xml:space="preserve"> Hours (EFDH)</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Reserve Shutdown Hours (RSH)</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 xml:space="preserve">Equivalent Forced </w:t>
      </w:r>
      <w:proofErr w:type="spellStart"/>
      <w:r>
        <w:rPr>
          <w:rFonts w:ascii="Times New Roman" w:hAnsi="Times New Roman"/>
          <w:sz w:val="24"/>
        </w:rPr>
        <w:t>Derated</w:t>
      </w:r>
      <w:proofErr w:type="spellEnd"/>
      <w:r>
        <w:rPr>
          <w:rFonts w:ascii="Times New Roman" w:hAnsi="Times New Roman"/>
          <w:sz w:val="24"/>
        </w:rPr>
        <w:t xml:space="preserve"> Hours during Reserve Shutdown (EFDHRS)</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 of FO occurrences (# FO)</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 xml:space="preserve"># of unit attempted starts </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 of unit actual starts</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lastRenderedPageBreak/>
        <w:t>Planned Outage Hours (POH)</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Maintenance Outage Hours (MOH)</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Pr>
          <w:rFonts w:ascii="Times New Roman" w:hAnsi="Times New Roman"/>
          <w:sz w:val="24"/>
        </w:rPr>
        <w:t>Scheduled Outage Hours (SOH)</w:t>
      </w:r>
      <w:r>
        <w:rPr>
          <w:rFonts w:ascii="Times New Roman" w:hAnsi="Times New Roman"/>
          <w:sz w:val="24"/>
        </w:rPr>
        <w:tab/>
        <w:t>[Note:-  SOH = POH + MOH]</w:t>
      </w:r>
    </w:p>
    <w:p w:rsidR="00A9643B" w:rsidRDefault="00A9643B" w:rsidP="00740286">
      <w:pPr>
        <w:pStyle w:val="ListParagraph"/>
        <w:numPr>
          <w:ilvl w:val="0"/>
          <w:numId w:val="10"/>
        </w:numPr>
        <w:spacing w:line="360" w:lineRule="auto"/>
        <w:ind w:left="1008" w:firstLine="0"/>
        <w:jc w:val="both"/>
        <w:rPr>
          <w:rFonts w:ascii="Times New Roman" w:hAnsi="Times New Roman"/>
          <w:sz w:val="24"/>
        </w:rPr>
      </w:pPr>
      <w:r w:rsidRPr="00C361E7">
        <w:rPr>
          <w:rFonts w:ascii="Times New Roman" w:hAnsi="Times New Roman"/>
          <w:sz w:val="24"/>
        </w:rPr>
        <w:t xml:space="preserve"># </w:t>
      </w:r>
      <w:proofErr w:type="gramStart"/>
      <w:r w:rsidRPr="00C361E7">
        <w:rPr>
          <w:rFonts w:ascii="Times New Roman" w:hAnsi="Times New Roman"/>
          <w:sz w:val="24"/>
        </w:rPr>
        <w:t>of</w:t>
      </w:r>
      <w:proofErr w:type="gramEnd"/>
      <w:r w:rsidRPr="00C361E7">
        <w:rPr>
          <w:rFonts w:ascii="Times New Roman" w:hAnsi="Times New Roman"/>
          <w:sz w:val="24"/>
        </w:rPr>
        <w:t xml:space="preserve"> SO occurrences.</w:t>
      </w:r>
    </w:p>
    <w:p w:rsidR="00A9643B" w:rsidRDefault="00A9643B" w:rsidP="00A9643B">
      <w:pPr>
        <w:pStyle w:val="ListParagraph"/>
        <w:spacing w:line="360" w:lineRule="auto"/>
        <w:ind w:left="0" w:firstLine="720"/>
        <w:jc w:val="both"/>
        <w:rPr>
          <w:rFonts w:ascii="Times New Roman" w:hAnsi="Times New Roman"/>
          <w:sz w:val="24"/>
        </w:rPr>
      </w:pP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These parameters are used in the calculation of the following indices.</w:t>
      </w:r>
    </w:p>
    <w:p w:rsidR="00A9643B" w:rsidRDefault="00A9643B" w:rsidP="00740286">
      <w:pPr>
        <w:pStyle w:val="ListParagraph"/>
        <w:numPr>
          <w:ilvl w:val="0"/>
          <w:numId w:val="11"/>
        </w:numPr>
        <w:spacing w:line="360" w:lineRule="auto"/>
        <w:ind w:left="1008" w:firstLine="0"/>
        <w:jc w:val="both"/>
        <w:rPr>
          <w:rFonts w:ascii="Times New Roman" w:hAnsi="Times New Roman"/>
          <w:sz w:val="24"/>
        </w:rPr>
      </w:pPr>
      <w:proofErr w:type="spellStart"/>
      <w:r>
        <w:rPr>
          <w:rFonts w:ascii="Times New Roman" w:hAnsi="Times New Roman"/>
          <w:sz w:val="24"/>
        </w:rPr>
        <w:t>EFORd</w:t>
      </w:r>
      <w:proofErr w:type="spellEnd"/>
      <w:r>
        <w:rPr>
          <w:rFonts w:ascii="Times New Roman" w:hAnsi="Times New Roman"/>
          <w:sz w:val="24"/>
        </w:rPr>
        <w:t xml:space="preserve"> – Equivalent Demand Forced Outage Rate</w:t>
      </w:r>
    </w:p>
    <w:p w:rsidR="00A9643B" w:rsidRPr="002B5A03" w:rsidRDefault="00721C08" w:rsidP="00A9643B">
      <w:pPr>
        <w:pStyle w:val="ListParagraph"/>
        <w:spacing w:line="360" w:lineRule="auto"/>
        <w:ind w:left="0"/>
        <w:jc w:val="both"/>
        <w:rPr>
          <w:rFonts w:ascii="Times New Roman" w:eastAsia="Times New Roman" w:hAnsi="Times New Roman"/>
          <w:sz w:val="26"/>
          <w:szCs w:val="26"/>
        </w:rPr>
      </w:pPr>
      <m:oMathPara>
        <m:oMathParaPr>
          <m:jc m:val="center"/>
        </m:oMathParaPr>
        <m:oMath>
          <m:r>
            <w:rPr>
              <w:rFonts w:ascii="Cambria Math" w:hAnsi="Cambria Math"/>
              <w:sz w:val="26"/>
              <w:szCs w:val="26"/>
            </w:rPr>
            <m:t xml:space="preserve">EFORd= </m:t>
          </m:r>
          <m:f>
            <m:fPr>
              <m:ctrlPr>
                <w:rPr>
                  <w:rFonts w:ascii="Cambria Math" w:hAnsi="Cambria Math"/>
                  <w:i/>
                  <w:sz w:val="26"/>
                  <w:szCs w:val="26"/>
                </w:rPr>
              </m:ctrlPr>
            </m:fPr>
            <m:num>
              <m:r>
                <w:rPr>
                  <w:rFonts w:ascii="Cambria Math" w:hAnsi="Cambria Math"/>
                  <w:sz w:val="26"/>
                  <w:szCs w:val="26"/>
                </w:rPr>
                <m:t>FOHd+EFDHd</m:t>
              </m:r>
            </m:num>
            <m:den>
              <m:r>
                <w:rPr>
                  <w:rFonts w:ascii="Cambria Math" w:hAnsi="Cambria Math"/>
                  <w:sz w:val="26"/>
                  <w:szCs w:val="26"/>
                </w:rPr>
                <m:t>SH+FOH</m:t>
              </m:r>
              <m:r>
                <w:rPr>
                  <w:rFonts w:ascii="Cambria Math" w:hAnsi="Cambria Math"/>
                  <w:sz w:val="26"/>
                  <w:szCs w:val="26"/>
                </w:rPr>
                <m:t>d</m:t>
              </m:r>
            </m:den>
          </m:f>
          <m:r>
            <w:rPr>
              <w:rFonts w:ascii="Cambria Math" w:hAnsi="Cambria Math"/>
              <w:sz w:val="26"/>
              <w:szCs w:val="26"/>
            </w:rPr>
            <m:t xml:space="preserve"> ×100 %</m:t>
          </m:r>
        </m:oMath>
      </m:oMathPara>
    </w:p>
    <w:p w:rsidR="00A9643B" w:rsidRDefault="00A9643B" w:rsidP="00A9643B">
      <w:pPr>
        <w:pStyle w:val="ListParagraph"/>
        <w:spacing w:line="360" w:lineRule="auto"/>
        <w:ind w:left="1008"/>
        <w:jc w:val="both"/>
        <w:rPr>
          <w:rFonts w:ascii="Times New Roman" w:hAnsi="Times New Roman"/>
          <w:sz w:val="24"/>
        </w:rPr>
      </w:pPr>
      <w:r>
        <w:rPr>
          <w:rFonts w:ascii="Times New Roman" w:hAnsi="Times New Roman"/>
          <w:sz w:val="28"/>
        </w:rPr>
        <w:tab/>
      </w:r>
      <w:r w:rsidRPr="009D3B94">
        <w:rPr>
          <w:rFonts w:ascii="Times New Roman" w:hAnsi="Times New Roman"/>
          <w:sz w:val="24"/>
        </w:rPr>
        <w:t>Where</w:t>
      </w:r>
      <w:r>
        <w:rPr>
          <w:rFonts w:ascii="Times New Roman" w:hAnsi="Times New Roman"/>
          <w:sz w:val="24"/>
        </w:rPr>
        <w:t>,</w:t>
      </w:r>
    </w:p>
    <w:p w:rsidR="00A9643B" w:rsidRDefault="00A9643B" w:rsidP="00A9643B">
      <w:pPr>
        <w:pStyle w:val="ListParagraph"/>
        <w:spacing w:line="360" w:lineRule="auto"/>
        <w:ind w:left="1008"/>
        <w:jc w:val="both"/>
        <w:rPr>
          <w:rFonts w:ascii="Times New Roman" w:hAnsi="Times New Roman"/>
          <w:sz w:val="24"/>
        </w:rPr>
      </w:pPr>
      <w:r>
        <w:rPr>
          <w:rFonts w:ascii="Times New Roman" w:hAnsi="Times New Roman"/>
          <w:sz w:val="24"/>
        </w:rPr>
        <w:tab/>
      </w:r>
      <w:proofErr w:type="spellStart"/>
      <w:r>
        <w:rPr>
          <w:rFonts w:ascii="Times New Roman" w:hAnsi="Times New Roman"/>
          <w:sz w:val="24"/>
        </w:rPr>
        <w:t>FOHd</w:t>
      </w:r>
      <w:proofErr w:type="spellEnd"/>
      <w:r>
        <w:rPr>
          <w:rFonts w:ascii="Times New Roman" w:hAnsi="Times New Roman"/>
          <w:sz w:val="24"/>
        </w:rPr>
        <w:tab/>
        <w:t xml:space="preserve">   </w:t>
      </w:r>
      <w:proofErr w:type="gramStart"/>
      <w:r>
        <w:rPr>
          <w:rFonts w:ascii="Times New Roman" w:hAnsi="Times New Roman"/>
          <w:sz w:val="24"/>
        </w:rPr>
        <w:t>=  f</w:t>
      </w:r>
      <w:proofErr w:type="gramEnd"/>
      <w:r>
        <w:rPr>
          <w:rFonts w:ascii="Times New Roman" w:hAnsi="Times New Roman"/>
          <w:sz w:val="24"/>
        </w:rPr>
        <w:t xml:space="preserve">  x  FOH</w:t>
      </w:r>
    </w:p>
    <w:p w:rsidR="00A9643B" w:rsidRDefault="00A9643B" w:rsidP="00A9643B">
      <w:pPr>
        <w:pStyle w:val="ListParagraph"/>
        <w:spacing w:line="360" w:lineRule="auto"/>
        <w:ind w:left="1008"/>
        <w:jc w:val="both"/>
        <w:rPr>
          <w:rFonts w:ascii="Times New Roman" w:hAnsi="Times New Roman"/>
          <w:sz w:val="24"/>
        </w:rPr>
      </w:pPr>
      <w:r>
        <w:rPr>
          <w:rFonts w:ascii="Times New Roman" w:hAnsi="Times New Roman"/>
          <w:sz w:val="24"/>
        </w:rPr>
        <w:tab/>
      </w:r>
      <w:proofErr w:type="spellStart"/>
      <w:proofErr w:type="gramStart"/>
      <w:r>
        <w:rPr>
          <w:rFonts w:ascii="Times New Roman" w:hAnsi="Times New Roman"/>
          <w:sz w:val="24"/>
        </w:rPr>
        <w:t>EFDHd</w:t>
      </w:r>
      <w:proofErr w:type="spellEnd"/>
      <w:r>
        <w:rPr>
          <w:rFonts w:ascii="Times New Roman" w:hAnsi="Times New Roman"/>
          <w:sz w:val="24"/>
        </w:rPr>
        <w:t xml:space="preserve">  =</w:t>
      </w:r>
      <w:proofErr w:type="gramEnd"/>
      <w:r>
        <w:rPr>
          <w:rFonts w:ascii="Times New Roman" w:hAnsi="Times New Roman"/>
          <w:sz w:val="24"/>
        </w:rPr>
        <w:t xml:space="preserve">  EFDH – EFDHRS, if reserve shutdown events reported.</w:t>
      </w:r>
    </w:p>
    <w:p w:rsidR="00A9643B" w:rsidRDefault="00A9643B" w:rsidP="00A9643B">
      <w:pPr>
        <w:pStyle w:val="ListParagraph"/>
        <w:spacing w:line="360" w:lineRule="auto"/>
        <w:ind w:left="1008"/>
        <w:jc w:val="both"/>
        <w:rPr>
          <w:rFonts w:ascii="Times New Roman" w:hAnsi="Times New Roman"/>
          <w:sz w:val="24"/>
        </w:rPr>
      </w:pPr>
      <w:r>
        <w:rPr>
          <w:rFonts w:ascii="Times New Roman" w:hAnsi="Times New Roman"/>
          <w:sz w:val="24"/>
        </w:rPr>
        <w:tab/>
      </w:r>
      <w:r>
        <w:rPr>
          <w:rFonts w:ascii="Times New Roman" w:hAnsi="Times New Roman"/>
          <w:sz w:val="24"/>
        </w:rPr>
        <w:tab/>
        <w:t xml:space="preserve">   </w:t>
      </w:r>
      <w:proofErr w:type="gramStart"/>
      <w:r>
        <w:rPr>
          <w:rFonts w:ascii="Times New Roman" w:hAnsi="Times New Roman"/>
          <w:sz w:val="24"/>
        </w:rPr>
        <w:t xml:space="preserve">=  </w:t>
      </w:r>
      <w:proofErr w:type="spellStart"/>
      <w:r>
        <w:rPr>
          <w:rFonts w:ascii="Times New Roman" w:hAnsi="Times New Roman"/>
          <w:sz w:val="24"/>
        </w:rPr>
        <w:t>fp</w:t>
      </w:r>
      <w:proofErr w:type="spellEnd"/>
      <w:proofErr w:type="gramEnd"/>
      <w:r>
        <w:rPr>
          <w:rFonts w:ascii="Times New Roman" w:hAnsi="Times New Roman"/>
          <w:sz w:val="24"/>
        </w:rPr>
        <w:t xml:space="preserve">  x  EFDH, if no reserve shutdown events reported (approximation).</w:t>
      </w:r>
    </w:p>
    <w:p w:rsidR="00A9643B" w:rsidRPr="00E20158" w:rsidRDefault="00A9643B" w:rsidP="00A9643B">
      <w:pPr>
        <w:pStyle w:val="ListParagraph"/>
        <w:spacing w:line="360" w:lineRule="auto"/>
        <w:ind w:left="1008"/>
        <w:jc w:val="both"/>
        <w:rPr>
          <w:rFonts w:ascii="Times New Roman" w:eastAsia="Times New Roman" w:hAnsi="Times New Roman"/>
          <w:sz w:val="28"/>
        </w:rPr>
      </w:pPr>
      <w:r>
        <w:rPr>
          <w:rFonts w:ascii="Times New Roman" w:hAnsi="Times New Roman"/>
          <w:sz w:val="24"/>
        </w:rPr>
        <w:tab/>
      </w:r>
      <w:proofErr w:type="spellStart"/>
      <w:proofErr w:type="gramStart"/>
      <w:r>
        <w:rPr>
          <w:rFonts w:ascii="Times New Roman" w:hAnsi="Times New Roman"/>
          <w:sz w:val="24"/>
        </w:rPr>
        <w:t>fp</w:t>
      </w:r>
      <w:proofErr w:type="spellEnd"/>
      <w:proofErr w:type="gramEnd"/>
      <w:r>
        <w:rPr>
          <w:rFonts w:ascii="Times New Roman" w:hAnsi="Times New Roman"/>
          <w:sz w:val="24"/>
        </w:rPr>
        <w:t xml:space="preserve">            = </w:t>
      </w:r>
      <m:oMath>
        <m:r>
          <w:rPr>
            <w:rFonts w:ascii="Cambria Math" w:hAnsi="Cambria Math"/>
            <w:sz w:val="30"/>
            <w:szCs w:val="30"/>
          </w:rPr>
          <m:t xml:space="preserve"> </m:t>
        </m:r>
        <m:f>
          <m:fPr>
            <m:ctrlPr>
              <w:rPr>
                <w:rFonts w:ascii="Cambria Math" w:hAnsi="Cambria Math"/>
                <w:i/>
                <w:sz w:val="30"/>
                <w:szCs w:val="30"/>
              </w:rPr>
            </m:ctrlPr>
          </m:fPr>
          <m:num>
            <m:r>
              <w:rPr>
                <w:rFonts w:ascii="Cambria Math" w:hAnsi="Cambria Math"/>
                <w:sz w:val="30"/>
                <w:szCs w:val="30"/>
              </w:rPr>
              <m:t>SH</m:t>
            </m:r>
          </m:num>
          <m:den>
            <m:r>
              <w:rPr>
                <w:rFonts w:ascii="Cambria Math" w:hAnsi="Cambria Math"/>
                <w:sz w:val="30"/>
                <w:szCs w:val="30"/>
              </w:rPr>
              <m:t>SH+RSH</m:t>
            </m:r>
          </m:den>
        </m:f>
      </m:oMath>
    </w:p>
    <w:p w:rsidR="00A9643B" w:rsidRDefault="00A9643B" w:rsidP="00A9643B">
      <w:pPr>
        <w:pStyle w:val="ListParagraph"/>
        <w:spacing w:line="360" w:lineRule="auto"/>
        <w:ind w:left="1008"/>
        <w:jc w:val="both"/>
        <w:rPr>
          <w:rFonts w:ascii="Times New Roman" w:eastAsia="Times New Roman" w:hAnsi="Times New Roman"/>
          <w:sz w:val="30"/>
          <w:szCs w:val="30"/>
        </w:rPr>
      </w:pPr>
      <w:r w:rsidRPr="00E20158">
        <w:rPr>
          <w:rFonts w:ascii="Times New Roman" w:eastAsia="Times New Roman" w:hAnsi="Times New Roman"/>
          <w:sz w:val="24"/>
        </w:rPr>
        <w:tab/>
      </w:r>
      <w:r>
        <w:rPr>
          <w:rFonts w:ascii="Times New Roman" w:eastAsia="Times New Roman" w:hAnsi="Times New Roman"/>
          <w:sz w:val="24"/>
        </w:rPr>
        <w:t>f</w:t>
      </w:r>
      <w:r>
        <w:rPr>
          <w:rFonts w:ascii="Times New Roman" w:eastAsia="Times New Roman" w:hAnsi="Times New Roman"/>
          <w:sz w:val="24"/>
        </w:rPr>
        <w:tab/>
        <w:t xml:space="preserve">   =  </w:t>
      </w:r>
      <m:oMath>
        <m:f>
          <m:fPr>
            <m:ctrlPr>
              <w:rPr>
                <w:rFonts w:ascii="Cambria Math" w:eastAsia="Times New Roman" w:hAnsi="Cambria Math"/>
                <w:i/>
                <w:sz w:val="30"/>
                <w:szCs w:val="30"/>
              </w:rPr>
            </m:ctrlPr>
          </m:fPr>
          <m:num>
            <m:f>
              <m:fPr>
                <m:ctrlPr>
                  <w:rPr>
                    <w:rFonts w:ascii="Cambria Math" w:eastAsia="Times New Roman" w:hAnsi="Cambria Math"/>
                    <w:i/>
                    <w:sz w:val="30"/>
                    <w:szCs w:val="30"/>
                  </w:rPr>
                </m:ctrlPr>
              </m:fPr>
              <m:num>
                <m:r>
                  <w:rPr>
                    <w:rFonts w:ascii="Cambria Math" w:eastAsia="Times New Roman" w:hAnsi="Cambria Math"/>
                    <w:sz w:val="30"/>
                    <w:szCs w:val="30"/>
                  </w:rPr>
                  <m:t>1</m:t>
                </m:r>
              </m:num>
              <m:den>
                <m:r>
                  <w:rPr>
                    <w:rFonts w:ascii="Cambria Math" w:eastAsia="Times New Roman" w:hAnsi="Cambria Math"/>
                    <w:sz w:val="30"/>
                    <w:szCs w:val="30"/>
                  </w:rPr>
                  <m:t>r</m:t>
                </m:r>
              </m:den>
            </m:f>
            <m:r>
              <w:rPr>
                <w:rFonts w:ascii="Cambria Math" w:eastAsia="Times New Roman" w:hAnsi="Cambria Math"/>
                <w:sz w:val="30"/>
                <w:szCs w:val="30"/>
              </w:rPr>
              <m:t xml:space="preserve">+ </m:t>
            </m:r>
            <m:f>
              <m:fPr>
                <m:ctrlPr>
                  <w:rPr>
                    <w:rFonts w:ascii="Cambria Math" w:eastAsia="Times New Roman" w:hAnsi="Cambria Math"/>
                    <w:i/>
                    <w:sz w:val="30"/>
                    <w:szCs w:val="30"/>
                  </w:rPr>
                </m:ctrlPr>
              </m:fPr>
              <m:num>
                <m:r>
                  <w:rPr>
                    <w:rFonts w:ascii="Cambria Math" w:eastAsia="Times New Roman" w:hAnsi="Cambria Math"/>
                    <w:sz w:val="30"/>
                    <w:szCs w:val="30"/>
                  </w:rPr>
                  <m:t>1</m:t>
                </m:r>
              </m:num>
              <m:den>
                <m:r>
                  <w:rPr>
                    <w:rFonts w:ascii="Cambria Math" w:eastAsia="Times New Roman" w:hAnsi="Cambria Math"/>
                    <w:sz w:val="30"/>
                    <w:szCs w:val="30"/>
                  </w:rPr>
                  <m:t>T</m:t>
                </m:r>
              </m:den>
            </m:f>
          </m:num>
          <m:den>
            <m:f>
              <m:fPr>
                <m:ctrlPr>
                  <w:rPr>
                    <w:rFonts w:ascii="Cambria Math" w:eastAsia="Times New Roman" w:hAnsi="Cambria Math"/>
                    <w:i/>
                    <w:sz w:val="30"/>
                    <w:szCs w:val="30"/>
                  </w:rPr>
                </m:ctrlPr>
              </m:fPr>
              <m:num>
                <m:r>
                  <w:rPr>
                    <w:rFonts w:ascii="Cambria Math" w:eastAsia="Times New Roman" w:hAnsi="Cambria Math"/>
                    <w:sz w:val="30"/>
                    <w:szCs w:val="30"/>
                  </w:rPr>
                  <m:t>1</m:t>
                </m:r>
              </m:num>
              <m:den>
                <m:r>
                  <w:rPr>
                    <w:rFonts w:ascii="Cambria Math" w:eastAsia="Times New Roman" w:hAnsi="Cambria Math"/>
                    <w:sz w:val="30"/>
                    <w:szCs w:val="30"/>
                  </w:rPr>
                  <m:t>r</m:t>
                </m:r>
              </m:den>
            </m:f>
            <m:r>
              <w:rPr>
                <w:rFonts w:ascii="Cambria Math" w:eastAsia="Times New Roman" w:hAnsi="Cambria Math"/>
                <w:sz w:val="30"/>
                <w:szCs w:val="30"/>
              </w:rPr>
              <m:t xml:space="preserve">+ </m:t>
            </m:r>
            <m:f>
              <m:fPr>
                <m:ctrlPr>
                  <w:rPr>
                    <w:rFonts w:ascii="Cambria Math" w:eastAsia="Times New Roman" w:hAnsi="Cambria Math"/>
                    <w:i/>
                    <w:sz w:val="30"/>
                    <w:szCs w:val="30"/>
                  </w:rPr>
                </m:ctrlPr>
              </m:fPr>
              <m:num>
                <m:r>
                  <w:rPr>
                    <w:rFonts w:ascii="Cambria Math" w:eastAsia="Times New Roman" w:hAnsi="Cambria Math"/>
                    <w:sz w:val="30"/>
                    <w:szCs w:val="30"/>
                  </w:rPr>
                  <m:t>1</m:t>
                </m:r>
              </m:num>
              <m:den>
                <m:r>
                  <w:rPr>
                    <w:rFonts w:ascii="Cambria Math" w:eastAsia="Times New Roman" w:hAnsi="Cambria Math"/>
                    <w:sz w:val="30"/>
                    <w:szCs w:val="30"/>
                  </w:rPr>
                  <m:t>T</m:t>
                </m:r>
              </m:den>
            </m:f>
            <m:r>
              <w:rPr>
                <w:rFonts w:ascii="Cambria Math" w:eastAsia="Times New Roman" w:hAnsi="Cambria Math"/>
                <w:sz w:val="30"/>
                <w:szCs w:val="30"/>
              </w:rPr>
              <m:t xml:space="preserve">+ </m:t>
            </m:r>
            <m:f>
              <m:fPr>
                <m:ctrlPr>
                  <w:rPr>
                    <w:rFonts w:ascii="Cambria Math" w:eastAsia="Times New Roman" w:hAnsi="Cambria Math"/>
                    <w:i/>
                    <w:sz w:val="30"/>
                    <w:szCs w:val="30"/>
                  </w:rPr>
                </m:ctrlPr>
              </m:fPr>
              <m:num>
                <m:r>
                  <w:rPr>
                    <w:rFonts w:ascii="Cambria Math" w:eastAsia="Times New Roman" w:hAnsi="Cambria Math"/>
                    <w:sz w:val="30"/>
                    <w:szCs w:val="30"/>
                  </w:rPr>
                  <m:t>1</m:t>
                </m:r>
              </m:num>
              <m:den>
                <m:r>
                  <w:rPr>
                    <w:rFonts w:ascii="Cambria Math" w:eastAsia="Times New Roman" w:hAnsi="Cambria Math"/>
                    <w:sz w:val="30"/>
                    <w:szCs w:val="30"/>
                  </w:rPr>
                  <m:t>D</m:t>
                </m:r>
              </m:den>
            </m:f>
          </m:den>
        </m:f>
      </m:oMath>
    </w:p>
    <w:p w:rsidR="00A9643B" w:rsidRDefault="00A9643B" w:rsidP="00A9643B">
      <w:pPr>
        <w:pStyle w:val="ListParagraph"/>
        <w:spacing w:line="360" w:lineRule="auto"/>
        <w:ind w:left="1008"/>
        <w:jc w:val="both"/>
        <w:rPr>
          <w:rFonts w:ascii="Times New Roman" w:eastAsia="Times New Roman" w:hAnsi="Times New Roman"/>
          <w:sz w:val="24"/>
          <w:szCs w:val="30"/>
        </w:rPr>
      </w:pPr>
      <w:r>
        <w:rPr>
          <w:rFonts w:ascii="Times New Roman" w:eastAsia="Times New Roman" w:hAnsi="Times New Roman"/>
          <w:sz w:val="24"/>
          <w:szCs w:val="30"/>
        </w:rPr>
        <w:tab/>
        <w:t>r</w:t>
      </w:r>
      <w:r>
        <w:rPr>
          <w:rFonts w:ascii="Times New Roman" w:eastAsia="Times New Roman" w:hAnsi="Times New Roman"/>
          <w:sz w:val="24"/>
          <w:szCs w:val="30"/>
        </w:rPr>
        <w:tab/>
        <w:t xml:space="preserve">   =  </w:t>
      </w:r>
      <m:oMath>
        <m:f>
          <m:fPr>
            <m:ctrlPr>
              <w:rPr>
                <w:rFonts w:ascii="Cambria Math" w:eastAsia="Times New Roman" w:hAnsi="Cambria Math"/>
                <w:i/>
                <w:sz w:val="30"/>
                <w:szCs w:val="30"/>
              </w:rPr>
            </m:ctrlPr>
          </m:fPr>
          <m:num>
            <m:r>
              <w:rPr>
                <w:rFonts w:ascii="Cambria Math" w:eastAsia="Times New Roman" w:hAnsi="Cambria Math"/>
                <w:sz w:val="30"/>
                <w:szCs w:val="30"/>
              </w:rPr>
              <m:t>FOH</m:t>
            </m:r>
          </m:num>
          <m:den>
            <m:r>
              <w:rPr>
                <w:rFonts w:ascii="Cambria Math" w:eastAsia="Times New Roman" w:hAnsi="Cambria Math"/>
                <w:sz w:val="30"/>
                <w:szCs w:val="30"/>
              </w:rPr>
              <m:t># FO</m:t>
            </m:r>
          </m:den>
        </m:f>
      </m:oMath>
      <w:r>
        <w:rPr>
          <w:rFonts w:ascii="Times New Roman" w:eastAsia="Times New Roman" w:hAnsi="Times New Roman"/>
          <w:sz w:val="24"/>
          <w:szCs w:val="30"/>
        </w:rPr>
        <w:t xml:space="preserve"> , Average FO deration.</w:t>
      </w:r>
    </w:p>
    <w:p w:rsidR="00A9643B" w:rsidRDefault="00A9643B" w:rsidP="00A9643B">
      <w:pPr>
        <w:pStyle w:val="ListParagraph"/>
        <w:spacing w:line="360" w:lineRule="auto"/>
        <w:ind w:left="1008"/>
        <w:jc w:val="both"/>
        <w:rPr>
          <w:rFonts w:ascii="Times New Roman" w:eastAsia="Times New Roman" w:hAnsi="Times New Roman"/>
          <w:sz w:val="24"/>
          <w:szCs w:val="30"/>
        </w:rPr>
      </w:pPr>
      <w:r>
        <w:rPr>
          <w:rFonts w:ascii="Times New Roman" w:eastAsia="Times New Roman" w:hAnsi="Times New Roman"/>
          <w:sz w:val="24"/>
          <w:szCs w:val="30"/>
        </w:rPr>
        <w:tab/>
        <w:t>D</w:t>
      </w:r>
      <w:r>
        <w:rPr>
          <w:rFonts w:ascii="Times New Roman" w:eastAsia="Times New Roman" w:hAnsi="Times New Roman"/>
          <w:sz w:val="24"/>
          <w:szCs w:val="30"/>
        </w:rPr>
        <w:tab/>
        <w:t xml:space="preserve">   = </w:t>
      </w:r>
      <w:r w:rsidRPr="00E20158">
        <w:rPr>
          <w:rFonts w:ascii="Times New Roman" w:eastAsia="Times New Roman" w:hAnsi="Times New Roman"/>
          <w:sz w:val="30"/>
          <w:szCs w:val="30"/>
        </w:rPr>
        <w:t xml:space="preserve"> </w:t>
      </w:r>
      <m:oMath>
        <m:f>
          <m:fPr>
            <m:ctrlPr>
              <w:rPr>
                <w:rFonts w:ascii="Cambria Math" w:eastAsia="Times New Roman" w:hAnsi="Cambria Math"/>
                <w:i/>
                <w:sz w:val="30"/>
                <w:szCs w:val="30"/>
              </w:rPr>
            </m:ctrlPr>
          </m:fPr>
          <m:num>
            <m:r>
              <w:rPr>
                <w:rFonts w:ascii="Cambria Math" w:eastAsia="Times New Roman" w:hAnsi="Cambria Math"/>
                <w:sz w:val="30"/>
                <w:szCs w:val="30"/>
              </w:rPr>
              <m:t>SH</m:t>
            </m:r>
          </m:num>
          <m:den>
            <m:r>
              <w:rPr>
                <w:rFonts w:ascii="Cambria Math" w:eastAsia="Times New Roman" w:hAnsi="Cambria Math"/>
                <w:sz w:val="30"/>
                <w:szCs w:val="30"/>
              </w:rPr>
              <m:t># of unit actual starts</m:t>
            </m:r>
          </m:den>
        </m:f>
      </m:oMath>
      <w:r>
        <w:rPr>
          <w:rFonts w:ascii="Times New Roman" w:eastAsia="Times New Roman" w:hAnsi="Times New Roman"/>
          <w:sz w:val="28"/>
          <w:szCs w:val="30"/>
        </w:rPr>
        <w:t xml:space="preserve"> </w:t>
      </w:r>
      <w:r>
        <w:rPr>
          <w:rFonts w:ascii="Times New Roman" w:eastAsia="Times New Roman" w:hAnsi="Times New Roman"/>
          <w:sz w:val="24"/>
          <w:szCs w:val="30"/>
        </w:rPr>
        <w:t>, Average demand time.</w:t>
      </w:r>
    </w:p>
    <w:p w:rsidR="00A9643B" w:rsidRDefault="00A9643B" w:rsidP="00A9643B">
      <w:pPr>
        <w:pStyle w:val="ListParagraph"/>
        <w:spacing w:line="360" w:lineRule="auto"/>
        <w:ind w:left="1008"/>
        <w:jc w:val="both"/>
        <w:rPr>
          <w:rFonts w:ascii="Times New Roman" w:eastAsia="Times New Roman" w:hAnsi="Times New Roman"/>
          <w:sz w:val="24"/>
          <w:szCs w:val="30"/>
        </w:rPr>
      </w:pPr>
      <w:r>
        <w:rPr>
          <w:rFonts w:ascii="Times New Roman" w:eastAsia="Times New Roman" w:hAnsi="Times New Roman"/>
          <w:sz w:val="24"/>
          <w:szCs w:val="30"/>
        </w:rPr>
        <w:tab/>
        <w:t>T</w:t>
      </w:r>
      <w:r>
        <w:rPr>
          <w:rFonts w:ascii="Times New Roman" w:eastAsia="Times New Roman" w:hAnsi="Times New Roman"/>
          <w:sz w:val="24"/>
          <w:szCs w:val="30"/>
        </w:rPr>
        <w:tab/>
        <w:t xml:space="preserve">   =  </w:t>
      </w:r>
      <m:oMath>
        <m:f>
          <m:fPr>
            <m:ctrlPr>
              <w:rPr>
                <w:rFonts w:ascii="Cambria Math" w:eastAsia="Times New Roman" w:hAnsi="Cambria Math"/>
                <w:i/>
                <w:sz w:val="30"/>
                <w:szCs w:val="30"/>
              </w:rPr>
            </m:ctrlPr>
          </m:fPr>
          <m:num>
            <m:r>
              <w:rPr>
                <w:rFonts w:ascii="Cambria Math" w:eastAsia="Times New Roman" w:hAnsi="Cambria Math"/>
                <w:sz w:val="30"/>
                <w:szCs w:val="30"/>
              </w:rPr>
              <m:t>RSH</m:t>
            </m:r>
          </m:num>
          <m:den>
            <m:r>
              <w:rPr>
                <w:rFonts w:ascii="Cambria Math" w:eastAsia="Times New Roman" w:hAnsi="Cambria Math"/>
                <w:sz w:val="30"/>
                <w:szCs w:val="30"/>
              </w:rPr>
              <m:t># of unit attempted starts</m:t>
            </m:r>
          </m:den>
        </m:f>
      </m:oMath>
      <w:r>
        <w:rPr>
          <w:rFonts w:ascii="Times New Roman" w:eastAsia="Times New Roman" w:hAnsi="Times New Roman"/>
          <w:sz w:val="30"/>
          <w:szCs w:val="30"/>
        </w:rPr>
        <w:t xml:space="preserve"> </w:t>
      </w:r>
      <w:r>
        <w:rPr>
          <w:rFonts w:ascii="Times New Roman" w:eastAsia="Times New Roman" w:hAnsi="Times New Roman"/>
          <w:sz w:val="24"/>
          <w:szCs w:val="30"/>
        </w:rPr>
        <w:t>, Average reserve shutdown time.</w:t>
      </w:r>
    </w:p>
    <w:p w:rsidR="00A9643B" w:rsidRDefault="00A9643B" w:rsidP="00740286">
      <w:pPr>
        <w:pStyle w:val="ListParagraph"/>
        <w:numPr>
          <w:ilvl w:val="0"/>
          <w:numId w:val="12"/>
        </w:numPr>
        <w:spacing w:line="360" w:lineRule="auto"/>
        <w:ind w:left="1008" w:firstLine="0"/>
        <w:jc w:val="both"/>
        <w:rPr>
          <w:rFonts w:ascii="Times New Roman" w:eastAsia="Times New Roman" w:hAnsi="Times New Roman"/>
          <w:sz w:val="24"/>
        </w:rPr>
      </w:pPr>
      <w:r>
        <w:rPr>
          <w:rFonts w:ascii="Times New Roman" w:eastAsia="Times New Roman" w:hAnsi="Times New Roman"/>
          <w:sz w:val="24"/>
        </w:rPr>
        <w:t>MTTR – Mean Time To Repair</w:t>
      </w:r>
    </w:p>
    <w:p w:rsidR="00A9643B" w:rsidRDefault="00721C08" w:rsidP="00A9643B">
      <w:pPr>
        <w:pStyle w:val="ListParagraph"/>
        <w:spacing w:line="360" w:lineRule="auto"/>
        <w:ind w:left="0"/>
        <w:jc w:val="center"/>
        <w:rPr>
          <w:rFonts w:ascii="Times New Roman" w:eastAsia="Times New Roman" w:hAnsi="Times New Roman"/>
          <w:sz w:val="26"/>
          <w:szCs w:val="26"/>
        </w:rPr>
      </w:pPr>
      <m:oMathPara>
        <m:oMathParaPr>
          <m:jc m:val="center"/>
        </m:oMathParaPr>
        <m:oMath>
          <m:r>
            <w:rPr>
              <w:rFonts w:ascii="Cambria Math" w:eastAsia="Times New Roman" w:hAnsi="Cambria Math"/>
              <w:sz w:val="26"/>
              <w:szCs w:val="26"/>
            </w:rPr>
            <m:t xml:space="preserve">MTTR= </m:t>
          </m:r>
          <m:f>
            <m:fPr>
              <m:ctrlPr>
                <w:rPr>
                  <w:rFonts w:ascii="Cambria Math" w:eastAsia="Times New Roman" w:hAnsi="Cambria Math"/>
                  <w:i/>
                  <w:sz w:val="26"/>
                  <w:szCs w:val="26"/>
                </w:rPr>
              </m:ctrlPr>
            </m:fPr>
            <m:num>
              <m:r>
                <w:rPr>
                  <w:rFonts w:ascii="Cambria Math" w:eastAsia="Times New Roman" w:hAnsi="Cambria Math"/>
                  <w:sz w:val="26"/>
                  <w:szCs w:val="26"/>
                </w:rPr>
                <m:t>FOH+EFDH</m:t>
              </m:r>
            </m:num>
            <m:den>
              <m:r>
                <w:rPr>
                  <w:rFonts w:ascii="Cambria Math" w:eastAsia="Times New Roman" w:hAnsi="Cambria Math"/>
                  <w:sz w:val="26"/>
                  <w:szCs w:val="26"/>
                </w:rPr>
                <m:t># FO</m:t>
              </m:r>
            </m:den>
          </m:f>
        </m:oMath>
      </m:oMathPara>
    </w:p>
    <w:p w:rsidR="00A9643B" w:rsidRDefault="00A9643B" w:rsidP="00740286">
      <w:pPr>
        <w:pStyle w:val="ListParagraph"/>
        <w:numPr>
          <w:ilvl w:val="0"/>
          <w:numId w:val="12"/>
        </w:numPr>
        <w:spacing w:line="360" w:lineRule="auto"/>
        <w:ind w:left="1008" w:firstLine="0"/>
        <w:jc w:val="both"/>
        <w:rPr>
          <w:rFonts w:ascii="Times New Roman" w:eastAsia="Times New Roman" w:hAnsi="Times New Roman"/>
          <w:sz w:val="24"/>
        </w:rPr>
      </w:pPr>
      <w:r>
        <w:rPr>
          <w:rFonts w:ascii="Times New Roman" w:eastAsia="Times New Roman" w:hAnsi="Times New Roman"/>
          <w:sz w:val="24"/>
        </w:rPr>
        <w:t>MTTF – Mean Time To Failure</w:t>
      </w:r>
    </w:p>
    <w:p w:rsidR="00A9643B" w:rsidRDefault="00721C08" w:rsidP="00A9643B">
      <w:pPr>
        <w:pStyle w:val="ListParagraph"/>
        <w:spacing w:line="360" w:lineRule="auto"/>
        <w:ind w:left="0"/>
        <w:jc w:val="center"/>
        <w:rPr>
          <w:rFonts w:ascii="Times New Roman" w:eastAsia="Times New Roman" w:hAnsi="Times New Roman"/>
          <w:sz w:val="26"/>
          <w:szCs w:val="26"/>
        </w:rPr>
      </w:pPr>
      <m:oMathPara>
        <m:oMathParaPr>
          <m:jc m:val="center"/>
        </m:oMathParaPr>
        <m:oMath>
          <m:r>
            <w:rPr>
              <w:rFonts w:ascii="Cambria Math" w:eastAsia="Times New Roman" w:hAnsi="Cambria Math"/>
              <w:sz w:val="26"/>
              <w:szCs w:val="26"/>
            </w:rPr>
            <m:t xml:space="preserve">MTTF= SOAF × MTTR × </m:t>
          </m:r>
          <m:d>
            <m:dPr>
              <m:begChr m:val="["/>
              <m:endChr m:val="]"/>
              <m:ctrlPr>
                <w:rPr>
                  <w:rFonts w:ascii="Cambria Math" w:eastAsia="Times New Roman" w:hAnsi="Cambria Math"/>
                  <w:i/>
                  <w:sz w:val="26"/>
                  <w:szCs w:val="26"/>
                </w:rPr>
              </m:ctrlPr>
            </m:dPr>
            <m:e>
              <m:d>
                <m:dPr>
                  <m:ctrlPr>
                    <w:rPr>
                      <w:rFonts w:ascii="Cambria Math" w:eastAsia="Times New Roman" w:hAnsi="Cambria Math"/>
                      <w:i/>
                      <w:sz w:val="26"/>
                      <w:szCs w:val="26"/>
                    </w:rPr>
                  </m:ctrlPr>
                </m:dPr>
                <m:e>
                  <m:f>
                    <m:fPr>
                      <m:ctrlPr>
                        <w:rPr>
                          <w:rFonts w:ascii="Cambria Math" w:eastAsia="Times New Roman" w:hAnsi="Cambria Math"/>
                          <w:i/>
                          <w:sz w:val="26"/>
                          <w:szCs w:val="26"/>
                        </w:rPr>
                      </m:ctrlPr>
                    </m:fPr>
                    <m:num>
                      <m:r>
                        <w:rPr>
                          <w:rFonts w:ascii="Cambria Math" w:eastAsia="Times New Roman" w:hAnsi="Cambria Math"/>
                          <w:sz w:val="26"/>
                          <w:szCs w:val="26"/>
                        </w:rPr>
                        <m:t>1</m:t>
                      </m:r>
                    </m:num>
                    <m:den>
                      <m:r>
                        <w:rPr>
                          <w:rFonts w:ascii="Cambria Math" w:eastAsia="Times New Roman" w:hAnsi="Cambria Math"/>
                          <w:sz w:val="26"/>
                          <w:szCs w:val="26"/>
                        </w:rPr>
                        <m:t>EFORd</m:t>
                      </m:r>
                    </m:den>
                  </m:f>
                </m:e>
              </m:d>
              <m:r>
                <w:rPr>
                  <w:rFonts w:ascii="Cambria Math" w:eastAsia="Times New Roman" w:hAnsi="Cambria Math"/>
                  <w:sz w:val="26"/>
                  <w:szCs w:val="26"/>
                </w:rPr>
                <m:t>- 1</m:t>
              </m:r>
            </m:e>
          </m:d>
        </m:oMath>
      </m:oMathPara>
    </w:p>
    <w:p w:rsidR="00A9643B" w:rsidRDefault="00A9643B" w:rsidP="00A9643B">
      <w:pPr>
        <w:pStyle w:val="ListParagraph"/>
        <w:spacing w:line="360" w:lineRule="auto"/>
        <w:ind w:left="0"/>
        <w:jc w:val="both"/>
        <w:rPr>
          <w:rFonts w:ascii="Times New Roman" w:eastAsia="Times New Roman" w:hAnsi="Times New Roman"/>
          <w:sz w:val="24"/>
          <w:szCs w:val="26"/>
        </w:rPr>
      </w:pPr>
      <w:r>
        <w:rPr>
          <w:rFonts w:ascii="Times New Roman" w:eastAsia="Times New Roman" w:hAnsi="Times New Roman"/>
          <w:sz w:val="24"/>
          <w:szCs w:val="26"/>
        </w:rPr>
        <w:tab/>
      </w:r>
      <w:r>
        <w:rPr>
          <w:rFonts w:ascii="Times New Roman" w:eastAsia="Times New Roman" w:hAnsi="Times New Roman"/>
          <w:sz w:val="24"/>
          <w:szCs w:val="26"/>
        </w:rPr>
        <w:tab/>
        <w:t>Where,</w:t>
      </w:r>
    </w:p>
    <w:p w:rsidR="00A9643B" w:rsidRDefault="00A9643B" w:rsidP="00A9643B">
      <w:pPr>
        <w:pStyle w:val="ListParagraph"/>
        <w:spacing w:line="360" w:lineRule="auto"/>
        <w:ind w:left="0"/>
        <w:jc w:val="both"/>
        <w:rPr>
          <w:rFonts w:ascii="Times New Roman" w:eastAsia="Times New Roman" w:hAnsi="Times New Roman"/>
          <w:sz w:val="24"/>
          <w:szCs w:val="26"/>
        </w:rPr>
      </w:pPr>
      <w:r>
        <w:rPr>
          <w:rFonts w:ascii="Times New Roman" w:eastAsia="Times New Roman" w:hAnsi="Times New Roman"/>
          <w:sz w:val="24"/>
          <w:szCs w:val="26"/>
        </w:rPr>
        <w:tab/>
      </w:r>
      <w:r>
        <w:rPr>
          <w:rFonts w:ascii="Times New Roman" w:eastAsia="Times New Roman" w:hAnsi="Times New Roman"/>
          <w:sz w:val="24"/>
          <w:szCs w:val="26"/>
        </w:rPr>
        <w:tab/>
      </w:r>
      <m:oMath>
        <m:r>
          <w:rPr>
            <w:rFonts w:ascii="Cambria Math" w:eastAsia="Times New Roman" w:hAnsi="Cambria Math"/>
            <w:szCs w:val="26"/>
          </w:rPr>
          <m:t xml:space="preserve">SOAF= </m:t>
        </m:r>
        <m:f>
          <m:fPr>
            <m:ctrlPr>
              <w:rPr>
                <w:rFonts w:ascii="Cambria Math" w:eastAsia="Times New Roman" w:hAnsi="Cambria Math"/>
                <w:i/>
                <w:szCs w:val="26"/>
              </w:rPr>
            </m:ctrlPr>
          </m:fPr>
          <m:num>
            <m:r>
              <w:rPr>
                <w:rFonts w:ascii="Cambria Math" w:eastAsia="Times New Roman" w:hAnsi="Cambria Math"/>
                <w:szCs w:val="26"/>
              </w:rPr>
              <m:t>N - SOH</m:t>
            </m:r>
          </m:num>
          <m:den>
            <m:r>
              <w:rPr>
                <w:rFonts w:ascii="Cambria Math" w:eastAsia="Times New Roman" w:hAnsi="Cambria Math"/>
                <w:szCs w:val="26"/>
              </w:rPr>
              <m:t>N</m:t>
            </m:r>
          </m:den>
        </m:f>
      </m:oMath>
      <w:r>
        <w:rPr>
          <w:rFonts w:ascii="Times New Roman" w:eastAsia="Times New Roman" w:hAnsi="Times New Roman"/>
          <w:sz w:val="24"/>
          <w:szCs w:val="26"/>
        </w:rPr>
        <w:t>, Scheduled Outage Adjustment Factor.</w:t>
      </w:r>
    </w:p>
    <w:p w:rsidR="00A9643B" w:rsidRPr="00312E40" w:rsidRDefault="00A9643B" w:rsidP="00A9643B">
      <w:pPr>
        <w:pStyle w:val="ListParagraph"/>
        <w:spacing w:line="360" w:lineRule="auto"/>
        <w:ind w:left="1440"/>
        <w:jc w:val="both"/>
        <w:rPr>
          <w:rFonts w:ascii="Times New Roman" w:eastAsia="Times New Roman" w:hAnsi="Times New Roman"/>
          <w:sz w:val="24"/>
          <w:szCs w:val="26"/>
        </w:rPr>
      </w:pPr>
      <w:r>
        <w:rPr>
          <w:rFonts w:ascii="Times New Roman" w:eastAsia="Times New Roman" w:hAnsi="Times New Roman"/>
          <w:sz w:val="24"/>
          <w:szCs w:val="26"/>
        </w:rPr>
        <w:lastRenderedPageBreak/>
        <w:t xml:space="preserve">N is the number of days in the year considered {i.e. N = 8760 for a normal year and N = 8784 for a leap year}. </w:t>
      </w:r>
    </w:p>
    <w:p w:rsidR="00A9643B" w:rsidRDefault="00A9643B" w:rsidP="00A9643B">
      <w:pPr>
        <w:pStyle w:val="ListParagraph"/>
        <w:spacing w:line="360" w:lineRule="auto"/>
        <w:ind w:left="0" w:firstLine="720"/>
        <w:jc w:val="both"/>
        <w:rPr>
          <w:rFonts w:ascii="Times New Roman" w:eastAsia="Times New Roman" w:hAnsi="Times New Roman"/>
          <w:sz w:val="24"/>
          <w:szCs w:val="26"/>
        </w:rPr>
      </w:pPr>
    </w:p>
    <w:p w:rsidR="00A9643B" w:rsidRPr="002B5A03" w:rsidRDefault="00A9643B" w:rsidP="00A9643B">
      <w:pPr>
        <w:pStyle w:val="ListParagraph"/>
        <w:spacing w:line="360" w:lineRule="auto"/>
        <w:ind w:left="0" w:firstLine="720"/>
        <w:jc w:val="both"/>
        <w:rPr>
          <w:rFonts w:ascii="Times New Roman" w:eastAsia="Times New Roman" w:hAnsi="Times New Roman"/>
          <w:sz w:val="24"/>
          <w:szCs w:val="26"/>
        </w:rPr>
      </w:pPr>
      <w:r>
        <w:rPr>
          <w:rFonts w:ascii="Times New Roman" w:eastAsia="Times New Roman" w:hAnsi="Times New Roman"/>
          <w:sz w:val="24"/>
          <w:szCs w:val="26"/>
        </w:rPr>
        <w:t>The following chapter will explain in detail how the above</w:t>
      </w:r>
      <w:r w:rsidR="00397D7C">
        <w:rPr>
          <w:rFonts w:ascii="Times New Roman" w:eastAsia="Times New Roman" w:hAnsi="Times New Roman"/>
          <w:sz w:val="24"/>
          <w:szCs w:val="26"/>
        </w:rPr>
        <w:t>-</w:t>
      </w:r>
      <w:r>
        <w:rPr>
          <w:rFonts w:ascii="Times New Roman" w:eastAsia="Times New Roman" w:hAnsi="Times New Roman"/>
          <w:sz w:val="24"/>
          <w:szCs w:val="26"/>
        </w:rPr>
        <w:t>mentioned indices are used in the Monte Carlo simulation. The reason why SOAF is used in MTTF calculation will be explained in detail in the next chapter.</w:t>
      </w:r>
    </w:p>
    <w:p w:rsidR="00A9643B" w:rsidRPr="00532E76" w:rsidRDefault="00374646" w:rsidP="00532E76">
      <w:pPr>
        <w:pStyle w:val="Heading2"/>
        <w:rPr>
          <w:rStyle w:val="IntenseReference"/>
          <w:b/>
          <w:bCs/>
          <w:smallCaps w:val="0"/>
          <w:color w:val="auto"/>
          <w:spacing w:val="0"/>
          <w:u w:val="none"/>
        </w:rPr>
      </w:pPr>
      <w:bookmarkStart w:id="260" w:name="_Toc276457214"/>
      <w:r w:rsidRPr="00374646">
        <w:rPr>
          <w:rStyle w:val="IntenseReference"/>
          <w:b/>
          <w:bCs/>
          <w:smallCaps w:val="0"/>
          <w:color w:val="auto"/>
          <w:spacing w:val="0"/>
          <w:u w:val="none"/>
        </w:rPr>
        <w:t>Resources</w:t>
      </w:r>
      <w:bookmarkEnd w:id="260"/>
    </w:p>
    <w:p w:rsidR="00A9643B" w:rsidRDefault="00A9643B" w:rsidP="00A9643B">
      <w:pPr>
        <w:spacing w:line="360" w:lineRule="auto"/>
        <w:ind w:firstLine="720"/>
        <w:jc w:val="both"/>
        <w:rPr>
          <w:i/>
        </w:rPr>
      </w:pPr>
    </w:p>
    <w:p w:rsidR="00A9643B" w:rsidRDefault="00A9643B" w:rsidP="00A9643B">
      <w:pPr>
        <w:spacing w:line="360" w:lineRule="auto"/>
        <w:ind w:firstLine="720"/>
        <w:jc w:val="both"/>
      </w:pPr>
      <w:r>
        <w:t>Conventional (</w:t>
      </w:r>
      <w:r w:rsidR="00397D7C">
        <w:t>t</w:t>
      </w:r>
      <w:r>
        <w:t>hermal) resources, Private</w:t>
      </w:r>
      <w:r w:rsidR="00397D7C">
        <w:t>-</w:t>
      </w:r>
      <w:r>
        <w:t>Use</w:t>
      </w:r>
      <w:r w:rsidR="00397D7C">
        <w:t>-</w:t>
      </w:r>
      <w:r>
        <w:t>Network resources (PUNs), and Wind energy are the resource categories used in this study.</w:t>
      </w:r>
    </w:p>
    <w:p w:rsidR="00A9643B" w:rsidRPr="00532E76" w:rsidRDefault="00374646" w:rsidP="00532E76">
      <w:pPr>
        <w:pStyle w:val="Heading3"/>
        <w:rPr>
          <w:rStyle w:val="IntenseReference"/>
          <w:b/>
          <w:bCs/>
          <w:smallCaps w:val="0"/>
          <w:color w:val="auto"/>
          <w:spacing w:val="0"/>
          <w:szCs w:val="24"/>
          <w:u w:val="none"/>
        </w:rPr>
      </w:pPr>
      <w:bookmarkStart w:id="261" w:name="_Toc276457215"/>
      <w:r w:rsidRPr="00374646">
        <w:rPr>
          <w:rStyle w:val="IntenseReference"/>
          <w:b/>
          <w:bCs/>
          <w:smallCaps w:val="0"/>
          <w:color w:val="auto"/>
          <w:spacing w:val="0"/>
          <w:szCs w:val="24"/>
          <w:u w:val="none"/>
        </w:rPr>
        <w:t>Conventional Resources</w:t>
      </w:r>
      <w:bookmarkEnd w:id="261"/>
    </w:p>
    <w:p w:rsidR="00A9643B" w:rsidRDefault="00A9643B" w:rsidP="00A9643B">
      <w:pPr>
        <w:spacing w:line="360" w:lineRule="auto"/>
        <w:ind w:firstLine="720"/>
        <w:jc w:val="both"/>
        <w:rPr>
          <w:i/>
        </w:rPr>
      </w:pPr>
    </w:p>
    <w:p w:rsidR="00A9643B" w:rsidRDefault="00A9643B" w:rsidP="00A9643B">
      <w:pPr>
        <w:spacing w:line="360" w:lineRule="auto"/>
        <w:ind w:firstLine="720"/>
        <w:jc w:val="both"/>
      </w:pPr>
      <w:r>
        <w:t>Appendix</w:t>
      </w:r>
      <w:r w:rsidR="00397D7C">
        <w:t xml:space="preserve"> </w:t>
      </w:r>
      <w:r>
        <w:t xml:space="preserve">A provides </w:t>
      </w:r>
      <w:r w:rsidR="00397D7C">
        <w:t xml:space="preserve">a </w:t>
      </w:r>
      <w:r>
        <w:t xml:space="preserve">list of the </w:t>
      </w:r>
      <w:r w:rsidR="00397D7C">
        <w:t xml:space="preserve">generation </w:t>
      </w:r>
      <w:r>
        <w:t xml:space="preserve">units that </w:t>
      </w:r>
      <w:r w:rsidR="00397D7C">
        <w:t>were included in this analysis</w:t>
      </w:r>
      <w:r>
        <w:t xml:space="preserve">. Information such as the unit name, net capacity (in MW), </w:t>
      </w:r>
      <w:proofErr w:type="gramStart"/>
      <w:r>
        <w:t>unit</w:t>
      </w:r>
      <w:proofErr w:type="gramEnd"/>
      <w:r>
        <w:t xml:space="preserve"> type </w:t>
      </w:r>
      <w:r w:rsidR="009452F1">
        <w:t>(based on EIA definitions</w:t>
      </w:r>
      <w:r w:rsidR="00371037">
        <w:t>/acronyms</w:t>
      </w:r>
      <w:r w:rsidR="009452F1">
        <w:t xml:space="preserve">) </w:t>
      </w:r>
      <w:r>
        <w:t xml:space="preserve">and fuel type are presented. </w:t>
      </w:r>
    </w:p>
    <w:p w:rsidR="00A9643B" w:rsidRDefault="00A9643B" w:rsidP="00A9643B">
      <w:pPr>
        <w:spacing w:line="360" w:lineRule="auto"/>
        <w:ind w:firstLine="720"/>
        <w:jc w:val="both"/>
      </w:pPr>
      <w:r>
        <w:t>There are several underlying assumptions related to resource input data</w:t>
      </w:r>
      <w:r w:rsidR="00397D7C">
        <w:t>, as follows:</w:t>
      </w:r>
      <w:r>
        <w:t xml:space="preserve"> </w:t>
      </w:r>
    </w:p>
    <w:p w:rsidR="00A9643B" w:rsidRDefault="00A9643B" w:rsidP="00740286">
      <w:pPr>
        <w:pStyle w:val="ListParagraph"/>
        <w:numPr>
          <w:ilvl w:val="0"/>
          <w:numId w:val="8"/>
        </w:numPr>
        <w:spacing w:line="360" w:lineRule="auto"/>
        <w:ind w:left="1080"/>
        <w:jc w:val="both"/>
        <w:rPr>
          <w:rFonts w:ascii="Times New Roman" w:hAnsi="Times New Roman"/>
          <w:sz w:val="24"/>
        </w:rPr>
      </w:pPr>
      <w:r>
        <w:rPr>
          <w:rFonts w:ascii="Times New Roman" w:hAnsi="Times New Roman"/>
          <w:sz w:val="24"/>
        </w:rPr>
        <w:t>All existing generation units, as well as future resources with a signed interconnection agreement that are expected to be in service in year 2012, are considered. This also includes units under reliability must – run (RMR) review.</w:t>
      </w:r>
    </w:p>
    <w:p w:rsidR="00A9643B" w:rsidRDefault="00A9643B" w:rsidP="00740286">
      <w:pPr>
        <w:pStyle w:val="ListParagraph"/>
        <w:numPr>
          <w:ilvl w:val="0"/>
          <w:numId w:val="8"/>
        </w:numPr>
        <w:spacing w:line="360" w:lineRule="auto"/>
        <w:ind w:left="1080"/>
        <w:jc w:val="both"/>
        <w:rPr>
          <w:rFonts w:ascii="Times New Roman" w:hAnsi="Times New Roman"/>
          <w:sz w:val="24"/>
        </w:rPr>
      </w:pPr>
      <w:r>
        <w:rPr>
          <w:rFonts w:ascii="Times New Roman" w:hAnsi="Times New Roman"/>
          <w:sz w:val="24"/>
        </w:rPr>
        <w:t>The import capacity of the DC ties is not taken into account.</w:t>
      </w:r>
    </w:p>
    <w:p w:rsidR="00A9643B" w:rsidRDefault="00A9643B" w:rsidP="00740286">
      <w:pPr>
        <w:pStyle w:val="ListParagraph"/>
        <w:numPr>
          <w:ilvl w:val="0"/>
          <w:numId w:val="8"/>
        </w:numPr>
        <w:spacing w:line="360" w:lineRule="auto"/>
        <w:ind w:left="1080"/>
        <w:jc w:val="both"/>
        <w:rPr>
          <w:rFonts w:ascii="Times New Roman" w:hAnsi="Times New Roman"/>
          <w:sz w:val="24"/>
        </w:rPr>
      </w:pPr>
      <w:r>
        <w:rPr>
          <w:rFonts w:ascii="Times New Roman" w:hAnsi="Times New Roman"/>
          <w:sz w:val="24"/>
        </w:rPr>
        <w:t xml:space="preserve">Planned maintenance outage schedules used in the simulation </w:t>
      </w:r>
      <w:r w:rsidR="00397D7C">
        <w:rPr>
          <w:rFonts w:ascii="Times New Roman" w:hAnsi="Times New Roman"/>
          <w:sz w:val="24"/>
        </w:rPr>
        <w:t>are</w:t>
      </w:r>
      <w:r>
        <w:rPr>
          <w:rFonts w:ascii="Times New Roman" w:hAnsi="Times New Roman"/>
          <w:sz w:val="24"/>
        </w:rPr>
        <w:t xml:space="preserve"> the same </w:t>
      </w:r>
      <w:proofErr w:type="gramStart"/>
      <w:r>
        <w:rPr>
          <w:rFonts w:ascii="Times New Roman" w:hAnsi="Times New Roman"/>
          <w:sz w:val="24"/>
        </w:rPr>
        <w:t>for every iteration</w:t>
      </w:r>
      <w:proofErr w:type="gramEnd"/>
      <w:r w:rsidRPr="00205912">
        <w:rPr>
          <w:rFonts w:ascii="Times New Roman" w:hAnsi="Times New Roman"/>
          <w:sz w:val="24"/>
        </w:rPr>
        <w:t xml:space="preserve">. </w:t>
      </w:r>
      <w:r w:rsidR="00397D7C">
        <w:rPr>
          <w:rFonts w:ascii="Times New Roman" w:hAnsi="Times New Roman"/>
          <w:sz w:val="24"/>
        </w:rPr>
        <w:t xml:space="preserve">These schedules were developed as part of this analysis and are based on average weather conditions. </w:t>
      </w:r>
      <w:r w:rsidR="000715D0">
        <w:rPr>
          <w:rFonts w:ascii="Times New Roman" w:hAnsi="Times New Roman"/>
          <w:sz w:val="24"/>
        </w:rPr>
        <w:t xml:space="preserve">Planned </w:t>
      </w:r>
      <w:r w:rsidRPr="00205912">
        <w:rPr>
          <w:rFonts w:ascii="Times New Roman" w:hAnsi="Times New Roman"/>
          <w:sz w:val="24"/>
        </w:rPr>
        <w:t>outages are not scheduled in summer months (June, July and August).</w:t>
      </w:r>
    </w:p>
    <w:p w:rsidR="00A9643B" w:rsidRDefault="00A9643B" w:rsidP="00740286">
      <w:pPr>
        <w:pStyle w:val="ListParagraph"/>
        <w:numPr>
          <w:ilvl w:val="0"/>
          <w:numId w:val="8"/>
        </w:numPr>
        <w:spacing w:line="360" w:lineRule="auto"/>
        <w:ind w:left="1080"/>
        <w:jc w:val="both"/>
        <w:rPr>
          <w:rFonts w:ascii="Times New Roman" w:hAnsi="Times New Roman"/>
          <w:sz w:val="24"/>
        </w:rPr>
      </w:pPr>
      <w:r>
        <w:rPr>
          <w:rFonts w:ascii="Times New Roman" w:hAnsi="Times New Roman"/>
          <w:sz w:val="24"/>
        </w:rPr>
        <w:t>Forced outages are modeled in accordance with available NERC GADS data.</w:t>
      </w:r>
    </w:p>
    <w:p w:rsidR="00A9643B" w:rsidRDefault="00A9643B" w:rsidP="00740286">
      <w:pPr>
        <w:pStyle w:val="ListParagraph"/>
        <w:numPr>
          <w:ilvl w:val="0"/>
          <w:numId w:val="8"/>
        </w:numPr>
        <w:spacing w:line="360" w:lineRule="auto"/>
        <w:ind w:left="1080"/>
        <w:jc w:val="both"/>
        <w:rPr>
          <w:rFonts w:ascii="Times New Roman" w:hAnsi="Times New Roman"/>
          <w:sz w:val="24"/>
        </w:rPr>
      </w:pPr>
      <w:r>
        <w:rPr>
          <w:rFonts w:ascii="Times New Roman" w:hAnsi="Times New Roman"/>
          <w:sz w:val="24"/>
        </w:rPr>
        <w:t>Hydro units are not considered in this study.</w:t>
      </w:r>
    </w:p>
    <w:p w:rsidR="00A9643B" w:rsidRDefault="00A9643B" w:rsidP="00740286">
      <w:pPr>
        <w:pStyle w:val="ListParagraph"/>
        <w:numPr>
          <w:ilvl w:val="0"/>
          <w:numId w:val="8"/>
        </w:numPr>
        <w:spacing w:line="360" w:lineRule="auto"/>
        <w:ind w:left="1080"/>
        <w:jc w:val="both"/>
        <w:rPr>
          <w:rFonts w:ascii="Times New Roman" w:hAnsi="Times New Roman"/>
          <w:sz w:val="24"/>
        </w:rPr>
      </w:pPr>
      <w:r>
        <w:rPr>
          <w:rFonts w:ascii="Times New Roman" w:hAnsi="Times New Roman"/>
          <w:sz w:val="24"/>
        </w:rPr>
        <w:t>Monthly capacity multipliers are applied in order to model the seasonal capacity ratings of thermal units.</w:t>
      </w:r>
    </w:p>
    <w:p w:rsidR="00A9643B" w:rsidRDefault="00150EE8" w:rsidP="00A9643B">
      <w:pPr>
        <w:spacing w:line="360" w:lineRule="auto"/>
        <w:ind w:firstLine="720"/>
        <w:jc w:val="both"/>
      </w:pPr>
      <w:r>
        <w:t>Seasonal c</w:t>
      </w:r>
      <w:r w:rsidR="00A9643B">
        <w:t xml:space="preserve">apacity values for </w:t>
      </w:r>
      <w:r>
        <w:t xml:space="preserve">thermal </w:t>
      </w:r>
      <w:r w:rsidR="00A9643B">
        <w:t xml:space="preserve">generators are obtained from </w:t>
      </w:r>
      <w:r w:rsidR="00B50085">
        <w:t xml:space="preserve">each generator’s </w:t>
      </w:r>
      <w:r w:rsidR="00A9643B">
        <w:t>RARF (Resource Asset Registration Form)</w:t>
      </w:r>
      <w:r w:rsidR="00B50085">
        <w:t xml:space="preserve"> and </w:t>
      </w:r>
      <w:r w:rsidR="00A9643B">
        <w:t xml:space="preserve">used </w:t>
      </w:r>
      <w:r w:rsidR="00B50085">
        <w:t xml:space="preserve">to determine the monthly </w:t>
      </w:r>
      <w:r w:rsidR="00A9643B">
        <w:t xml:space="preserve">capacity </w:t>
      </w:r>
      <w:r w:rsidR="00A9643B">
        <w:lastRenderedPageBreak/>
        <w:t xml:space="preserve">multipliers for each of the conventional generators. The </w:t>
      </w:r>
      <w:r>
        <w:t xml:space="preserve">monthly values in the RARF </w:t>
      </w:r>
      <w:r w:rsidR="00A9643B">
        <w:t xml:space="preserve">are categorized </w:t>
      </w:r>
      <w:r>
        <w:t>by</w:t>
      </w:r>
      <w:r w:rsidR="00A9643B">
        <w:t xml:space="preserve"> season as follows,</w:t>
      </w:r>
    </w:p>
    <w:p w:rsidR="00A9643B" w:rsidRDefault="00A9643B" w:rsidP="00740286">
      <w:pPr>
        <w:pStyle w:val="ListParagraph"/>
        <w:numPr>
          <w:ilvl w:val="0"/>
          <w:numId w:val="9"/>
        </w:numPr>
        <w:spacing w:line="360" w:lineRule="auto"/>
        <w:ind w:left="1080"/>
        <w:jc w:val="both"/>
        <w:rPr>
          <w:rFonts w:ascii="Times New Roman" w:hAnsi="Times New Roman"/>
          <w:sz w:val="24"/>
        </w:rPr>
      </w:pPr>
      <w:r>
        <w:rPr>
          <w:rFonts w:ascii="Times New Roman" w:hAnsi="Times New Roman"/>
          <w:sz w:val="24"/>
        </w:rPr>
        <w:t>December, January and February months are winter.</w:t>
      </w:r>
    </w:p>
    <w:p w:rsidR="00A9643B" w:rsidRDefault="00A9643B" w:rsidP="00740286">
      <w:pPr>
        <w:pStyle w:val="ListParagraph"/>
        <w:numPr>
          <w:ilvl w:val="0"/>
          <w:numId w:val="9"/>
        </w:numPr>
        <w:spacing w:line="360" w:lineRule="auto"/>
        <w:ind w:left="1080"/>
        <w:jc w:val="both"/>
        <w:rPr>
          <w:rFonts w:ascii="Times New Roman" w:hAnsi="Times New Roman"/>
          <w:sz w:val="24"/>
        </w:rPr>
      </w:pPr>
      <w:r>
        <w:rPr>
          <w:rFonts w:ascii="Times New Roman" w:hAnsi="Times New Roman"/>
          <w:sz w:val="24"/>
        </w:rPr>
        <w:t>March, April and May months are spring.</w:t>
      </w:r>
    </w:p>
    <w:p w:rsidR="00A9643B" w:rsidRDefault="00A9643B" w:rsidP="00740286">
      <w:pPr>
        <w:pStyle w:val="ListParagraph"/>
        <w:numPr>
          <w:ilvl w:val="0"/>
          <w:numId w:val="9"/>
        </w:numPr>
        <w:spacing w:line="360" w:lineRule="auto"/>
        <w:ind w:left="1080"/>
        <w:jc w:val="both"/>
        <w:rPr>
          <w:rFonts w:ascii="Times New Roman" w:hAnsi="Times New Roman"/>
          <w:sz w:val="24"/>
        </w:rPr>
      </w:pPr>
      <w:r>
        <w:rPr>
          <w:rFonts w:ascii="Times New Roman" w:hAnsi="Times New Roman"/>
          <w:sz w:val="24"/>
        </w:rPr>
        <w:t>June, July and August months are summer.</w:t>
      </w:r>
    </w:p>
    <w:p w:rsidR="00A9643B" w:rsidRDefault="00A9643B" w:rsidP="00740286">
      <w:pPr>
        <w:pStyle w:val="ListParagraph"/>
        <w:numPr>
          <w:ilvl w:val="0"/>
          <w:numId w:val="9"/>
        </w:numPr>
        <w:spacing w:line="360" w:lineRule="auto"/>
        <w:ind w:left="1080"/>
        <w:jc w:val="both"/>
        <w:rPr>
          <w:rFonts w:ascii="Times New Roman" w:hAnsi="Times New Roman"/>
          <w:sz w:val="24"/>
        </w:rPr>
      </w:pPr>
      <w:r>
        <w:rPr>
          <w:rFonts w:ascii="Times New Roman" w:hAnsi="Times New Roman"/>
          <w:sz w:val="24"/>
        </w:rPr>
        <w:t>September, October and November months are fall.</w:t>
      </w:r>
    </w:p>
    <w:p w:rsidR="00A9643B" w:rsidRDefault="00A9643B" w:rsidP="00A9643B">
      <w:pPr>
        <w:pStyle w:val="ListParagraph"/>
        <w:spacing w:line="360" w:lineRule="auto"/>
        <w:ind w:left="0" w:firstLine="720"/>
        <w:jc w:val="both"/>
        <w:rPr>
          <w:rFonts w:ascii="Times New Roman" w:hAnsi="Times New Roman"/>
          <w:sz w:val="24"/>
        </w:rPr>
      </w:pP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The resources listed in Appendix – A have a total installed capacity of 70,853 MW. </w:t>
      </w:r>
    </w:p>
    <w:p w:rsidR="00A9643B" w:rsidRPr="00532E76" w:rsidRDefault="00374646" w:rsidP="00532E76">
      <w:pPr>
        <w:pStyle w:val="Heading3"/>
        <w:rPr>
          <w:rStyle w:val="IntenseReference"/>
          <w:b/>
          <w:bCs/>
          <w:smallCaps w:val="0"/>
          <w:color w:val="auto"/>
          <w:spacing w:val="0"/>
          <w:u w:val="none"/>
        </w:rPr>
      </w:pPr>
      <w:bookmarkStart w:id="262" w:name="_Toc276457216"/>
      <w:r w:rsidRPr="00374646">
        <w:rPr>
          <w:rStyle w:val="IntenseReference"/>
          <w:b/>
          <w:bCs/>
          <w:smallCaps w:val="0"/>
          <w:color w:val="auto"/>
          <w:spacing w:val="0"/>
          <w:u w:val="none"/>
        </w:rPr>
        <w:t>Private Network Units</w:t>
      </w:r>
      <w:bookmarkEnd w:id="262"/>
    </w:p>
    <w:p w:rsidR="00A9643B" w:rsidRDefault="00A9643B" w:rsidP="00A9643B">
      <w:pPr>
        <w:spacing w:line="360" w:lineRule="auto"/>
        <w:ind w:firstLine="720"/>
        <w:jc w:val="both"/>
        <w:rPr>
          <w:i/>
        </w:rPr>
      </w:pPr>
    </w:p>
    <w:p w:rsidR="00A9643B" w:rsidRDefault="00A9643B" w:rsidP="00A9643B">
      <w:pPr>
        <w:spacing w:line="360" w:lineRule="auto"/>
        <w:ind w:firstLine="720"/>
        <w:jc w:val="both"/>
      </w:pPr>
      <w:r>
        <w:t>Private Network Units (PUNs) contribute a total capacity of 4,803 MW.</w:t>
      </w:r>
    </w:p>
    <w:p w:rsidR="00A9643B" w:rsidRPr="00532E76" w:rsidRDefault="00374646" w:rsidP="00532E76">
      <w:pPr>
        <w:pStyle w:val="Heading3"/>
        <w:rPr>
          <w:rStyle w:val="IntenseReference"/>
          <w:b/>
          <w:bCs/>
          <w:smallCaps w:val="0"/>
          <w:color w:val="auto"/>
          <w:spacing w:val="0"/>
          <w:u w:val="none"/>
        </w:rPr>
      </w:pPr>
      <w:bookmarkStart w:id="263" w:name="_Toc276457217"/>
      <w:r w:rsidRPr="00374646">
        <w:rPr>
          <w:rStyle w:val="IntenseReference"/>
          <w:b/>
          <w:bCs/>
          <w:smallCaps w:val="0"/>
          <w:color w:val="auto"/>
          <w:spacing w:val="0"/>
          <w:u w:val="none"/>
        </w:rPr>
        <w:t>Wind Energy</w:t>
      </w:r>
      <w:bookmarkEnd w:id="263"/>
    </w:p>
    <w:p w:rsidR="00A9643B" w:rsidRDefault="00A9643B" w:rsidP="00A9643B">
      <w:pPr>
        <w:spacing w:line="360" w:lineRule="auto"/>
        <w:ind w:firstLine="720"/>
        <w:jc w:val="both"/>
        <w:rPr>
          <w:i/>
        </w:rPr>
      </w:pPr>
    </w:p>
    <w:p w:rsidR="00A9643B" w:rsidRDefault="00150EE8" w:rsidP="00A9643B">
      <w:pPr>
        <w:spacing w:line="360" w:lineRule="auto"/>
        <w:ind w:firstLine="720"/>
        <w:jc w:val="both"/>
      </w:pPr>
      <w:r>
        <w:t>A</w:t>
      </w:r>
      <w:r w:rsidR="00A9643B">
        <w:t xml:space="preserve"> total nameplate capacity of 10,992 MW of wind </w:t>
      </w:r>
      <w:r>
        <w:t xml:space="preserve">generation </w:t>
      </w:r>
      <w:r w:rsidR="00A9643B">
        <w:t>is included</w:t>
      </w:r>
      <w:r>
        <w:t xml:space="preserve"> in this study</w:t>
      </w:r>
      <w:r w:rsidR="00A9643B">
        <w:t xml:space="preserve">. </w:t>
      </w:r>
    </w:p>
    <w:p w:rsidR="00A9643B" w:rsidRDefault="00A9643B" w:rsidP="00A9643B">
      <w:pPr>
        <w:spacing w:line="360" w:lineRule="auto"/>
        <w:ind w:firstLine="720"/>
        <w:jc w:val="both"/>
      </w:pPr>
      <w:r>
        <w:t xml:space="preserve">Representative hourly wind energy availability </w:t>
      </w:r>
      <w:r w:rsidR="00150EE8">
        <w:t xml:space="preserve">profiles </w:t>
      </w:r>
      <w:r>
        <w:t xml:space="preserve">for a typical year for each wind plant were used for the analysis.  These profiles are based on the wind generation assessment report prepared for ERCOT by AWS </w:t>
      </w:r>
      <w:proofErr w:type="spellStart"/>
      <w:r>
        <w:t>Truewind</w:t>
      </w:r>
      <w:proofErr w:type="spellEnd"/>
      <w:r>
        <w:t xml:space="preserve"> </w:t>
      </w:r>
      <w:r w:rsidR="00150EE8">
        <w:t>as part of</w:t>
      </w:r>
      <w:r>
        <w:t xml:space="preserve"> the analysis </w:t>
      </w:r>
      <w:r w:rsidR="00150EE8">
        <w:t xml:space="preserve">of Competitive Renewable Energy Zones (CREZ).  These profiles </w:t>
      </w:r>
      <w:r>
        <w:t>contain typical inter-hour volatility and typical diversity between the different 100MW sites used for the CREZ analysis.</w:t>
      </w:r>
    </w:p>
    <w:p w:rsidR="00A9643B" w:rsidRDefault="00A9643B" w:rsidP="00A9643B">
      <w:pPr>
        <w:spacing w:line="360" w:lineRule="auto"/>
        <w:ind w:firstLine="720"/>
        <w:jc w:val="both"/>
      </w:pPr>
      <w:r>
        <w:t>Since the transmission network is not being considered, the wind-farm-specific hourly profiles are aggregated.  Forced outages of individual wind turbines are not being modeled in this study.</w:t>
      </w:r>
    </w:p>
    <w:p w:rsidR="00A9643B" w:rsidRPr="00532E76" w:rsidRDefault="00374646" w:rsidP="00532E76">
      <w:pPr>
        <w:pStyle w:val="Heading2"/>
        <w:rPr>
          <w:rStyle w:val="IntenseReference"/>
          <w:b/>
          <w:bCs/>
          <w:smallCaps w:val="0"/>
          <w:color w:val="auto"/>
          <w:spacing w:val="0"/>
          <w:u w:val="none"/>
        </w:rPr>
      </w:pPr>
      <w:bookmarkStart w:id="264" w:name="_Toc276457218"/>
      <w:r w:rsidRPr="00374646">
        <w:rPr>
          <w:rStyle w:val="IntenseReference"/>
          <w:b/>
          <w:bCs/>
          <w:smallCaps w:val="0"/>
          <w:color w:val="auto"/>
          <w:spacing w:val="0"/>
          <w:u w:val="none"/>
        </w:rPr>
        <w:t>Demand</w:t>
      </w:r>
      <w:bookmarkEnd w:id="264"/>
    </w:p>
    <w:p w:rsidR="00A9643B" w:rsidRDefault="00A9643B" w:rsidP="00A9643B">
      <w:pPr>
        <w:spacing w:line="360" w:lineRule="auto"/>
        <w:ind w:firstLine="720"/>
        <w:jc w:val="both"/>
        <w:rPr>
          <w:i/>
        </w:rPr>
      </w:pPr>
    </w:p>
    <w:p w:rsidR="00A9643B" w:rsidRPr="00494DDB" w:rsidRDefault="00A9643B" w:rsidP="00A9643B">
      <w:pPr>
        <w:spacing w:line="360" w:lineRule="auto"/>
        <w:ind w:firstLine="720"/>
        <w:jc w:val="both"/>
      </w:pPr>
      <w:r w:rsidRPr="00494DDB">
        <w:t xml:space="preserve">Five load scenarios were adopted in order to capture weather related uncertainty. For each scenario </w:t>
      </w:r>
      <w:r>
        <w:t>an</w:t>
      </w:r>
      <w:r w:rsidRPr="00494DDB">
        <w:t xml:space="preserve"> hourly chronologic</w:t>
      </w:r>
      <w:r>
        <w:t>al</w:t>
      </w:r>
      <w:r w:rsidRPr="00494DDB">
        <w:t xml:space="preserve"> load pattern was developed by ERCOT.</w:t>
      </w:r>
      <w:r>
        <w:t xml:space="preserve"> The five load scenarios and their associated </w:t>
      </w:r>
      <w:r w:rsidRPr="00494DDB">
        <w:t>probability of occurrence</w:t>
      </w:r>
      <w:r>
        <w:t xml:space="preserve"> are:</w:t>
      </w:r>
    </w:p>
    <w:p w:rsidR="00A9643B" w:rsidRPr="00494DDB" w:rsidRDefault="00A9643B" w:rsidP="00740286">
      <w:pPr>
        <w:pStyle w:val="ListParagraph"/>
        <w:numPr>
          <w:ilvl w:val="0"/>
          <w:numId w:val="13"/>
        </w:numPr>
        <w:spacing w:line="360" w:lineRule="auto"/>
        <w:ind w:left="1080"/>
        <w:jc w:val="both"/>
        <w:rPr>
          <w:rFonts w:ascii="Times New Roman" w:hAnsi="Times New Roman"/>
        </w:rPr>
      </w:pPr>
      <w:r w:rsidRPr="00494DDB">
        <w:rPr>
          <w:rFonts w:ascii="Times New Roman" w:hAnsi="Times New Roman"/>
        </w:rPr>
        <w:t xml:space="preserve">Extreme summer weather </w:t>
      </w:r>
      <w:r w:rsidR="004F3C53">
        <w:rPr>
          <w:rFonts w:ascii="Times New Roman" w:hAnsi="Times New Roman"/>
        </w:rPr>
        <w:t>(</w:t>
      </w:r>
      <w:r w:rsidRPr="00494DDB">
        <w:rPr>
          <w:rFonts w:ascii="Times New Roman" w:hAnsi="Times New Roman"/>
        </w:rPr>
        <w:t>10% probability</w:t>
      </w:r>
      <w:r w:rsidR="004F3C53">
        <w:rPr>
          <w:rFonts w:ascii="Times New Roman" w:hAnsi="Times New Roman"/>
        </w:rPr>
        <w:t xml:space="preserve"> of occurrence)</w:t>
      </w:r>
      <w:r w:rsidRPr="00494DDB">
        <w:rPr>
          <w:rFonts w:ascii="Times New Roman" w:hAnsi="Times New Roman"/>
        </w:rPr>
        <w:t>,</w:t>
      </w:r>
    </w:p>
    <w:p w:rsidR="00A9643B" w:rsidRPr="00494DDB" w:rsidRDefault="00A9643B" w:rsidP="00740286">
      <w:pPr>
        <w:pStyle w:val="ListParagraph"/>
        <w:numPr>
          <w:ilvl w:val="0"/>
          <w:numId w:val="13"/>
        </w:numPr>
        <w:spacing w:line="360" w:lineRule="auto"/>
        <w:ind w:left="1080"/>
        <w:jc w:val="both"/>
        <w:rPr>
          <w:rFonts w:ascii="Times New Roman" w:hAnsi="Times New Roman"/>
        </w:rPr>
      </w:pPr>
      <w:r w:rsidRPr="00494DDB">
        <w:rPr>
          <w:rFonts w:ascii="Times New Roman" w:hAnsi="Times New Roman"/>
        </w:rPr>
        <w:t xml:space="preserve">Warmer than average </w:t>
      </w:r>
      <w:r w:rsidR="004F3C53">
        <w:rPr>
          <w:rFonts w:ascii="Times New Roman" w:hAnsi="Times New Roman"/>
        </w:rPr>
        <w:t>(</w:t>
      </w:r>
      <w:r w:rsidRPr="00494DDB">
        <w:rPr>
          <w:rFonts w:ascii="Times New Roman" w:hAnsi="Times New Roman"/>
        </w:rPr>
        <w:t>23% probability</w:t>
      </w:r>
      <w:r w:rsidR="004F3C53">
        <w:rPr>
          <w:rFonts w:ascii="Times New Roman" w:hAnsi="Times New Roman"/>
        </w:rPr>
        <w:t>)</w:t>
      </w:r>
      <w:r w:rsidRPr="00494DDB">
        <w:rPr>
          <w:rFonts w:ascii="Times New Roman" w:hAnsi="Times New Roman"/>
        </w:rPr>
        <w:t>,</w:t>
      </w:r>
    </w:p>
    <w:p w:rsidR="00A9643B" w:rsidRPr="00494DDB" w:rsidRDefault="00A9643B" w:rsidP="00740286">
      <w:pPr>
        <w:pStyle w:val="ListParagraph"/>
        <w:numPr>
          <w:ilvl w:val="0"/>
          <w:numId w:val="13"/>
        </w:numPr>
        <w:spacing w:line="360" w:lineRule="auto"/>
        <w:ind w:left="1080"/>
        <w:jc w:val="both"/>
        <w:rPr>
          <w:rFonts w:ascii="Times New Roman" w:hAnsi="Times New Roman"/>
        </w:rPr>
      </w:pPr>
      <w:r w:rsidRPr="00494DDB">
        <w:rPr>
          <w:rFonts w:ascii="Times New Roman" w:hAnsi="Times New Roman"/>
        </w:rPr>
        <w:t xml:space="preserve">Average weather </w:t>
      </w:r>
      <w:r w:rsidR="004F3C53">
        <w:rPr>
          <w:rFonts w:ascii="Times New Roman" w:hAnsi="Times New Roman"/>
        </w:rPr>
        <w:t>(</w:t>
      </w:r>
      <w:r w:rsidRPr="00494DDB">
        <w:rPr>
          <w:rFonts w:ascii="Times New Roman" w:hAnsi="Times New Roman"/>
        </w:rPr>
        <w:t>34% probability</w:t>
      </w:r>
      <w:r w:rsidR="004F3C53">
        <w:rPr>
          <w:rFonts w:ascii="Times New Roman" w:hAnsi="Times New Roman"/>
        </w:rPr>
        <w:t>)</w:t>
      </w:r>
      <w:r w:rsidRPr="00494DDB">
        <w:rPr>
          <w:rFonts w:ascii="Times New Roman" w:hAnsi="Times New Roman"/>
        </w:rPr>
        <w:t>,</w:t>
      </w:r>
    </w:p>
    <w:p w:rsidR="00A9643B" w:rsidRPr="00494DDB" w:rsidRDefault="00A9643B" w:rsidP="00740286">
      <w:pPr>
        <w:pStyle w:val="ListParagraph"/>
        <w:numPr>
          <w:ilvl w:val="0"/>
          <w:numId w:val="13"/>
        </w:numPr>
        <w:spacing w:line="360" w:lineRule="auto"/>
        <w:ind w:left="1080"/>
        <w:jc w:val="both"/>
        <w:rPr>
          <w:rFonts w:ascii="Times New Roman" w:hAnsi="Times New Roman"/>
        </w:rPr>
      </w:pPr>
      <w:r w:rsidRPr="00494DDB">
        <w:rPr>
          <w:rFonts w:ascii="Times New Roman" w:hAnsi="Times New Roman"/>
        </w:rPr>
        <w:lastRenderedPageBreak/>
        <w:t xml:space="preserve">Cooler than average </w:t>
      </w:r>
      <w:r w:rsidR="004F3C53">
        <w:rPr>
          <w:rFonts w:ascii="Times New Roman" w:hAnsi="Times New Roman"/>
        </w:rPr>
        <w:t>(</w:t>
      </w:r>
      <w:r w:rsidRPr="00494DDB">
        <w:rPr>
          <w:rFonts w:ascii="Times New Roman" w:hAnsi="Times New Roman"/>
        </w:rPr>
        <w:t>23% probability</w:t>
      </w:r>
      <w:r w:rsidR="004F3C53">
        <w:rPr>
          <w:rFonts w:ascii="Times New Roman" w:hAnsi="Times New Roman"/>
        </w:rPr>
        <w:t>),</w:t>
      </w:r>
    </w:p>
    <w:p w:rsidR="00A9643B" w:rsidRPr="00494DDB" w:rsidRDefault="00A9643B" w:rsidP="00740286">
      <w:pPr>
        <w:pStyle w:val="ListParagraph"/>
        <w:numPr>
          <w:ilvl w:val="0"/>
          <w:numId w:val="13"/>
        </w:numPr>
        <w:spacing w:line="360" w:lineRule="auto"/>
        <w:ind w:left="1080"/>
        <w:jc w:val="both"/>
        <w:rPr>
          <w:rFonts w:ascii="Times New Roman" w:hAnsi="Times New Roman"/>
        </w:rPr>
      </w:pPr>
      <w:r w:rsidRPr="00494DDB">
        <w:rPr>
          <w:rFonts w:ascii="Times New Roman" w:hAnsi="Times New Roman"/>
        </w:rPr>
        <w:t xml:space="preserve">Much cooler than average </w:t>
      </w:r>
      <w:r w:rsidR="004F3C53">
        <w:rPr>
          <w:rFonts w:ascii="Times New Roman" w:hAnsi="Times New Roman"/>
        </w:rPr>
        <w:t>(</w:t>
      </w:r>
      <w:r w:rsidRPr="00494DDB">
        <w:rPr>
          <w:rFonts w:ascii="Times New Roman" w:hAnsi="Times New Roman"/>
        </w:rPr>
        <w:t>10% probability</w:t>
      </w:r>
      <w:r w:rsidR="004F3C53">
        <w:rPr>
          <w:rFonts w:ascii="Times New Roman" w:hAnsi="Times New Roman"/>
        </w:rPr>
        <w:t>)</w:t>
      </w:r>
      <w:r w:rsidRPr="00494DDB">
        <w:rPr>
          <w:rFonts w:ascii="Times New Roman" w:hAnsi="Times New Roman"/>
        </w:rPr>
        <w:t>.</w:t>
      </w:r>
    </w:p>
    <w:p w:rsidR="00A9643B" w:rsidRPr="00494DDB" w:rsidRDefault="00A9643B" w:rsidP="00A9643B">
      <w:pPr>
        <w:pStyle w:val="ListParagraph"/>
        <w:spacing w:line="360" w:lineRule="auto"/>
        <w:ind w:left="0" w:firstLine="720"/>
        <w:jc w:val="both"/>
        <w:rPr>
          <w:rFonts w:ascii="Times New Roman" w:hAnsi="Times New Roman"/>
        </w:rPr>
      </w:pPr>
    </w:p>
    <w:p w:rsidR="00A9643B" w:rsidRPr="00886626" w:rsidRDefault="004F3C53" w:rsidP="00A9643B">
      <w:pPr>
        <w:pStyle w:val="ListParagraph"/>
        <w:spacing w:line="360" w:lineRule="auto"/>
        <w:ind w:left="0" w:firstLine="720"/>
        <w:jc w:val="both"/>
        <w:rPr>
          <w:rFonts w:ascii="Times New Roman" w:hAnsi="Times New Roman"/>
        </w:rPr>
      </w:pPr>
      <w:r>
        <w:rPr>
          <w:rFonts w:ascii="Times New Roman" w:hAnsi="Times New Roman"/>
        </w:rPr>
        <w:t>All five scenarios were developed using the e</w:t>
      </w:r>
      <w:r w:rsidR="00A9643B" w:rsidRPr="00494DDB">
        <w:rPr>
          <w:rFonts w:ascii="Times New Roman" w:hAnsi="Times New Roman"/>
        </w:rPr>
        <w:t>conomic growth a</w:t>
      </w:r>
      <w:r w:rsidR="00A9643B">
        <w:rPr>
          <w:rFonts w:ascii="Times New Roman" w:hAnsi="Times New Roman"/>
        </w:rPr>
        <w:t>ssumption</w:t>
      </w:r>
      <w:r>
        <w:rPr>
          <w:rFonts w:ascii="Times New Roman" w:hAnsi="Times New Roman"/>
        </w:rPr>
        <w:t>s</w:t>
      </w:r>
      <w:r w:rsidR="00A9643B">
        <w:rPr>
          <w:rFonts w:ascii="Times New Roman" w:hAnsi="Times New Roman"/>
        </w:rPr>
        <w:t xml:space="preserve"> </w:t>
      </w:r>
      <w:r>
        <w:rPr>
          <w:rFonts w:ascii="Times New Roman" w:hAnsi="Times New Roman"/>
        </w:rPr>
        <w:t>in the concurrent</w:t>
      </w:r>
      <w:r w:rsidR="00A9643B" w:rsidRPr="00494DDB">
        <w:rPr>
          <w:rFonts w:ascii="Times New Roman" w:hAnsi="Times New Roman"/>
        </w:rPr>
        <w:t xml:space="preserve"> Moody’s base economic forecast.</w:t>
      </w:r>
    </w:p>
    <w:p w:rsidR="00A9643B" w:rsidRPr="00F41CA4" w:rsidRDefault="00A9643B" w:rsidP="00A9643B">
      <w:pPr>
        <w:spacing w:line="360" w:lineRule="auto"/>
        <w:ind w:firstLine="720"/>
        <w:jc w:val="both"/>
      </w:pPr>
      <w:r w:rsidRPr="00F41CA4">
        <w:t xml:space="preserve">Actual weather data was used for 1996 through 2009.  For each year, an average summer temperature was calculated based on the average of the monthly temperatures for June, July, and August.  Each year was then ranked based on </w:t>
      </w:r>
      <w:r w:rsidR="004F3C53">
        <w:t>its</w:t>
      </w:r>
      <w:r w:rsidR="004F3C53" w:rsidRPr="00F41CA4">
        <w:t xml:space="preserve"> </w:t>
      </w:r>
      <w:r w:rsidRPr="00F41CA4">
        <w:t>average summer temperature from the lowest temperature to the highest temperature.  Four representative years were selected based on their percentile rank (the selected percentile ranks were 10</w:t>
      </w:r>
      <w:r w:rsidRPr="00F41CA4">
        <w:rPr>
          <w:vertAlign w:val="superscript"/>
        </w:rPr>
        <w:t>th</w:t>
      </w:r>
      <w:r w:rsidRPr="00F41CA4">
        <w:t>, 25</w:t>
      </w:r>
      <w:r w:rsidRPr="00F41CA4">
        <w:rPr>
          <w:vertAlign w:val="superscript"/>
        </w:rPr>
        <w:t>th</w:t>
      </w:r>
      <w:r w:rsidRPr="00F41CA4">
        <w:t>, 50</w:t>
      </w:r>
      <w:r w:rsidRPr="00F41CA4">
        <w:rPr>
          <w:vertAlign w:val="superscript"/>
        </w:rPr>
        <w:t>th</w:t>
      </w:r>
      <w:r w:rsidRPr="00F41CA4">
        <w:t>, and 75</w:t>
      </w:r>
      <w:r w:rsidRPr="00F41CA4">
        <w:rPr>
          <w:vertAlign w:val="superscript"/>
        </w:rPr>
        <w:t>th</w:t>
      </w:r>
      <w:r w:rsidRPr="00F41CA4">
        <w:t>) for the various scenarios (2007 was used for the 10</w:t>
      </w:r>
      <w:r w:rsidRPr="00F41CA4">
        <w:rPr>
          <w:vertAlign w:val="superscript"/>
        </w:rPr>
        <w:t>th</w:t>
      </w:r>
      <w:r w:rsidRPr="00F41CA4">
        <w:t xml:space="preserve"> percentile, 2003 was used for the 25</w:t>
      </w:r>
      <w:r w:rsidRPr="00F41CA4">
        <w:rPr>
          <w:vertAlign w:val="superscript"/>
        </w:rPr>
        <w:t>th</w:t>
      </w:r>
      <w:r w:rsidRPr="00F41CA4">
        <w:t xml:space="preserve"> percentile, 1999 was used as the 50</w:t>
      </w:r>
      <w:r w:rsidRPr="00F41CA4">
        <w:rPr>
          <w:vertAlign w:val="superscript"/>
        </w:rPr>
        <w:t>th</w:t>
      </w:r>
      <w:r w:rsidRPr="00F41CA4">
        <w:t xml:space="preserve"> percentile, 2000 was used as the 75</w:t>
      </w:r>
      <w:r w:rsidRPr="00F41CA4">
        <w:rPr>
          <w:vertAlign w:val="superscript"/>
        </w:rPr>
        <w:t>th</w:t>
      </w:r>
      <w:r w:rsidRPr="00F41CA4">
        <w:t xml:space="preserve"> percentile).  In order to create the extreme weather scenario, actual weather data for the winter of 2010 (January through March) was combined with summer weather data from 2010 (June through August).</w:t>
      </w:r>
    </w:p>
    <w:p w:rsidR="00A9643B" w:rsidRPr="00F41CA4" w:rsidRDefault="00A9643B" w:rsidP="00A9643B">
      <w:pPr>
        <w:spacing w:line="360" w:lineRule="auto"/>
        <w:ind w:firstLine="720"/>
        <w:jc w:val="both"/>
      </w:pPr>
      <w:r w:rsidRPr="00F41CA4">
        <w:t xml:space="preserve">Probabilities </w:t>
      </w:r>
      <w:r w:rsidR="004F3C53">
        <w:t xml:space="preserve">for each load scenario </w:t>
      </w:r>
      <w:r w:rsidRPr="00F41CA4">
        <w:t>were assigned based on data from the Climate Prediction Center</w:t>
      </w:r>
      <w:r w:rsidR="004F3C53">
        <w:t xml:space="preserve">.  </w:t>
      </w:r>
      <w:proofErr w:type="gramStart"/>
      <w:r w:rsidR="004F3C53">
        <w:t xml:space="preserve">Using </w:t>
      </w:r>
      <w:r w:rsidRPr="00F41CA4">
        <w:t xml:space="preserve"> average</w:t>
      </w:r>
      <w:proofErr w:type="gramEnd"/>
      <w:r w:rsidRPr="00F41CA4">
        <w:t xml:space="preserve"> temperature ranges based on monthly average temperatures</w:t>
      </w:r>
      <w:r w:rsidR="004F3C53">
        <w:t>, e</w:t>
      </w:r>
      <w:r w:rsidRPr="00F41CA4">
        <w:t>ach selected year was assigned to the corresponding temperature range and assumed to be representative of years contained within the range.  The ranges used were the highest 10% (extreme scenario), lowest 10% (much cooler than average scenario), warmer than average scenario (warmest 33% excluding the highest 10%), cooler than average scenario (coolest 33% excluding the lowest 10%), and the average scenario (median scenario +- 16.5%).</w:t>
      </w:r>
    </w:p>
    <w:p w:rsidR="00A9643B" w:rsidRPr="004F3C53" w:rsidRDefault="004F3C53" w:rsidP="00A9643B">
      <w:pPr>
        <w:pStyle w:val="ListParagraph"/>
        <w:spacing w:line="360" w:lineRule="auto"/>
        <w:ind w:left="0" w:firstLine="720"/>
        <w:jc w:val="both"/>
        <w:rPr>
          <w:rFonts w:ascii="Times New Roman" w:hAnsi="Times New Roman"/>
          <w:sz w:val="24"/>
        </w:rPr>
      </w:pPr>
      <w:r>
        <w:rPr>
          <w:rFonts w:ascii="Times New Roman" w:hAnsi="Times New Roman"/>
          <w:sz w:val="24"/>
        </w:rPr>
        <w:t>The a</w:t>
      </w:r>
      <w:r w:rsidR="00A9643B">
        <w:rPr>
          <w:rFonts w:ascii="Times New Roman" w:hAnsi="Times New Roman"/>
          <w:sz w:val="24"/>
        </w:rPr>
        <w:t xml:space="preserve">verage weather scenario is the </w:t>
      </w:r>
      <w:r>
        <w:rPr>
          <w:rFonts w:ascii="Times New Roman" w:hAnsi="Times New Roman"/>
          <w:sz w:val="24"/>
        </w:rPr>
        <w:t xml:space="preserve">same as the </w:t>
      </w:r>
      <w:r w:rsidR="00A9643B">
        <w:rPr>
          <w:rFonts w:ascii="Times New Roman" w:hAnsi="Times New Roman"/>
          <w:sz w:val="24"/>
        </w:rPr>
        <w:t>median scenario</w:t>
      </w:r>
      <w:r>
        <w:rPr>
          <w:rFonts w:ascii="Times New Roman" w:hAnsi="Times New Roman"/>
          <w:sz w:val="24"/>
        </w:rPr>
        <w:t xml:space="preserve">.  This scenario was also </w:t>
      </w:r>
      <w:r w:rsidR="00A9643B">
        <w:rPr>
          <w:rFonts w:ascii="Times New Roman" w:hAnsi="Times New Roman"/>
          <w:sz w:val="24"/>
        </w:rPr>
        <w:t xml:space="preserve">used for scheduling </w:t>
      </w:r>
      <w:r>
        <w:rPr>
          <w:rFonts w:ascii="Times New Roman" w:hAnsi="Times New Roman"/>
          <w:sz w:val="24"/>
        </w:rPr>
        <w:t xml:space="preserve">planned </w:t>
      </w:r>
      <w:r w:rsidR="00B50085">
        <w:rPr>
          <w:rFonts w:ascii="Times New Roman" w:hAnsi="Times New Roman"/>
          <w:sz w:val="24"/>
        </w:rPr>
        <w:t xml:space="preserve">generation </w:t>
      </w:r>
      <w:r>
        <w:rPr>
          <w:rFonts w:ascii="Times New Roman" w:hAnsi="Times New Roman"/>
          <w:sz w:val="24"/>
        </w:rPr>
        <w:t xml:space="preserve">maintenance </w:t>
      </w:r>
      <w:r w:rsidR="00A9643B">
        <w:rPr>
          <w:rFonts w:ascii="Times New Roman" w:hAnsi="Times New Roman"/>
          <w:sz w:val="24"/>
        </w:rPr>
        <w:t xml:space="preserve">outages.  </w:t>
      </w:r>
      <w:r w:rsidR="00374646" w:rsidRPr="00374646">
        <w:rPr>
          <w:rFonts w:ascii="Times New Roman" w:hAnsi="Times New Roman"/>
          <w:sz w:val="24"/>
        </w:rPr>
        <w:t xml:space="preserve">The probabilities </w:t>
      </w:r>
      <w:r>
        <w:rPr>
          <w:rFonts w:ascii="Times New Roman" w:hAnsi="Times New Roman"/>
          <w:sz w:val="24"/>
        </w:rPr>
        <w:t>of occurrence</w:t>
      </w:r>
      <w:r w:rsidR="00374646" w:rsidRPr="00374646">
        <w:rPr>
          <w:rFonts w:ascii="Times New Roman" w:hAnsi="Times New Roman"/>
          <w:sz w:val="24"/>
        </w:rPr>
        <w:t xml:space="preserve"> of e</w:t>
      </w:r>
      <w:r>
        <w:rPr>
          <w:rFonts w:ascii="Times New Roman" w:hAnsi="Times New Roman"/>
          <w:sz w:val="24"/>
        </w:rPr>
        <w:t xml:space="preserve">ach of the scenarios </w:t>
      </w:r>
      <w:r w:rsidR="00374646" w:rsidRPr="00374646">
        <w:rPr>
          <w:rFonts w:ascii="Times New Roman" w:hAnsi="Times New Roman"/>
          <w:sz w:val="24"/>
        </w:rPr>
        <w:t>were incorporated into the calculation of reliability indices using the following formula:</w:t>
      </w:r>
    </w:p>
    <w:p w:rsidR="00A9643B" w:rsidRDefault="00A9643B" w:rsidP="00A9643B">
      <w:pPr>
        <w:pStyle w:val="ListParagraph"/>
        <w:spacing w:line="360" w:lineRule="auto"/>
        <w:ind w:left="0" w:firstLine="720"/>
        <w:jc w:val="center"/>
        <w:rPr>
          <w:rFonts w:ascii="Times New Roman" w:hAnsi="Times New Roman"/>
        </w:rPr>
      </w:pPr>
    </w:p>
    <w:p w:rsidR="00A9643B" w:rsidRPr="00F41CA4" w:rsidRDefault="00721C08" w:rsidP="00A9643B">
      <w:pPr>
        <w:pStyle w:val="ListParagraph"/>
        <w:spacing w:line="360" w:lineRule="auto"/>
        <w:ind w:left="0" w:firstLine="720"/>
        <w:jc w:val="both"/>
        <w:rPr>
          <w:rFonts w:ascii="Times New Roman" w:hAnsi="Times New Roman"/>
        </w:rPr>
      </w:pPr>
      <m:oMathPara>
        <m:oMathParaPr>
          <m:jc m:val="center"/>
        </m:oMathParaPr>
        <m:oMath>
          <m:r>
            <w:rPr>
              <w:rFonts w:ascii="Cambria Math" w:hAnsi="Cambria Math"/>
            </w:rPr>
            <m:t>Reliability Index=</m:t>
          </m:r>
          <m:nary>
            <m:naryPr>
              <m:chr m:val="∑"/>
              <m:limLoc m:val="undOvr"/>
              <m:subHide m:val="on"/>
              <m:supHide m:val="on"/>
              <m:ctrlPr>
                <w:rPr>
                  <w:rFonts w:ascii="Cambria Math" w:hAnsi="Cambria Math"/>
                  <w:i/>
                </w:rPr>
              </m:ctrlPr>
            </m:naryPr>
            <m:sub/>
            <m:sup/>
            <m:e>
              <m:r>
                <w:rPr>
                  <w:rFonts w:ascii="Cambria Math" w:hAnsi="Cambria Math"/>
                </w:rPr>
                <m:t xml:space="preserve">Probability of a Scenario*Reliability Index for that Scenario </m:t>
              </m:r>
            </m:e>
          </m:nary>
        </m:oMath>
      </m:oMathPara>
    </w:p>
    <w:p w:rsidR="00A9643B" w:rsidRDefault="00A9643B" w:rsidP="00A9643B">
      <w:pPr>
        <w:pStyle w:val="ListParagraph"/>
        <w:spacing w:line="360" w:lineRule="auto"/>
        <w:ind w:left="0" w:firstLine="720"/>
        <w:jc w:val="both"/>
        <w:rPr>
          <w:rFonts w:ascii="Times New Roman" w:hAnsi="Times New Roman"/>
          <w:sz w:val="24"/>
        </w:rPr>
      </w:pPr>
    </w:p>
    <w:p w:rsidR="00CB603C" w:rsidRDefault="00A9643B" w:rsidP="00CB603C">
      <w:pPr>
        <w:pStyle w:val="ListParagraph"/>
        <w:spacing w:line="360" w:lineRule="auto"/>
        <w:ind w:left="0" w:firstLine="720"/>
        <w:jc w:val="both"/>
      </w:pPr>
      <w:r>
        <w:rPr>
          <w:rFonts w:ascii="Times New Roman" w:hAnsi="Times New Roman"/>
          <w:sz w:val="24"/>
        </w:rPr>
        <w:t>The</w:t>
      </w:r>
      <w:r w:rsidR="004F3C53">
        <w:rPr>
          <w:rFonts w:ascii="Times New Roman" w:hAnsi="Times New Roman"/>
          <w:sz w:val="24"/>
        </w:rPr>
        <w:t xml:space="preserve"> </w:t>
      </w:r>
      <w:r>
        <w:rPr>
          <w:rFonts w:ascii="Times New Roman" w:hAnsi="Times New Roman"/>
          <w:sz w:val="24"/>
        </w:rPr>
        <w:t xml:space="preserve">data </w:t>
      </w:r>
      <w:r w:rsidR="004F3C53">
        <w:rPr>
          <w:rFonts w:ascii="Times New Roman" w:hAnsi="Times New Roman"/>
          <w:sz w:val="24"/>
        </w:rPr>
        <w:t xml:space="preserve">described in this chapter were used as </w:t>
      </w:r>
      <w:r>
        <w:rPr>
          <w:rFonts w:ascii="Times New Roman" w:hAnsi="Times New Roman"/>
          <w:sz w:val="24"/>
        </w:rPr>
        <w:t xml:space="preserve">input to the system model </w:t>
      </w:r>
      <w:r w:rsidR="004F3C53">
        <w:rPr>
          <w:rFonts w:ascii="Times New Roman" w:hAnsi="Times New Roman"/>
          <w:sz w:val="24"/>
        </w:rPr>
        <w:t xml:space="preserve">which was developed </w:t>
      </w:r>
      <w:r>
        <w:rPr>
          <w:rFonts w:ascii="Times New Roman" w:hAnsi="Times New Roman"/>
          <w:sz w:val="24"/>
        </w:rPr>
        <w:t>using MATLAB. System modeling is described in detail in the next chapter. The results of this study will appear in the last chapter.</w:t>
      </w:r>
      <w:r w:rsidR="00CB603C">
        <w:rPr>
          <w:rFonts w:ascii="Times New Roman" w:hAnsi="Times New Roman"/>
          <w:sz w:val="24"/>
        </w:rPr>
        <w:br w:type="page"/>
      </w:r>
    </w:p>
    <w:p w:rsidR="00790223" w:rsidRDefault="00790223">
      <w:pPr>
        <w:rPr>
          <w:rFonts w:eastAsia="Calibri"/>
          <w:szCs w:val="22"/>
        </w:rPr>
      </w:pPr>
    </w:p>
    <w:p w:rsidR="00A9643B" w:rsidRPr="00406F12" w:rsidRDefault="00A9643B" w:rsidP="00A9643B">
      <w:pPr>
        <w:pStyle w:val="Heading1"/>
      </w:pPr>
      <w:bookmarkStart w:id="265" w:name="_Toc276396313"/>
      <w:bookmarkStart w:id="266" w:name="_Toc276396485"/>
      <w:bookmarkStart w:id="267" w:name="_Toc276397015"/>
      <w:bookmarkStart w:id="268" w:name="_Toc276397065"/>
      <w:bookmarkStart w:id="269" w:name="_Toc276397115"/>
      <w:bookmarkStart w:id="270" w:name="_Toc276398701"/>
      <w:bookmarkStart w:id="271" w:name="_Toc276457219"/>
      <w:bookmarkEnd w:id="265"/>
      <w:bookmarkEnd w:id="266"/>
      <w:bookmarkEnd w:id="267"/>
      <w:bookmarkEnd w:id="268"/>
      <w:bookmarkEnd w:id="269"/>
      <w:bookmarkEnd w:id="270"/>
      <w:r>
        <w:t>STUDY METHODOLOGY</w:t>
      </w:r>
      <w:bookmarkEnd w:id="271"/>
    </w:p>
    <w:p w:rsidR="00A9643B" w:rsidRDefault="00A9643B" w:rsidP="00A9643B">
      <w:pPr>
        <w:pStyle w:val="Heading1"/>
        <w:numPr>
          <w:ilvl w:val="0"/>
          <w:numId w:val="0"/>
        </w:numPr>
        <w:spacing w:before="0" w:after="200" w:line="360" w:lineRule="auto"/>
        <w:rPr>
          <w:rStyle w:val="IntenseReference"/>
          <w:rFonts w:cs="Times New Roman"/>
          <w:sz w:val="32"/>
        </w:rPr>
      </w:pPr>
    </w:p>
    <w:p w:rsidR="00A9643B" w:rsidRPr="00532E76" w:rsidRDefault="00374646" w:rsidP="00532E76">
      <w:pPr>
        <w:pStyle w:val="Heading2"/>
        <w:rPr>
          <w:rStyle w:val="IntenseReference"/>
          <w:b/>
          <w:bCs/>
          <w:smallCaps w:val="0"/>
          <w:color w:val="auto"/>
          <w:spacing w:val="0"/>
          <w:u w:val="none"/>
        </w:rPr>
      </w:pPr>
      <w:bookmarkStart w:id="272" w:name="_Toc276457220"/>
      <w:r w:rsidRPr="00374646">
        <w:rPr>
          <w:rStyle w:val="IntenseReference"/>
          <w:b/>
          <w:bCs/>
          <w:smallCaps w:val="0"/>
          <w:color w:val="auto"/>
          <w:spacing w:val="0"/>
          <w:u w:val="none"/>
        </w:rPr>
        <w:t>System Model</w:t>
      </w:r>
      <w:bookmarkEnd w:id="272"/>
    </w:p>
    <w:p w:rsidR="00A9643B" w:rsidRDefault="00A9643B" w:rsidP="00A9643B">
      <w:pPr>
        <w:spacing w:line="360" w:lineRule="auto"/>
        <w:ind w:firstLine="720"/>
        <w:jc w:val="both"/>
        <w:rPr>
          <w:i/>
        </w:rPr>
      </w:pP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In this study, the entire ERCOT system is modeled as </w:t>
      </w:r>
      <w:r w:rsidR="00620A2A">
        <w:rPr>
          <w:rFonts w:ascii="Times New Roman" w:hAnsi="Times New Roman"/>
          <w:sz w:val="24"/>
        </w:rPr>
        <w:t xml:space="preserve">being connected at </w:t>
      </w:r>
      <w:r>
        <w:rPr>
          <w:rFonts w:ascii="Times New Roman" w:hAnsi="Times New Roman"/>
          <w:sz w:val="24"/>
        </w:rPr>
        <w:t xml:space="preserve">a single node. </w:t>
      </w:r>
      <w:r w:rsidR="00620A2A">
        <w:rPr>
          <w:rFonts w:ascii="Times New Roman" w:hAnsi="Times New Roman"/>
          <w:sz w:val="24"/>
        </w:rPr>
        <w:t xml:space="preserve">As a result, </w:t>
      </w:r>
      <w:r>
        <w:rPr>
          <w:rFonts w:ascii="Times New Roman" w:hAnsi="Times New Roman"/>
          <w:sz w:val="24"/>
        </w:rPr>
        <w:t>the transmission network is not considered while modeling</w:t>
      </w:r>
      <w:r w:rsidR="00425BF4">
        <w:rPr>
          <w:rFonts w:ascii="Times New Roman" w:hAnsi="Times New Roman"/>
          <w:sz w:val="24"/>
        </w:rPr>
        <w:t xml:space="preserve"> (</w:t>
      </w:r>
      <w:r w:rsidR="00620A2A">
        <w:rPr>
          <w:rFonts w:ascii="Times New Roman" w:hAnsi="Times New Roman"/>
          <w:sz w:val="24"/>
        </w:rPr>
        <w:t>i.e.,</w:t>
      </w:r>
      <w:r>
        <w:rPr>
          <w:rFonts w:ascii="Times New Roman" w:hAnsi="Times New Roman"/>
          <w:sz w:val="24"/>
        </w:rPr>
        <w:t xml:space="preserve"> none of the transmission limit constraints are binding</w:t>
      </w:r>
      <w:r w:rsidR="00425BF4">
        <w:rPr>
          <w:rFonts w:ascii="Times New Roman" w:hAnsi="Times New Roman"/>
          <w:sz w:val="24"/>
        </w:rPr>
        <w:t>)</w:t>
      </w:r>
      <w:r>
        <w:rPr>
          <w:rFonts w:ascii="Times New Roman" w:hAnsi="Times New Roman"/>
          <w:sz w:val="24"/>
        </w:rPr>
        <w:t>. Conventional generation, wind and load are modeled such that they are all attached to this one node.</w:t>
      </w:r>
    </w:p>
    <w:p w:rsidR="00A9643B" w:rsidRPr="00532E76" w:rsidRDefault="00374646" w:rsidP="00532E76">
      <w:pPr>
        <w:pStyle w:val="Heading3"/>
        <w:rPr>
          <w:rStyle w:val="IntenseReference"/>
          <w:b/>
          <w:bCs/>
          <w:smallCaps w:val="0"/>
          <w:color w:val="auto"/>
          <w:spacing w:val="0"/>
          <w:u w:val="none"/>
        </w:rPr>
      </w:pPr>
      <w:bookmarkStart w:id="273" w:name="_Toc276457221"/>
      <w:r w:rsidRPr="00374646">
        <w:rPr>
          <w:rStyle w:val="IntenseReference"/>
          <w:b/>
          <w:bCs/>
          <w:smallCaps w:val="0"/>
          <w:color w:val="auto"/>
          <w:spacing w:val="0"/>
          <w:u w:val="none"/>
        </w:rPr>
        <w:t>Conventional Generation Modeling</w:t>
      </w:r>
      <w:bookmarkEnd w:id="273"/>
    </w:p>
    <w:p w:rsidR="00A9643B" w:rsidRDefault="00A9643B" w:rsidP="00A9643B">
      <w:pPr>
        <w:spacing w:line="360" w:lineRule="auto"/>
        <w:ind w:firstLine="720"/>
        <w:jc w:val="both"/>
        <w:rPr>
          <w:i/>
        </w:rPr>
      </w:pP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To simulate the system, hourly generator capacity profiles are required. The net available hourly generator capacity is obtained by applying a capacity multiplier, scheduled outages and forced outages to the installed capacity of each generator.  Each generator is initially assumed to be available in all the hours of the year, with the capacity for each hour set to the appropriate seasonal capacity rating for the unit. A capacity multiplier, initially set to 1.0, is applied to all units and hours. The hourly profile for a unit is then adjusted based on the scheduled outages for the unit. </w:t>
      </w:r>
    </w:p>
    <w:p w:rsidR="00B50085" w:rsidRDefault="00374646">
      <w:pPr>
        <w:pStyle w:val="ListParagraph"/>
        <w:spacing w:line="360" w:lineRule="auto"/>
        <w:ind w:left="0" w:firstLine="720"/>
        <w:jc w:val="both"/>
        <w:rPr>
          <w:rFonts w:ascii="Times New Roman" w:hAnsi="Times New Roman"/>
          <w:sz w:val="24"/>
        </w:rPr>
      </w:pPr>
      <w:r w:rsidRPr="00374646">
        <w:rPr>
          <w:rFonts w:ascii="Times New Roman" w:hAnsi="Times New Roman"/>
          <w:sz w:val="24"/>
        </w:rPr>
        <w:t>For this type of reliability study, forced outages of a generator can be modeled in several ways.  Specifically, Two-State and Four-State models were considered in this analysis. In a Two State model, a generator is either in up – state (capacity is fully available) or in down – state (capacity is fully unavailable). In contrast, the states of the Four-State model are shown in Figure 1.  While the Two-State model adequately estimates unavailability (defined by Forced Outage Rate, FOR) of base-loaded generation, it does not provide an adequate estimate when a unit’s demand cycle is relatively short, as in the case of a peaking or cycling unit.  Non-</w:t>
      </w:r>
      <w:proofErr w:type="spellStart"/>
      <w:r w:rsidRPr="00374646">
        <w:rPr>
          <w:rFonts w:ascii="Times New Roman" w:hAnsi="Times New Roman"/>
          <w:sz w:val="24"/>
        </w:rPr>
        <w:t>baseload</w:t>
      </w:r>
      <w:proofErr w:type="spellEnd"/>
      <w:r w:rsidRPr="00374646">
        <w:rPr>
          <w:rFonts w:ascii="Times New Roman" w:hAnsi="Times New Roman"/>
          <w:sz w:val="24"/>
        </w:rPr>
        <w:t xml:space="preserve"> units operat</w:t>
      </w:r>
      <w:r w:rsidR="00D550F2">
        <w:rPr>
          <w:rFonts w:ascii="Times New Roman" w:hAnsi="Times New Roman"/>
          <w:sz w:val="24"/>
        </w:rPr>
        <w:t>e</w:t>
      </w:r>
      <w:r w:rsidRPr="00374646">
        <w:rPr>
          <w:rFonts w:ascii="Times New Roman" w:hAnsi="Times New Roman"/>
          <w:sz w:val="24"/>
        </w:rPr>
        <w:t xml:space="preserve"> in more than two states, as depicted in Figure 1.  </w:t>
      </w:r>
    </w:p>
    <w:p w:rsidR="00B50085" w:rsidRDefault="00A9643B">
      <w:pPr>
        <w:pStyle w:val="ListParagraph"/>
        <w:spacing w:line="360" w:lineRule="auto"/>
        <w:ind w:left="0" w:firstLine="720"/>
        <w:jc w:val="both"/>
        <w:rPr>
          <w:rFonts w:ascii="Times New Roman" w:hAnsi="Times New Roman"/>
          <w:sz w:val="24"/>
        </w:rPr>
      </w:pPr>
      <w:r w:rsidRPr="00D550F2">
        <w:rPr>
          <w:rFonts w:ascii="Times New Roman" w:hAnsi="Times New Roman"/>
          <w:sz w:val="24"/>
        </w:rPr>
        <w:t>The most critical period in the operation of a unit i</w:t>
      </w:r>
      <w:r w:rsidR="00374646" w:rsidRPr="00374646">
        <w:rPr>
          <w:rFonts w:ascii="Times New Roman" w:hAnsi="Times New Roman"/>
          <w:sz w:val="24"/>
        </w:rPr>
        <w:t xml:space="preserve">s the start-up period, and in comparison with a base load unit, a peaking unit will have fewer operating hours and many more start-ups and shut-downs. </w:t>
      </w:r>
      <w:r w:rsidRPr="005179DA">
        <w:rPr>
          <w:rFonts w:ascii="Times New Roman" w:hAnsi="Times New Roman"/>
          <w:sz w:val="24"/>
        </w:rPr>
        <w:t xml:space="preserve">These aspects must be included in arriving at an estimate of unit </w:t>
      </w:r>
      <w:r w:rsidRPr="005179DA">
        <w:rPr>
          <w:rFonts w:ascii="Times New Roman" w:hAnsi="Times New Roman"/>
          <w:sz w:val="24"/>
        </w:rPr>
        <w:lastRenderedPageBreak/>
        <w:t xml:space="preserve">unavailability at some time in the future and are captured in the </w:t>
      </w:r>
      <w:proofErr w:type="spellStart"/>
      <w:r w:rsidRPr="005179DA">
        <w:rPr>
          <w:rFonts w:ascii="Times New Roman" w:hAnsi="Times New Roman"/>
          <w:sz w:val="24"/>
        </w:rPr>
        <w:t>EFORd</w:t>
      </w:r>
      <w:proofErr w:type="spellEnd"/>
      <w:r w:rsidRPr="005179DA">
        <w:rPr>
          <w:rFonts w:ascii="Times New Roman" w:hAnsi="Times New Roman"/>
          <w:sz w:val="24"/>
        </w:rPr>
        <w:t xml:space="preserve"> calculation</w:t>
      </w:r>
      <w:r w:rsidR="00D550F2">
        <w:rPr>
          <w:rFonts w:ascii="Times New Roman" w:hAnsi="Times New Roman"/>
          <w:sz w:val="24"/>
        </w:rPr>
        <w:t xml:space="preserve"> using the Four-State model</w:t>
      </w:r>
      <w:r w:rsidRPr="005179DA">
        <w:rPr>
          <w:rFonts w:ascii="Times New Roman" w:hAnsi="Times New Roman"/>
          <w:sz w:val="24"/>
        </w:rPr>
        <w:t>.</w:t>
      </w:r>
    </w:p>
    <w:p w:rsidR="00D550F2" w:rsidRDefault="00D550F2">
      <w:pPr>
        <w:rPr>
          <w:rFonts w:eastAsia="Calibri"/>
          <w:szCs w:val="22"/>
        </w:rPr>
      </w:pPr>
    </w:p>
    <w:p w:rsidR="00A9643B" w:rsidRPr="00EC4089" w:rsidRDefault="00A9643B" w:rsidP="00A9643B">
      <w:pPr>
        <w:pStyle w:val="ListParagraph"/>
        <w:spacing w:line="360" w:lineRule="auto"/>
        <w:ind w:left="0" w:firstLine="720"/>
        <w:jc w:val="both"/>
        <w:rPr>
          <w:rFonts w:ascii="Times New Roman" w:hAnsi="Times New Roman"/>
          <w:sz w:val="24"/>
        </w:rPr>
      </w:pPr>
    </w:p>
    <w:p w:rsidR="00A9643B" w:rsidRDefault="00721C08" w:rsidP="00A9643B">
      <w:pPr>
        <w:pStyle w:val="ListParagraph"/>
        <w:spacing w:line="360" w:lineRule="auto"/>
        <w:ind w:left="0"/>
        <w:jc w:val="center"/>
        <w:rPr>
          <w:rFonts w:ascii="Times New Roman" w:hAnsi="Times New Roman"/>
          <w:sz w:val="24"/>
        </w:rPr>
      </w:pPr>
      <w:r>
        <w:rPr>
          <w:rFonts w:ascii="Times New Roman" w:hAnsi="Times New Roman"/>
          <w:noProof/>
          <w:sz w:val="24"/>
        </w:rPr>
        <w:drawing>
          <wp:inline distT="0" distB="0" distL="0" distR="0">
            <wp:extent cx="3062859" cy="2385695"/>
            <wp:effectExtent l="6096" t="0" r="0" b="0"/>
            <wp:docPr id="18"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019800" cy="4193977"/>
                      <a:chOff x="1600200" y="1143000"/>
                      <a:chExt cx="6019800" cy="4193977"/>
                    </a:xfrm>
                  </a:grpSpPr>
                  <a:sp>
                    <a:nvSpPr>
                      <a:cNvPr id="5" name="Rectangle 4"/>
                      <a:cNvSpPr/>
                    </a:nvSpPr>
                    <a:spPr>
                      <a:xfrm>
                        <a:off x="1600200" y="1219200"/>
                        <a:ext cx="1447800" cy="990600"/>
                      </a:xfrm>
                      <a:prstGeom prst="rect">
                        <a:avLst/>
                      </a:prstGeom>
                      <a:solidFill>
                        <a:srgbClr val="FFC000"/>
                      </a:solidFill>
                      <a:ln>
                        <a:solidFill>
                          <a:schemeClr val="accent2">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b="1" dirty="0" smtClean="0">
                              <a:solidFill>
                                <a:schemeClr val="tx1"/>
                              </a:solidFill>
                            </a:rPr>
                            <a:t>Reserve Shutdown</a:t>
                          </a:r>
                          <a:endParaRPr lang="en-US" sz="16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1600200" y="4267200"/>
                        <a:ext cx="1447800" cy="1066800"/>
                      </a:xfrm>
                      <a:prstGeom prst="rect">
                        <a:avLst/>
                      </a:prstGeom>
                      <a:solidFill>
                        <a:srgbClr val="FFC000"/>
                      </a:solidFill>
                      <a:ln>
                        <a:solidFill>
                          <a:schemeClr val="accent2">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b="1" dirty="0" smtClean="0">
                              <a:solidFill>
                                <a:schemeClr val="tx1"/>
                              </a:solidFill>
                            </a:rPr>
                            <a:t>Forced out but not needed</a:t>
                          </a:r>
                          <a:endParaRPr lang="en-US" sz="16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ectangle 6"/>
                      <a:cNvSpPr/>
                    </a:nvSpPr>
                    <a:spPr>
                      <a:xfrm>
                        <a:off x="6248400" y="4267200"/>
                        <a:ext cx="1371600" cy="1066800"/>
                      </a:xfrm>
                      <a:prstGeom prst="rect">
                        <a:avLst/>
                      </a:prstGeom>
                      <a:solidFill>
                        <a:srgbClr val="FFC000"/>
                      </a:solidFill>
                      <a:ln>
                        <a:solidFill>
                          <a:schemeClr val="accent2">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b="1" dirty="0" smtClean="0">
                              <a:solidFill>
                                <a:schemeClr val="tx1"/>
                              </a:solidFill>
                            </a:rPr>
                            <a:t>Forced out in period of need</a:t>
                          </a:r>
                          <a:endParaRPr lang="en-US" sz="16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Rectangle 7"/>
                      <a:cNvSpPr/>
                    </a:nvSpPr>
                    <a:spPr>
                      <a:xfrm>
                        <a:off x="6172200" y="1295400"/>
                        <a:ext cx="1371600" cy="914400"/>
                      </a:xfrm>
                      <a:prstGeom prst="rect">
                        <a:avLst/>
                      </a:prstGeom>
                      <a:solidFill>
                        <a:srgbClr val="FFC000"/>
                      </a:solidFill>
                      <a:ln>
                        <a:solidFill>
                          <a:schemeClr val="accent2">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b="1" dirty="0" smtClean="0">
                              <a:solidFill>
                                <a:schemeClr val="tx1"/>
                              </a:solidFill>
                            </a:rPr>
                            <a:t>In service</a:t>
                          </a:r>
                          <a:endParaRPr lang="en-US" sz="16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 name="Straight Arrow Connector 9"/>
                      <a:cNvCxnSpPr/>
                    </a:nvCxnSpPr>
                    <a:spPr>
                      <a:xfrm>
                        <a:off x="3048000" y="1524000"/>
                        <a:ext cx="3124200" cy="1588"/>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12" name="Straight Arrow Connector 11"/>
                      <a:cNvCxnSpPr/>
                    </a:nvCxnSpPr>
                    <a:spPr>
                      <a:xfrm rot="10800000">
                        <a:off x="3048000" y="1981200"/>
                        <a:ext cx="3124200" cy="1588"/>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14" name="Straight Arrow Connector 13"/>
                      <a:cNvCxnSpPr/>
                    </a:nvCxnSpPr>
                    <a:spPr>
                      <a:xfrm rot="5400000">
                        <a:off x="6134894" y="3237706"/>
                        <a:ext cx="2057400" cy="1588"/>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16" name="Straight Arrow Connector 15"/>
                      <a:cNvCxnSpPr/>
                    </a:nvCxnSpPr>
                    <a:spPr>
                      <a:xfrm rot="5400000" flipH="1" flipV="1">
                        <a:off x="5601494" y="3237706"/>
                        <a:ext cx="2057400" cy="1588"/>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20" name="Straight Arrow Connector 19"/>
                      <a:cNvCxnSpPr/>
                    </a:nvCxnSpPr>
                    <a:spPr>
                      <a:xfrm rot="10800000">
                        <a:off x="3048000" y="4951411"/>
                        <a:ext cx="3200400" cy="1588"/>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22" name="Straight Arrow Connector 21"/>
                      <a:cNvCxnSpPr>
                        <a:stCxn id="6" idx="0"/>
                        <a:endCxn id="5" idx="2"/>
                      </a:cNvCxnSpPr>
                    </a:nvCxnSpPr>
                    <a:spPr>
                      <a:xfrm rot="5400000" flipH="1" flipV="1">
                        <a:off x="1295400" y="3238500"/>
                        <a:ext cx="2057400" cy="1588"/>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24" name="Straight Arrow Connector 23"/>
                      <a:cNvCxnSpPr/>
                    </a:nvCxnSpPr>
                    <a:spPr>
                      <a:xfrm>
                        <a:off x="3048000" y="2209800"/>
                        <a:ext cx="3200400" cy="2057400"/>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a:off x="4038600" y="1143000"/>
                        <a:ext cx="1246047"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000" dirty="0" smtClean="0"/>
                            <a:t>(1-Ps) / T</a:t>
                          </a:r>
                          <a:endParaRPr lang="en-US" sz="2000" dirty="0"/>
                        </a:p>
                      </a:txBody>
                      <a:useSpRect/>
                    </a:txSp>
                  </a:sp>
                  <a:sp>
                    <a:nvSpPr>
                      <a:cNvPr id="26" name="TextBox 25"/>
                      <a:cNvSpPr txBox="1"/>
                    </a:nvSpPr>
                    <a:spPr>
                      <a:xfrm>
                        <a:off x="4343400" y="1981200"/>
                        <a:ext cx="583814"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000" dirty="0" smtClean="0"/>
                            <a:t>1/D</a:t>
                          </a:r>
                          <a:endParaRPr lang="en-US" sz="2000" dirty="0"/>
                        </a:p>
                      </a:txBody>
                      <a:useSpRect/>
                    </a:txSp>
                  </a:sp>
                  <a:sp>
                    <a:nvSpPr>
                      <a:cNvPr id="27" name="TextBox 26"/>
                      <a:cNvSpPr txBox="1"/>
                    </a:nvSpPr>
                    <a:spPr>
                      <a:xfrm>
                        <a:off x="3886200" y="3124200"/>
                        <a:ext cx="777970"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000" dirty="0" smtClean="0"/>
                            <a:t>Ps/ T</a:t>
                          </a:r>
                          <a:endParaRPr lang="en-US" sz="2000" dirty="0"/>
                        </a:p>
                      </a:txBody>
                      <a:useSpRect/>
                    </a:txSp>
                  </a:sp>
                  <a:sp>
                    <a:nvSpPr>
                      <a:cNvPr id="28" name="TextBox 27"/>
                      <a:cNvSpPr txBox="1"/>
                    </a:nvSpPr>
                    <a:spPr>
                      <a:xfrm>
                        <a:off x="4495800" y="4114800"/>
                        <a:ext cx="554960"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000" dirty="0" smtClean="0"/>
                            <a:t>1/T</a:t>
                          </a:r>
                          <a:endParaRPr lang="en-US" sz="2000" dirty="0"/>
                        </a:p>
                      </a:txBody>
                      <a:useSpRect/>
                    </a:txSp>
                  </a:sp>
                  <a:sp>
                    <a:nvSpPr>
                      <a:cNvPr id="29" name="TextBox 28"/>
                      <a:cNvSpPr txBox="1"/>
                    </a:nvSpPr>
                    <a:spPr>
                      <a:xfrm>
                        <a:off x="4495800" y="4933890"/>
                        <a:ext cx="583814"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000" dirty="0" smtClean="0"/>
                            <a:t>1/D</a:t>
                          </a:r>
                          <a:endParaRPr lang="en-US" sz="2000" dirty="0"/>
                        </a:p>
                      </a:txBody>
                      <a:useSpRect/>
                    </a:txSp>
                  </a:sp>
                  <a:sp>
                    <a:nvSpPr>
                      <a:cNvPr id="30" name="TextBox 29"/>
                      <a:cNvSpPr txBox="1"/>
                    </a:nvSpPr>
                    <a:spPr>
                      <a:xfrm>
                        <a:off x="6248400" y="2971800"/>
                        <a:ext cx="332142"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l-GR" sz="2000" dirty="0" smtClean="0"/>
                            <a:t>μ</a:t>
                          </a:r>
                          <a:endParaRPr lang="en-US" sz="2000" dirty="0"/>
                        </a:p>
                      </a:txBody>
                      <a:useSpRect/>
                    </a:txSp>
                  </a:sp>
                  <a:sp>
                    <a:nvSpPr>
                      <a:cNvPr id="31" name="TextBox 30"/>
                      <a:cNvSpPr txBox="1"/>
                    </a:nvSpPr>
                    <a:spPr>
                      <a:xfrm>
                        <a:off x="7239000" y="2971800"/>
                        <a:ext cx="312906"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l-GR" sz="2000" dirty="0" smtClean="0"/>
                            <a:t>λ</a:t>
                          </a:r>
                          <a:endParaRPr lang="en-US" sz="2000" dirty="0"/>
                        </a:p>
                      </a:txBody>
                      <a:useSpRect/>
                    </a:txSp>
                  </a:sp>
                  <a:sp>
                    <a:nvSpPr>
                      <a:cNvPr id="32" name="TextBox 31"/>
                      <a:cNvSpPr txBox="1"/>
                    </a:nvSpPr>
                    <a:spPr>
                      <a:xfrm>
                        <a:off x="1981200" y="2971800"/>
                        <a:ext cx="332142" cy="40011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l-GR" sz="2000" dirty="0" smtClean="0"/>
                            <a:t>μ</a:t>
                          </a:r>
                          <a:endParaRPr lang="en-US" sz="2000" dirty="0"/>
                        </a:p>
                      </a:txBody>
                      <a:useSpRect/>
                    </a:txSp>
                  </a:sp>
                  <a:cxnSp>
                    <a:nvCxnSpPr>
                      <a:cNvPr id="34" name="Straight Arrow Connector 33"/>
                      <a:cNvCxnSpPr/>
                    </a:nvCxnSpPr>
                    <a:spPr>
                      <a:xfrm>
                        <a:off x="3048000" y="4495800"/>
                        <a:ext cx="3200400" cy="1588"/>
                      </a:xfrm>
                      <a:prstGeom prst="straightConnector1">
                        <a:avLst/>
                      </a:prstGeom>
                      <a:ln w="34925">
                        <a:solidFill>
                          <a:schemeClr val="accent2">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40" name="TextBox 39"/>
                      <a:cNvSpPr txBox="1"/>
                    </a:nvSpPr>
                    <a:spPr>
                      <a:xfrm>
                        <a:off x="7315200" y="5029200"/>
                        <a:ext cx="3048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3</a:t>
                          </a:r>
                        </a:p>
                      </a:txBody>
                      <a:useSpRect/>
                    </a:txSp>
                  </a:sp>
                  <a:sp>
                    <a:nvSpPr>
                      <a:cNvPr id="41" name="TextBox 40"/>
                      <a:cNvSpPr txBox="1"/>
                    </a:nvSpPr>
                    <a:spPr>
                      <a:xfrm>
                        <a:off x="2743200" y="1905000"/>
                        <a:ext cx="3048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0</a:t>
                          </a:r>
                          <a:endParaRPr lang="en-US" sz="1400" dirty="0"/>
                        </a:p>
                      </a:txBody>
                      <a:useSpRect/>
                    </a:txSp>
                  </a:sp>
                  <a:sp>
                    <a:nvSpPr>
                      <a:cNvPr id="42" name="TextBox 41"/>
                      <a:cNvSpPr txBox="1"/>
                    </a:nvSpPr>
                    <a:spPr>
                      <a:xfrm>
                        <a:off x="2743200" y="5029200"/>
                        <a:ext cx="3048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1</a:t>
                          </a:r>
                          <a:endParaRPr lang="en-US" sz="1400" dirty="0"/>
                        </a:p>
                      </a:txBody>
                      <a:useSpRect/>
                    </a:txSp>
                  </a:sp>
                  <a:sp>
                    <a:nvSpPr>
                      <a:cNvPr id="43" name="TextBox 42"/>
                      <a:cNvSpPr txBox="1"/>
                    </a:nvSpPr>
                    <a:spPr>
                      <a:xfrm>
                        <a:off x="7315200" y="1905000"/>
                        <a:ext cx="3048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2</a:t>
                          </a:r>
                          <a:endParaRPr lang="en-US" sz="1400" dirty="0"/>
                        </a:p>
                      </a:txBody>
                      <a:useSpRect/>
                    </a:txSp>
                  </a:sp>
                </lc:lockedCanvas>
              </a:graphicData>
            </a:graphic>
          </wp:inline>
        </w:drawing>
      </w:r>
    </w:p>
    <w:p w:rsidR="00A9643B" w:rsidRPr="003A6107" w:rsidRDefault="00A9643B" w:rsidP="00A9643B">
      <w:pPr>
        <w:pStyle w:val="ListParagraph"/>
        <w:spacing w:before="480" w:after="0" w:line="240" w:lineRule="auto"/>
        <w:ind w:left="0"/>
        <w:jc w:val="center"/>
        <w:rPr>
          <w:rFonts w:ascii="Times New Roman" w:hAnsi="Times New Roman"/>
          <w:sz w:val="18"/>
        </w:rPr>
      </w:pPr>
    </w:p>
    <w:p w:rsidR="00A9643B" w:rsidRDefault="00A9643B" w:rsidP="00A9643B">
      <w:pPr>
        <w:pStyle w:val="ListParagraph"/>
        <w:spacing w:before="480" w:after="0" w:line="240" w:lineRule="auto"/>
        <w:ind w:left="0"/>
        <w:jc w:val="center"/>
        <w:rPr>
          <w:rFonts w:ascii="Times New Roman" w:hAnsi="Times New Roman"/>
          <w:sz w:val="24"/>
        </w:rPr>
      </w:pPr>
      <w:r>
        <w:rPr>
          <w:rFonts w:ascii="Times New Roman" w:hAnsi="Times New Roman"/>
          <w:sz w:val="24"/>
        </w:rPr>
        <w:t xml:space="preserve">Fig – 1: Four State Model </w:t>
      </w:r>
    </w:p>
    <w:p w:rsidR="00A9643B" w:rsidRDefault="00A9643B" w:rsidP="00A9643B">
      <w:pPr>
        <w:pStyle w:val="ListParagraph"/>
        <w:spacing w:line="360" w:lineRule="auto"/>
        <w:ind w:left="0" w:firstLine="720"/>
        <w:rPr>
          <w:rFonts w:ascii="Times New Roman" w:hAnsi="Times New Roman"/>
          <w:sz w:val="24"/>
        </w:rPr>
      </w:pP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For each generator</w:t>
      </w:r>
      <w:r w:rsidR="00D550F2">
        <w:rPr>
          <w:rFonts w:ascii="Times New Roman" w:hAnsi="Times New Roman"/>
          <w:sz w:val="24"/>
        </w:rPr>
        <w:t xml:space="preserve"> and</w:t>
      </w:r>
      <w:r>
        <w:rPr>
          <w:rFonts w:ascii="Times New Roman" w:hAnsi="Times New Roman"/>
          <w:sz w:val="24"/>
        </w:rPr>
        <w:t xml:space="preserve"> for each of the iterations, a sequence of periods during which the unit is available and unavailable to provide energy is generated. </w:t>
      </w:r>
      <w:r w:rsidR="00D550F2">
        <w:rPr>
          <w:rFonts w:ascii="Times New Roman" w:hAnsi="Times New Roman"/>
          <w:sz w:val="24"/>
        </w:rPr>
        <w:t xml:space="preserve">The data required for the </w:t>
      </w:r>
      <w:proofErr w:type="spellStart"/>
      <w:r w:rsidR="00D550F2">
        <w:rPr>
          <w:rFonts w:ascii="Times New Roman" w:hAnsi="Times New Roman"/>
          <w:sz w:val="24"/>
        </w:rPr>
        <w:t>EFORd</w:t>
      </w:r>
      <w:proofErr w:type="spellEnd"/>
      <w:r w:rsidR="00D550F2">
        <w:rPr>
          <w:rFonts w:ascii="Times New Roman" w:hAnsi="Times New Roman"/>
          <w:sz w:val="24"/>
        </w:rPr>
        <w:t xml:space="preserve"> calculation were obtained from </w:t>
      </w:r>
      <w:r>
        <w:rPr>
          <w:rFonts w:ascii="Times New Roman" w:hAnsi="Times New Roman"/>
          <w:sz w:val="24"/>
        </w:rPr>
        <w:t>NERC GADS.  NERC d</w:t>
      </w:r>
      <w:r w:rsidR="00D550F2">
        <w:rPr>
          <w:rFonts w:ascii="Times New Roman" w:hAnsi="Times New Roman"/>
          <w:sz w:val="24"/>
        </w:rPr>
        <w:t xml:space="preserve">id </w:t>
      </w:r>
      <w:r>
        <w:rPr>
          <w:rFonts w:ascii="Times New Roman" w:hAnsi="Times New Roman"/>
          <w:sz w:val="24"/>
        </w:rPr>
        <w:t xml:space="preserve">not allow ERCOT to have access to unit-specific data in the NERC GADS system without obtaining authorization from each </w:t>
      </w:r>
      <w:r w:rsidR="00D550F2">
        <w:rPr>
          <w:rFonts w:ascii="Times New Roman" w:hAnsi="Times New Roman"/>
          <w:sz w:val="24"/>
        </w:rPr>
        <w:t xml:space="preserve">generating </w:t>
      </w:r>
      <w:r>
        <w:rPr>
          <w:rFonts w:ascii="Times New Roman" w:hAnsi="Times New Roman"/>
          <w:sz w:val="24"/>
        </w:rPr>
        <w:t>unit</w:t>
      </w:r>
      <w:r w:rsidR="00D550F2">
        <w:rPr>
          <w:rFonts w:ascii="Times New Roman" w:hAnsi="Times New Roman"/>
          <w:sz w:val="24"/>
        </w:rPr>
        <w:t>’s</w:t>
      </w:r>
      <w:r>
        <w:rPr>
          <w:rFonts w:ascii="Times New Roman" w:hAnsi="Times New Roman"/>
          <w:sz w:val="24"/>
        </w:rPr>
        <w:t xml:space="preserve"> owner.  ERCOT requested this authorization from all unit owners and obtained access to the unit-specific data for about 50% of the </w:t>
      </w:r>
      <w:r w:rsidR="00D550F2">
        <w:rPr>
          <w:rFonts w:ascii="Times New Roman" w:hAnsi="Times New Roman"/>
          <w:sz w:val="24"/>
        </w:rPr>
        <w:t xml:space="preserve">existing </w:t>
      </w:r>
      <w:r>
        <w:rPr>
          <w:rFonts w:ascii="Times New Roman" w:hAnsi="Times New Roman"/>
          <w:sz w:val="24"/>
        </w:rPr>
        <w:t>generating capacity</w:t>
      </w:r>
      <w:r w:rsidR="00D550F2">
        <w:rPr>
          <w:rFonts w:ascii="Times New Roman" w:hAnsi="Times New Roman"/>
          <w:sz w:val="24"/>
        </w:rPr>
        <w:t xml:space="preserve"> in ERCOT</w:t>
      </w:r>
      <w:r>
        <w:rPr>
          <w:rFonts w:ascii="Times New Roman" w:hAnsi="Times New Roman"/>
          <w:sz w:val="24"/>
        </w:rPr>
        <w:t>.  Th</w:t>
      </w:r>
      <w:r w:rsidR="00D550F2">
        <w:rPr>
          <w:rFonts w:ascii="Times New Roman" w:hAnsi="Times New Roman"/>
          <w:sz w:val="24"/>
        </w:rPr>
        <w:t>e</w:t>
      </w:r>
      <w:r>
        <w:rPr>
          <w:rFonts w:ascii="Times New Roman" w:hAnsi="Times New Roman"/>
          <w:sz w:val="24"/>
        </w:rPr>
        <w:t xml:space="preserve"> unit-specific data w</w:t>
      </w:r>
      <w:r w:rsidR="00D550F2">
        <w:rPr>
          <w:rFonts w:ascii="Times New Roman" w:hAnsi="Times New Roman"/>
          <w:sz w:val="24"/>
        </w:rPr>
        <w:t>ere</w:t>
      </w:r>
      <w:r>
        <w:rPr>
          <w:rFonts w:ascii="Times New Roman" w:hAnsi="Times New Roman"/>
          <w:sz w:val="24"/>
        </w:rPr>
        <w:t xml:space="preserve"> used, and ERCOT regional averages from the generic NERC GADS data, by unit type and vintage, w</w:t>
      </w:r>
      <w:r w:rsidR="00D550F2">
        <w:rPr>
          <w:rFonts w:ascii="Times New Roman" w:hAnsi="Times New Roman"/>
          <w:sz w:val="24"/>
        </w:rPr>
        <w:t>ere</w:t>
      </w:r>
      <w:r>
        <w:rPr>
          <w:rFonts w:ascii="Times New Roman" w:hAnsi="Times New Roman"/>
          <w:sz w:val="24"/>
        </w:rPr>
        <w:t xml:space="preserve"> used for the remaining units. </w:t>
      </w: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The generator forced outage modeling </w:t>
      </w:r>
      <w:r w:rsidR="00790223">
        <w:rPr>
          <w:rFonts w:ascii="Times New Roman" w:hAnsi="Times New Roman"/>
          <w:sz w:val="24"/>
        </w:rPr>
        <w:t xml:space="preserve">was conducted as </w:t>
      </w:r>
      <w:r>
        <w:rPr>
          <w:rFonts w:ascii="Times New Roman" w:hAnsi="Times New Roman"/>
          <w:sz w:val="24"/>
        </w:rPr>
        <w:t>follows</w:t>
      </w:r>
      <w:r w:rsidR="00790223">
        <w:rPr>
          <w:rFonts w:ascii="Times New Roman" w:hAnsi="Times New Roman"/>
          <w:sz w:val="24"/>
        </w:rPr>
        <w:t>:</w:t>
      </w:r>
    </w:p>
    <w:p w:rsidR="00A9643B" w:rsidRPr="00D42C04" w:rsidRDefault="00A9643B" w:rsidP="00740286">
      <w:pPr>
        <w:pStyle w:val="ListParagraph"/>
        <w:numPr>
          <w:ilvl w:val="0"/>
          <w:numId w:val="12"/>
        </w:numPr>
        <w:spacing w:line="360" w:lineRule="auto"/>
        <w:ind w:left="1080"/>
        <w:jc w:val="both"/>
        <w:rPr>
          <w:rFonts w:ascii="Times New Roman" w:hAnsi="Times New Roman"/>
          <w:sz w:val="24"/>
        </w:rPr>
      </w:pPr>
      <w:r>
        <w:rPr>
          <w:rFonts w:ascii="Times New Roman" w:hAnsi="Times New Roman"/>
          <w:sz w:val="24"/>
        </w:rPr>
        <w:t>Forced o</w:t>
      </w:r>
      <w:r w:rsidRPr="00D42C04">
        <w:rPr>
          <w:rFonts w:ascii="Times New Roman" w:hAnsi="Times New Roman"/>
          <w:sz w:val="24"/>
        </w:rPr>
        <w:t>utages are modeled sequentially, using random draws from two exponential distributions.</w:t>
      </w:r>
    </w:p>
    <w:p w:rsidR="00A9643B" w:rsidRPr="00D42C04" w:rsidRDefault="00A9643B" w:rsidP="00740286">
      <w:pPr>
        <w:pStyle w:val="ListParagraph"/>
        <w:numPr>
          <w:ilvl w:val="0"/>
          <w:numId w:val="12"/>
        </w:numPr>
        <w:spacing w:line="360" w:lineRule="auto"/>
        <w:ind w:left="1080"/>
        <w:jc w:val="both"/>
        <w:rPr>
          <w:rFonts w:ascii="Times New Roman" w:hAnsi="Times New Roman"/>
          <w:sz w:val="24"/>
        </w:rPr>
      </w:pPr>
      <w:r w:rsidRPr="00D42C04">
        <w:rPr>
          <w:rFonts w:ascii="Times New Roman" w:hAnsi="Times New Roman"/>
          <w:sz w:val="24"/>
        </w:rPr>
        <w:t>The time on outage for each unit is randomly drawn from an exponential distribution with mean equal to</w:t>
      </w:r>
      <w:r>
        <w:rPr>
          <w:rFonts w:ascii="Times New Roman" w:hAnsi="Times New Roman"/>
          <w:sz w:val="24"/>
        </w:rPr>
        <w:t xml:space="preserve"> the MTTR. </w:t>
      </w:r>
    </w:p>
    <w:p w:rsidR="00A9643B" w:rsidRPr="00D42C04" w:rsidRDefault="00A9643B" w:rsidP="00740286">
      <w:pPr>
        <w:pStyle w:val="ListParagraph"/>
        <w:numPr>
          <w:ilvl w:val="0"/>
          <w:numId w:val="12"/>
        </w:numPr>
        <w:spacing w:line="360" w:lineRule="auto"/>
        <w:ind w:left="1080"/>
        <w:jc w:val="both"/>
        <w:rPr>
          <w:rFonts w:ascii="Times New Roman" w:hAnsi="Times New Roman"/>
          <w:sz w:val="24"/>
        </w:rPr>
      </w:pPr>
      <w:r w:rsidRPr="00D42C04">
        <w:rPr>
          <w:rFonts w:ascii="Times New Roman" w:hAnsi="Times New Roman"/>
          <w:sz w:val="24"/>
        </w:rPr>
        <w:t xml:space="preserve">The time in service for each unit is randomly drawn from an exponential distribution with mean equal to the </w:t>
      </w:r>
      <w:r>
        <w:rPr>
          <w:rFonts w:ascii="Times New Roman" w:hAnsi="Times New Roman"/>
          <w:sz w:val="24"/>
        </w:rPr>
        <w:t>MTTF.</w:t>
      </w:r>
    </w:p>
    <w:p w:rsidR="00A9643B" w:rsidRPr="00D42C04" w:rsidRDefault="00A9643B" w:rsidP="00740286">
      <w:pPr>
        <w:pStyle w:val="ListParagraph"/>
        <w:numPr>
          <w:ilvl w:val="0"/>
          <w:numId w:val="12"/>
        </w:numPr>
        <w:spacing w:line="360" w:lineRule="auto"/>
        <w:ind w:left="1080"/>
        <w:jc w:val="both"/>
        <w:rPr>
          <w:rFonts w:ascii="Times New Roman" w:hAnsi="Times New Roman"/>
          <w:sz w:val="24"/>
        </w:rPr>
      </w:pPr>
      <w:r w:rsidRPr="00D42C04">
        <w:rPr>
          <w:rFonts w:ascii="Times New Roman" w:hAnsi="Times New Roman"/>
          <w:sz w:val="24"/>
        </w:rPr>
        <w:lastRenderedPageBreak/>
        <w:t>SOAF is applied while calculating MTTF to account for any loss of outage time due to overlap of forced outages with scheduled outages.</w:t>
      </w:r>
    </w:p>
    <w:p w:rsidR="00A9643B" w:rsidRDefault="00A9643B" w:rsidP="00A9643B">
      <w:pPr>
        <w:pStyle w:val="ListParagraph"/>
        <w:spacing w:line="360" w:lineRule="auto"/>
        <w:ind w:left="0" w:firstLine="720"/>
        <w:jc w:val="both"/>
        <w:rPr>
          <w:rFonts w:ascii="Times New Roman" w:hAnsi="Times New Roman"/>
          <w:sz w:val="24"/>
        </w:rPr>
      </w:pPr>
      <w:proofErr w:type="gramStart"/>
      <w:r w:rsidRPr="00D42C04">
        <w:rPr>
          <w:rFonts w:ascii="Times New Roman" w:hAnsi="Times New Roman"/>
          <w:sz w:val="24"/>
        </w:rPr>
        <w:t xml:space="preserve">The outage modeling described above results in unit unavailability due to forced outage equal to </w:t>
      </w:r>
      <w:proofErr w:type="spellStart"/>
      <w:r w:rsidRPr="00D42C04">
        <w:rPr>
          <w:rFonts w:ascii="Times New Roman" w:hAnsi="Times New Roman"/>
          <w:sz w:val="24"/>
        </w:rPr>
        <w:t>EFORd</w:t>
      </w:r>
      <w:proofErr w:type="spellEnd"/>
      <w:r w:rsidRPr="00D42C04">
        <w:rPr>
          <w:rFonts w:ascii="Times New Roman" w:hAnsi="Times New Roman"/>
          <w:sz w:val="24"/>
        </w:rPr>
        <w:t>.</w:t>
      </w:r>
      <w:proofErr w:type="gramEnd"/>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Using these sequences of availability and unavailability, hourly generator capacity profiles are generated, which are aggregated for single node analysis. </w:t>
      </w:r>
    </w:p>
    <w:p w:rsidR="00A9643B" w:rsidRPr="00532E76" w:rsidRDefault="00374646" w:rsidP="00532E76">
      <w:pPr>
        <w:pStyle w:val="Heading3"/>
        <w:rPr>
          <w:rStyle w:val="IntenseReference"/>
          <w:b/>
          <w:bCs/>
          <w:smallCaps w:val="0"/>
          <w:color w:val="auto"/>
          <w:spacing w:val="0"/>
          <w:u w:val="none"/>
        </w:rPr>
      </w:pPr>
      <w:bookmarkStart w:id="274" w:name="_Toc276457222"/>
      <w:r w:rsidRPr="00374646">
        <w:rPr>
          <w:rStyle w:val="IntenseReference"/>
          <w:b/>
          <w:bCs/>
          <w:smallCaps w:val="0"/>
          <w:color w:val="auto"/>
          <w:spacing w:val="0"/>
          <w:u w:val="none"/>
        </w:rPr>
        <w:t>Wind Modeling</w:t>
      </w:r>
      <w:bookmarkEnd w:id="274"/>
    </w:p>
    <w:p w:rsidR="00A9643B" w:rsidRDefault="00A9643B" w:rsidP="00A9643B">
      <w:pPr>
        <w:spacing w:line="360" w:lineRule="auto"/>
        <w:ind w:firstLine="720"/>
        <w:jc w:val="both"/>
        <w:rPr>
          <w:i/>
        </w:rPr>
      </w:pP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Hourly wind profiles </w:t>
      </w:r>
      <w:r w:rsidR="009D7A25">
        <w:rPr>
          <w:rFonts w:ascii="Times New Roman" w:hAnsi="Times New Roman"/>
          <w:sz w:val="24"/>
        </w:rPr>
        <w:t xml:space="preserve">were derived from wind generation patterns provided by AWS </w:t>
      </w:r>
      <w:proofErr w:type="spellStart"/>
      <w:r w:rsidR="009D7A25">
        <w:rPr>
          <w:rFonts w:ascii="Times New Roman" w:hAnsi="Times New Roman"/>
          <w:sz w:val="24"/>
        </w:rPr>
        <w:t>Truewind</w:t>
      </w:r>
      <w:proofErr w:type="spellEnd"/>
      <w:r w:rsidR="009D7A25">
        <w:rPr>
          <w:rFonts w:ascii="Times New Roman" w:hAnsi="Times New Roman"/>
          <w:sz w:val="24"/>
        </w:rPr>
        <w:t xml:space="preserve"> as part of the ERCOT CREZ studies.  Unique wind profiles were assigned to each wind generation facility, by CREZ zone, and were </w:t>
      </w:r>
      <w:r>
        <w:rPr>
          <w:rFonts w:ascii="Times New Roman" w:hAnsi="Times New Roman"/>
          <w:sz w:val="24"/>
        </w:rPr>
        <w:t xml:space="preserve">aggregated </w:t>
      </w:r>
      <w:r w:rsidR="009D7A25">
        <w:rPr>
          <w:rFonts w:ascii="Times New Roman" w:hAnsi="Times New Roman"/>
          <w:sz w:val="24"/>
        </w:rPr>
        <w:t xml:space="preserve">as all system resources in this analysis are assumed </w:t>
      </w:r>
      <w:r>
        <w:rPr>
          <w:rFonts w:ascii="Times New Roman" w:hAnsi="Times New Roman"/>
          <w:sz w:val="24"/>
        </w:rPr>
        <w:t xml:space="preserve">to </w:t>
      </w:r>
      <w:r w:rsidR="009D7A25">
        <w:rPr>
          <w:rFonts w:ascii="Times New Roman" w:hAnsi="Times New Roman"/>
          <w:sz w:val="24"/>
        </w:rPr>
        <w:t xml:space="preserve">be connected to a </w:t>
      </w:r>
      <w:r>
        <w:rPr>
          <w:rFonts w:ascii="Times New Roman" w:hAnsi="Times New Roman"/>
          <w:sz w:val="24"/>
        </w:rPr>
        <w:t xml:space="preserve">single node. </w:t>
      </w:r>
    </w:p>
    <w:p w:rsidR="00532E76"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In order to capture the randomness of wind generation, daily wind profiles </w:t>
      </w:r>
      <w:proofErr w:type="gramStart"/>
      <w:r w:rsidR="009D7A25">
        <w:rPr>
          <w:rFonts w:ascii="Times New Roman" w:hAnsi="Times New Roman"/>
          <w:sz w:val="24"/>
        </w:rPr>
        <w:t>in each iteration</w:t>
      </w:r>
      <w:proofErr w:type="gramEnd"/>
      <w:r w:rsidR="009D7A25">
        <w:rPr>
          <w:rFonts w:ascii="Times New Roman" w:hAnsi="Times New Roman"/>
          <w:sz w:val="24"/>
        </w:rPr>
        <w:t xml:space="preserve"> </w:t>
      </w:r>
      <w:r>
        <w:rPr>
          <w:rFonts w:ascii="Times New Roman" w:hAnsi="Times New Roman"/>
          <w:sz w:val="24"/>
        </w:rPr>
        <w:t xml:space="preserve">are generated by randomizing the available daily profiles using MATLAB model. </w:t>
      </w:r>
      <w:r w:rsidR="009D7A25">
        <w:rPr>
          <w:rFonts w:ascii="Times New Roman" w:hAnsi="Times New Roman"/>
          <w:sz w:val="24"/>
        </w:rPr>
        <w:t>A wind profile for each day was selected at random from a</w:t>
      </w:r>
      <w:r>
        <w:rPr>
          <w:rFonts w:ascii="Times New Roman" w:hAnsi="Times New Roman"/>
          <w:sz w:val="24"/>
        </w:rPr>
        <w:t xml:space="preserve"> span of </w:t>
      </w:r>
      <w:r w:rsidR="00425BF4">
        <w:rPr>
          <w:rFonts w:ascii="Times New Roman" w:hAnsi="Times New Roman"/>
          <w:sz w:val="24"/>
        </w:rPr>
        <w:t xml:space="preserve">fifteen </w:t>
      </w:r>
      <w:r>
        <w:rPr>
          <w:rFonts w:ascii="Times New Roman" w:hAnsi="Times New Roman"/>
          <w:sz w:val="24"/>
        </w:rPr>
        <w:t xml:space="preserve">days (+ or – seven days). </w:t>
      </w:r>
      <w:r w:rsidR="009D7A25">
        <w:rPr>
          <w:rFonts w:ascii="Times New Roman" w:hAnsi="Times New Roman"/>
          <w:sz w:val="24"/>
        </w:rPr>
        <w:t xml:space="preserve">As an example, </w:t>
      </w:r>
      <w:r>
        <w:rPr>
          <w:rFonts w:ascii="Times New Roman" w:hAnsi="Times New Roman"/>
          <w:sz w:val="24"/>
        </w:rPr>
        <w:t>the hourly wind profile for the simulated January 30</w:t>
      </w:r>
      <w:r w:rsidRPr="00D00C62">
        <w:rPr>
          <w:rFonts w:ascii="Times New Roman" w:hAnsi="Times New Roman"/>
          <w:sz w:val="24"/>
          <w:vertAlign w:val="superscript"/>
        </w:rPr>
        <w:t>th</w:t>
      </w:r>
      <w:r>
        <w:rPr>
          <w:rFonts w:ascii="Times New Roman" w:hAnsi="Times New Roman"/>
          <w:sz w:val="24"/>
        </w:rPr>
        <w:t xml:space="preserve"> was randomly selected from the typical daily wind profiles for dates between January </w:t>
      </w:r>
      <w:r w:rsidR="00425BF4">
        <w:rPr>
          <w:rFonts w:ascii="Times New Roman" w:hAnsi="Times New Roman"/>
          <w:sz w:val="24"/>
        </w:rPr>
        <w:t>23</w:t>
      </w:r>
      <w:r w:rsidR="00425BF4">
        <w:rPr>
          <w:rFonts w:ascii="Times New Roman" w:hAnsi="Times New Roman"/>
          <w:sz w:val="24"/>
          <w:vertAlign w:val="superscript"/>
        </w:rPr>
        <w:t>rd</w:t>
      </w:r>
      <w:r w:rsidR="00425BF4">
        <w:rPr>
          <w:rFonts w:ascii="Times New Roman" w:hAnsi="Times New Roman"/>
          <w:sz w:val="24"/>
        </w:rPr>
        <w:t xml:space="preserve"> </w:t>
      </w:r>
      <w:r>
        <w:rPr>
          <w:rFonts w:ascii="Times New Roman" w:hAnsi="Times New Roman"/>
          <w:sz w:val="24"/>
        </w:rPr>
        <w:t xml:space="preserve">and February </w:t>
      </w:r>
      <w:r w:rsidR="00425BF4">
        <w:rPr>
          <w:rFonts w:ascii="Times New Roman" w:hAnsi="Times New Roman"/>
          <w:sz w:val="24"/>
        </w:rPr>
        <w:t>6</w:t>
      </w:r>
      <w:r w:rsidR="00425BF4" w:rsidRPr="00D00C62">
        <w:rPr>
          <w:rFonts w:ascii="Times New Roman" w:hAnsi="Times New Roman"/>
          <w:sz w:val="24"/>
          <w:vertAlign w:val="superscript"/>
        </w:rPr>
        <w:t>th</w:t>
      </w:r>
      <w:r>
        <w:rPr>
          <w:rFonts w:ascii="Times New Roman" w:hAnsi="Times New Roman"/>
          <w:sz w:val="24"/>
        </w:rPr>
        <w:t xml:space="preserve">. </w:t>
      </w:r>
    </w:p>
    <w:p w:rsidR="00532E76" w:rsidRDefault="00532E76">
      <w:pPr>
        <w:rPr>
          <w:rFonts w:eastAsia="Calibri"/>
          <w:szCs w:val="22"/>
        </w:rPr>
      </w:pPr>
      <w:r>
        <w:br w:type="page"/>
      </w:r>
    </w:p>
    <w:p w:rsidR="00A9643B" w:rsidRPr="00532E76" w:rsidRDefault="00374646" w:rsidP="00532E76">
      <w:pPr>
        <w:pStyle w:val="Heading2"/>
        <w:rPr>
          <w:rStyle w:val="IntenseReference"/>
          <w:b/>
          <w:bCs/>
          <w:smallCaps w:val="0"/>
          <w:color w:val="auto"/>
          <w:spacing w:val="0"/>
          <w:u w:val="none"/>
        </w:rPr>
      </w:pPr>
      <w:bookmarkStart w:id="275" w:name="_Toc276397120"/>
      <w:bookmarkStart w:id="276" w:name="_Toc276398706"/>
      <w:bookmarkStart w:id="277" w:name="_Toc276396318"/>
      <w:bookmarkStart w:id="278" w:name="_Toc276396490"/>
      <w:bookmarkStart w:id="279" w:name="_Toc276397020"/>
      <w:bookmarkStart w:id="280" w:name="_Toc276397070"/>
      <w:bookmarkStart w:id="281" w:name="_Toc276397121"/>
      <w:bookmarkStart w:id="282" w:name="_Toc276398707"/>
      <w:bookmarkStart w:id="283" w:name="_Toc276396319"/>
      <w:bookmarkStart w:id="284" w:name="_Toc276396491"/>
      <w:bookmarkStart w:id="285" w:name="_Toc276397021"/>
      <w:bookmarkStart w:id="286" w:name="_Toc276397071"/>
      <w:bookmarkStart w:id="287" w:name="_Toc276397122"/>
      <w:bookmarkStart w:id="288" w:name="_Toc276398708"/>
      <w:bookmarkStart w:id="289" w:name="_Toc276396320"/>
      <w:bookmarkStart w:id="290" w:name="_Toc276396492"/>
      <w:bookmarkStart w:id="291" w:name="_Toc276397022"/>
      <w:bookmarkStart w:id="292" w:name="_Toc276397072"/>
      <w:bookmarkStart w:id="293" w:name="_Toc276397123"/>
      <w:bookmarkStart w:id="294" w:name="_Toc276398709"/>
      <w:bookmarkStart w:id="295" w:name="_Toc276457223"/>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374646">
        <w:rPr>
          <w:rStyle w:val="IntenseReference"/>
          <w:b/>
          <w:bCs/>
          <w:smallCaps w:val="0"/>
          <w:color w:val="auto"/>
          <w:spacing w:val="0"/>
          <w:u w:val="none"/>
        </w:rPr>
        <w:lastRenderedPageBreak/>
        <w:t>Simulation</w:t>
      </w:r>
      <w:bookmarkEnd w:id="295"/>
    </w:p>
    <w:p w:rsidR="00A9643B" w:rsidRPr="006C3892" w:rsidRDefault="00A9643B" w:rsidP="00A9643B">
      <w:pPr>
        <w:rPr>
          <w:sz w:val="14"/>
        </w:rPr>
      </w:pPr>
    </w:p>
    <w:p w:rsidR="00A9643B" w:rsidRDefault="00721C08" w:rsidP="00A9643B">
      <w:pPr>
        <w:pStyle w:val="ListParagraph"/>
        <w:spacing w:line="360" w:lineRule="auto"/>
        <w:ind w:left="0"/>
        <w:jc w:val="center"/>
        <w:rPr>
          <w:rFonts w:ascii="Times New Roman" w:hAnsi="Times New Roman"/>
          <w:i/>
          <w:sz w:val="24"/>
        </w:rPr>
      </w:pPr>
      <w:r>
        <w:rPr>
          <w:rFonts w:ascii="Times New Roman" w:hAnsi="Times New Roman"/>
          <w:i/>
          <w:noProof/>
          <w:sz w:val="24"/>
        </w:rPr>
        <w:drawing>
          <wp:inline distT="0" distB="0" distL="0" distR="0">
            <wp:extent cx="5687314" cy="4675505"/>
            <wp:effectExtent l="6096" t="0" r="0" b="0"/>
            <wp:docPr id="19"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95160" cy="5143500"/>
                      <a:chOff x="1158240" y="876300"/>
                      <a:chExt cx="6995160" cy="5143500"/>
                    </a:xfrm>
                  </a:grpSpPr>
                  <a:grpSp>
                    <a:nvGrpSpPr>
                      <a:cNvPr id="33" name="Group 32"/>
                      <a:cNvGrpSpPr/>
                    </a:nvGrpSpPr>
                    <a:grpSpPr>
                      <a:xfrm>
                        <a:off x="1158240" y="876300"/>
                        <a:ext cx="6995160" cy="5143500"/>
                        <a:chOff x="685800" y="685800"/>
                        <a:chExt cx="7772400" cy="5715000"/>
                      </a:xfrm>
                    </a:grpSpPr>
                    <a:sp>
                      <a:nvSpPr>
                        <a:cNvPr id="2" name="Oval 1"/>
                        <a:cNvSpPr/>
                      </a:nvSpPr>
                      <a:spPr>
                        <a:xfrm>
                          <a:off x="3886200" y="685800"/>
                          <a:ext cx="990600" cy="228600"/>
                        </a:xfrm>
                        <a:prstGeom prst="ellipse">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Start</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Parallelogram 2"/>
                        <a:cNvSpPr/>
                      </a:nvSpPr>
                      <a:spPr>
                        <a:xfrm>
                          <a:off x="1600200" y="1066800"/>
                          <a:ext cx="5638800" cy="228600"/>
                        </a:xfrm>
                        <a:prstGeom prst="parallelogram">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Read generation, wind and load data from an EXCEL file</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 name="Straight Arrow Connector 5"/>
                        <a:cNvCxnSpPr/>
                      </a:nvCxnSpPr>
                      <a:spPr>
                        <a:xfrm rot="5400000">
                          <a:off x="4344194" y="989806"/>
                          <a:ext cx="15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7" name="Straight Arrow Connector 6"/>
                        <a:cNvCxnSpPr/>
                      </a:nvCxnSpPr>
                      <a:spPr>
                        <a:xfrm rot="5400000">
                          <a:off x="4344194" y="1370806"/>
                          <a:ext cx="15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sp>
                      <a:nvSpPr>
                        <a:cNvPr id="26" name="Rectangle 25"/>
                        <a:cNvSpPr/>
                      </a:nvSpPr>
                      <a:spPr>
                        <a:xfrm>
                          <a:off x="1981200" y="1981200"/>
                          <a:ext cx="4876800" cy="457200"/>
                        </a:xfrm>
                        <a:prstGeom prst="rect">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Generate random outages and randomize available wind capacity for a pre-specified number of years</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Rectangle 26"/>
                        <a:cNvSpPr/>
                      </a:nvSpPr>
                      <a:spPr>
                        <a:xfrm>
                          <a:off x="2819400" y="4953000"/>
                          <a:ext cx="3200400" cy="228600"/>
                        </a:xfrm>
                        <a:prstGeom prst="rect">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Proceed with the next load scenario</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Rectangle 27"/>
                        <a:cNvSpPr/>
                      </a:nvSpPr>
                      <a:spPr>
                        <a:xfrm>
                          <a:off x="2057400" y="3200400"/>
                          <a:ext cx="4876800" cy="304800"/>
                        </a:xfrm>
                        <a:prstGeom prst="rect">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Update reliability metrics (LOLEV EUE, LOLH)</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3124200" y="1447800"/>
                          <a:ext cx="2590800" cy="228600"/>
                        </a:xfrm>
                        <a:prstGeom prst="rect">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For every load scenario</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2362200" y="5410200"/>
                          <a:ext cx="4038600" cy="228600"/>
                        </a:xfrm>
                        <a:prstGeom prst="rect">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Calculate probability based reliability indices</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3505200" y="5791200"/>
                          <a:ext cx="2057400" cy="228600"/>
                        </a:xfrm>
                        <a:prstGeom prst="rect">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Print results</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0" name="Straight Arrow Connector 39"/>
                        <a:cNvCxnSpPr/>
                      </a:nvCxnSpPr>
                      <a:spPr>
                        <a:xfrm rot="5400000">
                          <a:off x="4344194" y="5714206"/>
                          <a:ext cx="15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sp>
                      <a:nvSpPr>
                        <a:cNvPr id="42" name="Oval 41"/>
                        <a:cNvSpPr/>
                      </a:nvSpPr>
                      <a:spPr>
                        <a:xfrm>
                          <a:off x="3962400" y="6172200"/>
                          <a:ext cx="914400" cy="228600"/>
                        </a:xfrm>
                        <a:prstGeom prst="ellipse">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Stop</a:t>
                            </a: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3" name="Straight Arrow Connector 42"/>
                        <a:cNvCxnSpPr/>
                      </a:nvCxnSpPr>
                      <a:spPr>
                        <a:xfrm rot="5400000">
                          <a:off x="4344194" y="6095206"/>
                          <a:ext cx="15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sp>
                      <a:nvSpPr>
                        <a:cNvPr id="67" name="Flowchart: Decision 66"/>
                        <a:cNvSpPr/>
                      </a:nvSpPr>
                      <a:spPr>
                        <a:xfrm>
                          <a:off x="838200" y="3657600"/>
                          <a:ext cx="7162800" cy="1066800"/>
                        </a:xfrm>
                        <a:prstGeom prst="flowChartDecision">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Check whether the stopping criteria are met</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6" name="TextBox 75"/>
                        <a:cNvSpPr txBox="1"/>
                      </a:nvSpPr>
                      <a:spPr>
                        <a:xfrm>
                          <a:off x="7924800" y="3886200"/>
                          <a:ext cx="5334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no</a:t>
                            </a:r>
                            <a:endParaRPr lang="en-US" sz="1200" dirty="0"/>
                          </a:p>
                        </a:txBody>
                        <a:useSpRect/>
                      </a:txSp>
                    </a:sp>
                    <a:sp>
                      <a:nvSpPr>
                        <a:cNvPr id="77" name="TextBox 76"/>
                        <a:cNvSpPr txBox="1"/>
                      </a:nvSpPr>
                      <a:spPr>
                        <a:xfrm>
                          <a:off x="4419600" y="4648200"/>
                          <a:ext cx="5334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yes</a:t>
                            </a:r>
                            <a:endParaRPr lang="en-US" sz="1200" dirty="0"/>
                          </a:p>
                        </a:txBody>
                        <a:useSpRect/>
                      </a:txSp>
                    </a:sp>
                    <a:sp>
                      <a:nvSpPr>
                        <a:cNvPr id="82" name="Rectangle 81"/>
                        <a:cNvSpPr/>
                      </a:nvSpPr>
                      <a:spPr>
                        <a:xfrm>
                          <a:off x="2057400" y="2590800"/>
                          <a:ext cx="4876800" cy="457200"/>
                        </a:xfrm>
                        <a:prstGeom prst="rect">
                          <a:avLst/>
                        </a:prstGeom>
                        <a:solidFill>
                          <a:srgbClr val="0070C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Evaluate the hourly margin between resource and load (Margin = Resources – Demand)</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4" name="Straight Arrow Connector 53"/>
                        <a:cNvCxnSpPr/>
                      </a:nvCxnSpPr>
                      <a:spPr>
                        <a:xfrm rot="5400000">
                          <a:off x="4344194" y="2513806"/>
                          <a:ext cx="15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57" name="Straight Arrow Connector 56"/>
                        <a:cNvCxnSpPr>
                          <a:stCxn id="37" idx="2"/>
                        </a:cNvCxnSpPr>
                      </a:nvCxnSpPr>
                      <a:spPr>
                        <a:xfrm rot="5400000">
                          <a:off x="4267200" y="1828800"/>
                          <a:ext cx="3048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61" name="Straight Arrow Connector 60"/>
                        <a:cNvCxnSpPr/>
                      </a:nvCxnSpPr>
                      <a:spPr>
                        <a:xfrm rot="5400000">
                          <a:off x="4344194" y="3123406"/>
                          <a:ext cx="15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62" name="Straight Arrow Connector 61"/>
                        <a:cNvCxnSpPr/>
                      </a:nvCxnSpPr>
                      <a:spPr>
                        <a:xfrm rot="5400000">
                          <a:off x="4344194" y="3580606"/>
                          <a:ext cx="15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63" name="Straight Arrow Connector 62"/>
                        <a:cNvCxnSpPr/>
                      </a:nvCxnSpPr>
                      <a:spPr>
                        <a:xfrm rot="5400000">
                          <a:off x="4306094" y="4837906"/>
                          <a:ext cx="2286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66" name="Straight Connector 65"/>
                        <a:cNvCxnSpPr>
                          <a:stCxn id="67" idx="3"/>
                        </a:cNvCxnSpPr>
                      </a:nvCxnSpPr>
                      <a:spPr>
                        <a:xfrm>
                          <a:off x="8001000" y="4191000"/>
                          <a:ext cx="381000" cy="0"/>
                        </a:xfrm>
                        <a:prstGeom prst="line">
                          <a:avLst/>
                        </a:prstGeom>
                        <a:ln>
                          <a:solidFill>
                            <a:srgbClr val="0070C0"/>
                          </a:solidFill>
                        </a:ln>
                      </a:spPr>
                      <a:style>
                        <a:lnRef idx="1">
                          <a:schemeClr val="accent1"/>
                        </a:lnRef>
                        <a:fillRef idx="0">
                          <a:schemeClr val="accent1"/>
                        </a:fillRef>
                        <a:effectRef idx="0">
                          <a:schemeClr val="accent1"/>
                        </a:effectRef>
                        <a:fontRef idx="minor">
                          <a:schemeClr val="tx1"/>
                        </a:fontRef>
                      </a:style>
                    </a:cxnSp>
                    <a:cxnSp>
                      <a:nvCxnSpPr>
                        <a:cNvPr id="71" name="Straight Arrow Connector 70"/>
                        <a:cNvCxnSpPr/>
                      </a:nvCxnSpPr>
                      <a:spPr>
                        <a:xfrm rot="10800000">
                          <a:off x="4419600" y="1828801"/>
                          <a:ext cx="39624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73" name="Straight Connector 72"/>
                        <a:cNvCxnSpPr/>
                      </a:nvCxnSpPr>
                      <a:spPr>
                        <a:xfrm rot="5400000">
                          <a:off x="7200900" y="3009900"/>
                          <a:ext cx="2362200" cy="0"/>
                        </a:xfrm>
                        <a:prstGeom prst="line">
                          <a:avLst/>
                        </a:prstGeom>
                        <a:ln>
                          <a:solidFill>
                            <a:srgbClr val="0070C0"/>
                          </a:solidFill>
                        </a:ln>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rot="5400000">
                          <a:off x="4306094" y="5295106"/>
                          <a:ext cx="2286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cxnSp>
                      <a:nvCxnSpPr>
                        <a:cNvPr id="95" name="Straight Connector 94"/>
                        <a:cNvCxnSpPr/>
                      </a:nvCxnSpPr>
                      <a:spPr>
                        <a:xfrm rot="10800000">
                          <a:off x="685800" y="5257800"/>
                          <a:ext cx="3733800" cy="0"/>
                        </a:xfrm>
                        <a:prstGeom prst="line">
                          <a:avLst/>
                        </a:prstGeom>
                        <a:ln>
                          <a:solidFill>
                            <a:srgbClr val="0070C0"/>
                          </a:solidFill>
                        </a:ln>
                      </a:spPr>
                      <a:style>
                        <a:lnRef idx="1">
                          <a:schemeClr val="accent1"/>
                        </a:lnRef>
                        <a:fillRef idx="0">
                          <a:schemeClr val="accent1"/>
                        </a:fillRef>
                        <a:effectRef idx="0">
                          <a:schemeClr val="accent1"/>
                        </a:effectRef>
                        <a:fontRef idx="minor">
                          <a:schemeClr val="tx1"/>
                        </a:fontRef>
                      </a:style>
                    </a:cxnSp>
                    <a:cxnSp>
                      <a:nvCxnSpPr>
                        <a:cNvPr id="97" name="Straight Connector 96"/>
                        <a:cNvCxnSpPr/>
                      </a:nvCxnSpPr>
                      <a:spPr>
                        <a:xfrm rot="5400000" flipH="1" flipV="1">
                          <a:off x="-1028700" y="3543300"/>
                          <a:ext cx="3429000" cy="0"/>
                        </a:xfrm>
                        <a:prstGeom prst="line">
                          <a:avLst/>
                        </a:prstGeom>
                        <a:ln>
                          <a:solidFill>
                            <a:srgbClr val="0070C0"/>
                          </a:solidFill>
                        </a:ln>
                      </a:spPr>
                      <a:style>
                        <a:lnRef idx="1">
                          <a:schemeClr val="accent1"/>
                        </a:lnRef>
                        <a:fillRef idx="0">
                          <a:schemeClr val="accent1"/>
                        </a:fillRef>
                        <a:effectRef idx="0">
                          <a:schemeClr val="accent1"/>
                        </a:effectRef>
                        <a:fontRef idx="minor">
                          <a:schemeClr val="tx1"/>
                        </a:fontRef>
                      </a:style>
                    </a:cxnSp>
                    <a:cxnSp>
                      <a:nvCxnSpPr>
                        <a:cNvPr id="99" name="Straight Arrow Connector 98"/>
                        <a:cNvCxnSpPr/>
                      </a:nvCxnSpPr>
                      <a:spPr>
                        <a:xfrm>
                          <a:off x="685800" y="1828800"/>
                          <a:ext cx="3733800" cy="1588"/>
                        </a:xfrm>
                        <a:prstGeom prst="straightConnector1">
                          <a:avLst/>
                        </a:prstGeom>
                        <a:ln>
                          <a:solidFill>
                            <a:srgbClr val="0070C0"/>
                          </a:solidFill>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A9643B" w:rsidRPr="006C3892" w:rsidRDefault="00A9643B" w:rsidP="00A9643B">
      <w:pPr>
        <w:pStyle w:val="ListParagraph"/>
        <w:spacing w:line="360" w:lineRule="auto"/>
        <w:ind w:left="0"/>
        <w:jc w:val="center"/>
        <w:rPr>
          <w:rFonts w:ascii="Times New Roman" w:hAnsi="Times New Roman"/>
          <w:sz w:val="24"/>
        </w:rPr>
      </w:pPr>
      <w:r>
        <w:rPr>
          <w:rFonts w:ascii="Times New Roman" w:hAnsi="Times New Roman"/>
          <w:sz w:val="24"/>
        </w:rPr>
        <w:t>Fig – 2: Flowchart describing the simulation process</w:t>
      </w: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The simulation process can be summarized as </w:t>
      </w:r>
      <w:r w:rsidR="009D7A25">
        <w:rPr>
          <w:rFonts w:ascii="Times New Roman" w:hAnsi="Times New Roman"/>
          <w:sz w:val="24"/>
        </w:rPr>
        <w:t>follows:</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All the input data is stored in an EXCEL file. Using MATLAB, this file is read and all information is stored.</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Each of the load scenarios are separately.</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 xml:space="preserve">For every unit, sequences of generator availability and unavailability </w:t>
      </w:r>
      <w:r w:rsidR="00425BF4">
        <w:rPr>
          <w:rFonts w:ascii="Times New Roman" w:hAnsi="Times New Roman"/>
          <w:sz w:val="24"/>
        </w:rPr>
        <w:t xml:space="preserve">hours </w:t>
      </w:r>
      <w:r>
        <w:rPr>
          <w:rFonts w:ascii="Times New Roman" w:hAnsi="Times New Roman"/>
          <w:sz w:val="24"/>
        </w:rPr>
        <w:t>are built using MTTF and MTTR respectively.</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 xml:space="preserve">For every day, random daily wind profiles are created. To randomly choose a day’s wind profile, a span of ± seven days is used. </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Hourly resource profiles are generated by summing up the hourly capacity available (wind and conventional resources).</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lastRenderedPageBreak/>
        <w:t>Hourly margin is then computed</w:t>
      </w:r>
      <w:r w:rsidR="009D7A25">
        <w:rPr>
          <w:rFonts w:ascii="Times New Roman" w:hAnsi="Times New Roman"/>
          <w:sz w:val="24"/>
        </w:rPr>
        <w:t xml:space="preserve"> (</w:t>
      </w:r>
      <w:r>
        <w:rPr>
          <w:rFonts w:ascii="Times New Roman" w:hAnsi="Times New Roman"/>
          <w:sz w:val="24"/>
        </w:rPr>
        <w:t>Hourly Margin = Resource Capacity – Demand</w:t>
      </w:r>
      <w:r w:rsidR="009D7A25">
        <w:rPr>
          <w:rFonts w:ascii="Times New Roman" w:hAnsi="Times New Roman"/>
          <w:sz w:val="24"/>
        </w:rPr>
        <w:t>).</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A negative margin indicates a loss of load hour</w:t>
      </w:r>
      <w:r w:rsidR="009D7A25">
        <w:rPr>
          <w:rFonts w:ascii="Times New Roman" w:hAnsi="Times New Roman"/>
          <w:sz w:val="24"/>
        </w:rPr>
        <w:t>; this hour’s</w:t>
      </w:r>
      <w:r>
        <w:rPr>
          <w:rFonts w:ascii="Times New Roman" w:hAnsi="Times New Roman"/>
          <w:sz w:val="24"/>
        </w:rPr>
        <w:t xml:space="preserve"> value indicates the amount of load that could not be served. A sequence of loss of load hours contributes one loss of load event. </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 xml:space="preserve">Reliability metrics (LOLEV, EUE and LOLH) are updated based on the hourly margins obtained. </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 xml:space="preserve">Once the stopping criteria are met, the procedure is repeated </w:t>
      </w:r>
      <w:r w:rsidR="009D7A25">
        <w:rPr>
          <w:rFonts w:ascii="Times New Roman" w:hAnsi="Times New Roman"/>
          <w:sz w:val="24"/>
        </w:rPr>
        <w:t xml:space="preserve">for the next load scenario </w:t>
      </w:r>
      <w:r>
        <w:rPr>
          <w:rFonts w:ascii="Times New Roman" w:hAnsi="Times New Roman"/>
          <w:sz w:val="24"/>
        </w:rPr>
        <w:t xml:space="preserve">from step 3. </w:t>
      </w:r>
      <w:r w:rsidR="009D7A25">
        <w:rPr>
          <w:rFonts w:ascii="Times New Roman" w:hAnsi="Times New Roman"/>
          <w:sz w:val="24"/>
        </w:rPr>
        <w:t>The</w:t>
      </w:r>
      <w:r>
        <w:rPr>
          <w:rFonts w:ascii="Times New Roman" w:hAnsi="Times New Roman"/>
          <w:sz w:val="24"/>
        </w:rPr>
        <w:t xml:space="preserve"> stopping criteria </w:t>
      </w:r>
      <w:r w:rsidR="00425BF4">
        <w:rPr>
          <w:rFonts w:ascii="Times New Roman" w:hAnsi="Times New Roman"/>
          <w:sz w:val="24"/>
        </w:rPr>
        <w:t xml:space="preserve">are </w:t>
      </w:r>
      <w:r w:rsidR="009D7A25">
        <w:rPr>
          <w:rFonts w:ascii="Times New Roman" w:hAnsi="Times New Roman"/>
          <w:sz w:val="24"/>
        </w:rPr>
        <w:t xml:space="preserve">described </w:t>
      </w:r>
      <w:r>
        <w:rPr>
          <w:rFonts w:ascii="Times New Roman" w:hAnsi="Times New Roman"/>
          <w:sz w:val="24"/>
        </w:rPr>
        <w:t>in the next subsection.</w:t>
      </w:r>
    </w:p>
    <w:p w:rsidR="00A9643B" w:rsidRDefault="00A9643B" w:rsidP="00740286">
      <w:pPr>
        <w:pStyle w:val="ListParagraph"/>
        <w:numPr>
          <w:ilvl w:val="0"/>
          <w:numId w:val="15"/>
        </w:numPr>
        <w:spacing w:line="360" w:lineRule="auto"/>
        <w:ind w:left="1080"/>
        <w:jc w:val="both"/>
        <w:rPr>
          <w:rFonts w:ascii="Times New Roman" w:hAnsi="Times New Roman"/>
          <w:sz w:val="24"/>
        </w:rPr>
      </w:pPr>
      <w:r>
        <w:rPr>
          <w:rFonts w:ascii="Times New Roman" w:hAnsi="Times New Roman"/>
          <w:sz w:val="24"/>
        </w:rPr>
        <w:t>After all the load scenarios are analyzed, the probabilities associated with each of them are used to calculate the reliability indices</w:t>
      </w:r>
      <w:r w:rsidR="009D7A25">
        <w:rPr>
          <w:rFonts w:ascii="Times New Roman" w:hAnsi="Times New Roman"/>
          <w:sz w:val="24"/>
        </w:rPr>
        <w:t xml:space="preserve"> for the subject reserve margin</w:t>
      </w:r>
    </w:p>
    <w:p w:rsidR="00A9643B" w:rsidRPr="00532E76" w:rsidRDefault="00374646" w:rsidP="00532E76">
      <w:pPr>
        <w:pStyle w:val="Heading2"/>
        <w:rPr>
          <w:rStyle w:val="IntenseReference"/>
          <w:b/>
          <w:bCs/>
          <w:smallCaps w:val="0"/>
          <w:color w:val="auto"/>
          <w:spacing w:val="0"/>
          <w:u w:val="none"/>
        </w:rPr>
      </w:pPr>
      <w:bookmarkStart w:id="296" w:name="_Toc276457224"/>
      <w:r w:rsidRPr="00374646">
        <w:rPr>
          <w:rStyle w:val="IntenseReference"/>
          <w:b/>
          <w:bCs/>
          <w:smallCaps w:val="0"/>
          <w:color w:val="auto"/>
          <w:spacing w:val="0"/>
          <w:u w:val="none"/>
        </w:rPr>
        <w:t>Stopping Criteria</w:t>
      </w:r>
      <w:bookmarkEnd w:id="296"/>
    </w:p>
    <w:p w:rsidR="00A9643B" w:rsidRDefault="00A9643B" w:rsidP="00A9643B">
      <w:pPr>
        <w:spacing w:line="360" w:lineRule="auto"/>
        <w:ind w:firstLine="720"/>
        <w:jc w:val="both"/>
        <w:rPr>
          <w:i/>
        </w:rPr>
      </w:pPr>
    </w:p>
    <w:p w:rsidR="00A9643B" w:rsidRDefault="00CE2B0A"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Each scenario was iterated </w:t>
      </w:r>
      <w:r w:rsidR="002D354C">
        <w:rPr>
          <w:rFonts w:ascii="Times New Roman" w:hAnsi="Times New Roman"/>
          <w:sz w:val="24"/>
        </w:rPr>
        <w:t>for 10,000 iterations, or until the following stopping criteria were achieved</w:t>
      </w:r>
      <w:r>
        <w:rPr>
          <w:rFonts w:ascii="Times New Roman" w:hAnsi="Times New Roman"/>
          <w:sz w:val="24"/>
        </w:rPr>
        <w:t>:</w:t>
      </w:r>
    </w:p>
    <w:p w:rsidR="00B50085" w:rsidRDefault="00A9643B">
      <w:pPr>
        <w:pStyle w:val="ListParagraph"/>
        <w:numPr>
          <w:ilvl w:val="0"/>
          <w:numId w:val="16"/>
        </w:numPr>
        <w:spacing w:line="360" w:lineRule="auto"/>
        <w:ind w:left="1080"/>
        <w:jc w:val="both"/>
        <w:rPr>
          <w:rFonts w:ascii="Times New Roman" w:hAnsi="Times New Roman"/>
          <w:sz w:val="24"/>
        </w:rPr>
      </w:pPr>
      <w:r w:rsidRPr="000C6069">
        <w:rPr>
          <w:rFonts w:ascii="Times New Roman" w:hAnsi="Times New Roman"/>
          <w:sz w:val="24"/>
        </w:rPr>
        <w:t>A minimum number of iterations (set to 1,000).</w:t>
      </w:r>
    </w:p>
    <w:p w:rsidR="00B50085" w:rsidRDefault="00A9643B">
      <w:pPr>
        <w:pStyle w:val="ListParagraph"/>
        <w:numPr>
          <w:ilvl w:val="0"/>
          <w:numId w:val="16"/>
        </w:numPr>
        <w:spacing w:line="360" w:lineRule="auto"/>
        <w:ind w:left="1080"/>
        <w:jc w:val="both"/>
        <w:rPr>
          <w:rFonts w:ascii="Times New Roman" w:hAnsi="Times New Roman"/>
          <w:sz w:val="24"/>
        </w:rPr>
      </w:pPr>
      <w:r w:rsidRPr="000C6069">
        <w:rPr>
          <w:rFonts w:ascii="Times New Roman" w:hAnsi="Times New Roman"/>
          <w:sz w:val="24"/>
        </w:rPr>
        <w:t xml:space="preserve">The </w:t>
      </w:r>
      <w:r>
        <w:rPr>
          <w:rFonts w:ascii="Times New Roman" w:hAnsi="Times New Roman"/>
          <w:sz w:val="24"/>
        </w:rPr>
        <w:t xml:space="preserve">LOLEV </w:t>
      </w:r>
      <w:proofErr w:type="spellStart"/>
      <w:r w:rsidRPr="000C6069">
        <w:rPr>
          <w:rFonts w:ascii="Times New Roman" w:hAnsi="Times New Roman"/>
          <w:sz w:val="24"/>
        </w:rPr>
        <w:t>halfwidth</w:t>
      </w:r>
      <w:proofErr w:type="spellEnd"/>
      <w:r w:rsidRPr="000C6069">
        <w:rPr>
          <w:rFonts w:ascii="Times New Roman" w:hAnsi="Times New Roman"/>
          <w:sz w:val="24"/>
        </w:rPr>
        <w:t xml:space="preserve"> for a 95% confidence interval is less than a percentage (set to 5%) of the </w:t>
      </w:r>
      <w:r>
        <w:rPr>
          <w:rFonts w:ascii="Times New Roman" w:hAnsi="Times New Roman"/>
          <w:sz w:val="24"/>
        </w:rPr>
        <w:t>LOLEV</w:t>
      </w:r>
      <w:r w:rsidRPr="000C6069">
        <w:rPr>
          <w:rFonts w:ascii="Times New Roman" w:hAnsi="Times New Roman"/>
          <w:sz w:val="24"/>
        </w:rPr>
        <w:t xml:space="preserve"> average.</w:t>
      </w:r>
    </w:p>
    <w:p w:rsidR="00B50085" w:rsidRDefault="00A9643B">
      <w:pPr>
        <w:pStyle w:val="ListParagraph"/>
        <w:numPr>
          <w:ilvl w:val="0"/>
          <w:numId w:val="16"/>
        </w:numPr>
        <w:spacing w:line="360" w:lineRule="auto"/>
        <w:ind w:left="1080"/>
        <w:jc w:val="both"/>
        <w:rPr>
          <w:rFonts w:ascii="Times New Roman" w:hAnsi="Times New Roman"/>
          <w:sz w:val="24"/>
        </w:rPr>
      </w:pPr>
      <w:r w:rsidRPr="000C6069">
        <w:rPr>
          <w:rFonts w:ascii="Times New Roman" w:hAnsi="Times New Roman"/>
          <w:sz w:val="24"/>
        </w:rPr>
        <w:t>The total number of loss of load events is greater than a minimum value (set to 1).</w:t>
      </w: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 xml:space="preserve">These conditions </w:t>
      </w:r>
      <w:r w:rsidR="002D354C">
        <w:rPr>
          <w:rFonts w:ascii="Times New Roman" w:hAnsi="Times New Roman"/>
          <w:sz w:val="24"/>
        </w:rPr>
        <w:t>we</w:t>
      </w:r>
      <w:r>
        <w:rPr>
          <w:rFonts w:ascii="Times New Roman" w:hAnsi="Times New Roman"/>
          <w:sz w:val="24"/>
        </w:rPr>
        <w:t xml:space="preserve">re </w:t>
      </w:r>
      <w:r w:rsidR="002D354C">
        <w:rPr>
          <w:rFonts w:ascii="Times New Roman" w:hAnsi="Times New Roman"/>
          <w:sz w:val="24"/>
        </w:rPr>
        <w:t>selected given the</w:t>
      </w:r>
      <w:r>
        <w:rPr>
          <w:rFonts w:ascii="Times New Roman" w:hAnsi="Times New Roman"/>
          <w:sz w:val="24"/>
        </w:rPr>
        <w:t xml:space="preserve"> tradeoff between accuracy and computational effort. A minimum number of iterations are required so that sufficient samples are considered while computing the reliability indices. The reliability metrics obtained by simulation will </w:t>
      </w:r>
      <w:r w:rsidR="00344AC0">
        <w:rPr>
          <w:rFonts w:ascii="Times New Roman" w:hAnsi="Times New Roman"/>
          <w:sz w:val="24"/>
        </w:rPr>
        <w:t>converge</w:t>
      </w:r>
      <w:r>
        <w:rPr>
          <w:rFonts w:ascii="Times New Roman" w:hAnsi="Times New Roman"/>
          <w:sz w:val="24"/>
        </w:rPr>
        <w:t xml:space="preserve"> if a very large number of iterations are used, but the simulation may be ended earlier if a stable result is achieved, in order to be more computationally efficient. </w:t>
      </w:r>
      <w:r w:rsidR="00B50085">
        <w:rPr>
          <w:rFonts w:ascii="Times New Roman" w:hAnsi="Times New Roman"/>
          <w:sz w:val="24"/>
        </w:rPr>
        <w:t>An example of o</w:t>
      </w:r>
      <w:r w:rsidR="002D354C">
        <w:rPr>
          <w:rFonts w:ascii="Times New Roman" w:hAnsi="Times New Roman"/>
          <w:sz w:val="24"/>
        </w:rPr>
        <w:t>utput convergence is depicted in Figure 3.</w:t>
      </w:r>
    </w:p>
    <w:p w:rsidR="002D354C" w:rsidRDefault="002D354C" w:rsidP="00A9643B">
      <w:pPr>
        <w:pStyle w:val="ListParagraph"/>
        <w:spacing w:line="360" w:lineRule="auto"/>
        <w:ind w:left="0" w:firstLine="720"/>
        <w:jc w:val="both"/>
        <w:rPr>
          <w:rFonts w:ascii="Times New Roman" w:hAnsi="Times New Roman"/>
          <w:sz w:val="24"/>
        </w:rPr>
      </w:pPr>
    </w:p>
    <w:p w:rsidR="002D354C" w:rsidRDefault="002D354C" w:rsidP="00A9643B">
      <w:pPr>
        <w:pStyle w:val="ListParagraph"/>
        <w:spacing w:line="360" w:lineRule="auto"/>
        <w:ind w:left="0" w:firstLine="720"/>
        <w:jc w:val="both"/>
        <w:rPr>
          <w:rFonts w:ascii="Times New Roman" w:hAnsi="Times New Roman"/>
          <w:sz w:val="24"/>
        </w:rPr>
      </w:pPr>
    </w:p>
    <w:p w:rsidR="00A9643B" w:rsidRDefault="00721C08" w:rsidP="00A9643B">
      <w:pPr>
        <w:pStyle w:val="ListParagraph"/>
        <w:spacing w:line="360" w:lineRule="auto"/>
        <w:ind w:left="0"/>
        <w:jc w:val="center"/>
        <w:rPr>
          <w:rFonts w:ascii="Times New Roman" w:hAnsi="Times New Roman"/>
          <w:sz w:val="24"/>
        </w:rPr>
      </w:pPr>
      <w:r>
        <w:rPr>
          <w:rFonts w:ascii="Times New Roman" w:hAnsi="Times New Roman"/>
          <w:noProof/>
          <w:sz w:val="24"/>
        </w:rPr>
        <w:lastRenderedPageBreak/>
        <w:drawing>
          <wp:inline distT="0" distB="0" distL="0" distR="0">
            <wp:extent cx="3792855" cy="3434715"/>
            <wp:effectExtent l="1905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3792855" cy="3434715"/>
                    </a:xfrm>
                    <a:prstGeom prst="rect">
                      <a:avLst/>
                    </a:prstGeom>
                    <a:noFill/>
                    <a:ln w="9525">
                      <a:noFill/>
                      <a:miter lim="800000"/>
                      <a:headEnd/>
                      <a:tailEnd/>
                    </a:ln>
                  </pic:spPr>
                </pic:pic>
              </a:graphicData>
            </a:graphic>
          </wp:inline>
        </w:drawing>
      </w:r>
    </w:p>
    <w:p w:rsidR="00A9643B" w:rsidRDefault="00A9643B" w:rsidP="00A9643B">
      <w:pPr>
        <w:pStyle w:val="ListParagraph"/>
        <w:spacing w:line="360" w:lineRule="auto"/>
        <w:ind w:left="0" w:firstLine="720"/>
        <w:jc w:val="center"/>
        <w:rPr>
          <w:rFonts w:ascii="Times New Roman" w:hAnsi="Times New Roman"/>
          <w:sz w:val="24"/>
        </w:rPr>
      </w:pPr>
      <w:r>
        <w:rPr>
          <w:rFonts w:ascii="Times New Roman" w:hAnsi="Times New Roman"/>
          <w:sz w:val="24"/>
        </w:rPr>
        <w:t>Fig – 3: Variation of LOLE</w:t>
      </w:r>
      <w:r w:rsidR="00344AC0">
        <w:rPr>
          <w:rFonts w:ascii="Times New Roman" w:hAnsi="Times New Roman"/>
          <w:sz w:val="24"/>
        </w:rPr>
        <w:t>V</w:t>
      </w:r>
      <w:r>
        <w:rPr>
          <w:rFonts w:ascii="Times New Roman" w:hAnsi="Times New Roman"/>
          <w:sz w:val="24"/>
        </w:rPr>
        <w:t xml:space="preserve"> with the number of iterations</w:t>
      </w:r>
    </w:p>
    <w:p w:rsidR="002D354C" w:rsidRDefault="002D354C" w:rsidP="00A9643B">
      <w:pPr>
        <w:pStyle w:val="ListParagraph"/>
        <w:spacing w:line="360" w:lineRule="auto"/>
        <w:ind w:left="0" w:firstLine="720"/>
        <w:jc w:val="both"/>
        <w:rPr>
          <w:rFonts w:ascii="Times New Roman" w:hAnsi="Times New Roman"/>
          <w:sz w:val="24"/>
        </w:rPr>
      </w:pPr>
    </w:p>
    <w:p w:rsidR="00A9643B" w:rsidRDefault="00A9643B" w:rsidP="00A9643B">
      <w:pPr>
        <w:pStyle w:val="ListParagraph"/>
        <w:spacing w:line="360" w:lineRule="auto"/>
        <w:ind w:left="0" w:firstLine="720"/>
        <w:jc w:val="both"/>
        <w:rPr>
          <w:rFonts w:ascii="Times New Roman" w:hAnsi="Times New Roman"/>
          <w:sz w:val="24"/>
        </w:rPr>
      </w:pPr>
      <w:r>
        <w:rPr>
          <w:rFonts w:ascii="Times New Roman" w:hAnsi="Times New Roman"/>
          <w:sz w:val="24"/>
        </w:rPr>
        <w:t>In Fig – 3, the average value of LOLE</w:t>
      </w:r>
      <w:r w:rsidR="00344AC0">
        <w:rPr>
          <w:rFonts w:ascii="Times New Roman" w:hAnsi="Times New Roman"/>
          <w:sz w:val="24"/>
        </w:rPr>
        <w:t>V</w:t>
      </w:r>
      <w:r>
        <w:rPr>
          <w:rFonts w:ascii="Times New Roman" w:hAnsi="Times New Roman"/>
          <w:sz w:val="24"/>
        </w:rPr>
        <w:t xml:space="preserve"> </w:t>
      </w:r>
      <w:r w:rsidR="002D354C">
        <w:rPr>
          <w:rFonts w:ascii="Times New Roman" w:hAnsi="Times New Roman"/>
          <w:sz w:val="24"/>
        </w:rPr>
        <w:t>varies significantly</w:t>
      </w:r>
      <w:r>
        <w:rPr>
          <w:rFonts w:ascii="Times New Roman" w:hAnsi="Times New Roman"/>
          <w:sz w:val="24"/>
        </w:rPr>
        <w:t xml:space="preserve"> within the first 1000 iterations</w:t>
      </w:r>
      <w:r w:rsidR="00344AC0">
        <w:rPr>
          <w:rFonts w:ascii="Times New Roman" w:hAnsi="Times New Roman"/>
          <w:sz w:val="24"/>
        </w:rPr>
        <w:t xml:space="preserve"> for a particular load scenario</w:t>
      </w:r>
      <w:r w:rsidR="002D354C">
        <w:rPr>
          <w:rFonts w:ascii="Times New Roman" w:hAnsi="Times New Roman"/>
          <w:sz w:val="24"/>
        </w:rPr>
        <w:t xml:space="preserve">; with more </w:t>
      </w:r>
      <w:proofErr w:type="gramStart"/>
      <w:r w:rsidR="002D354C">
        <w:rPr>
          <w:rFonts w:ascii="Times New Roman" w:hAnsi="Times New Roman"/>
          <w:sz w:val="24"/>
        </w:rPr>
        <w:t>iterations</w:t>
      </w:r>
      <w:proofErr w:type="gramEnd"/>
      <w:r w:rsidR="002D354C">
        <w:rPr>
          <w:rFonts w:ascii="Times New Roman" w:hAnsi="Times New Roman"/>
          <w:sz w:val="24"/>
        </w:rPr>
        <w:t xml:space="preserve">, the average </w:t>
      </w:r>
      <w:r>
        <w:rPr>
          <w:rFonts w:ascii="Times New Roman" w:hAnsi="Times New Roman"/>
          <w:sz w:val="24"/>
        </w:rPr>
        <w:t xml:space="preserve">value </w:t>
      </w:r>
      <w:r w:rsidR="002D354C">
        <w:rPr>
          <w:rFonts w:ascii="Times New Roman" w:hAnsi="Times New Roman"/>
          <w:sz w:val="24"/>
        </w:rPr>
        <w:t xml:space="preserve">becomes </w:t>
      </w:r>
      <w:r>
        <w:rPr>
          <w:rFonts w:ascii="Times New Roman" w:hAnsi="Times New Roman"/>
          <w:sz w:val="24"/>
        </w:rPr>
        <w:t xml:space="preserve">more stable. The higher </w:t>
      </w:r>
      <w:r w:rsidR="002D354C">
        <w:rPr>
          <w:rFonts w:ascii="Times New Roman" w:hAnsi="Times New Roman"/>
          <w:sz w:val="24"/>
        </w:rPr>
        <w:t xml:space="preserve">the </w:t>
      </w:r>
      <w:r>
        <w:rPr>
          <w:rFonts w:ascii="Times New Roman" w:hAnsi="Times New Roman"/>
          <w:sz w:val="24"/>
        </w:rPr>
        <w:t>number of iterations</w:t>
      </w:r>
      <w:r w:rsidR="002D354C">
        <w:rPr>
          <w:rFonts w:ascii="Times New Roman" w:hAnsi="Times New Roman"/>
          <w:sz w:val="24"/>
        </w:rPr>
        <w:t xml:space="preserve">, </w:t>
      </w:r>
      <w:r>
        <w:rPr>
          <w:rFonts w:ascii="Times New Roman" w:hAnsi="Times New Roman"/>
          <w:sz w:val="24"/>
        </w:rPr>
        <w:t xml:space="preserve">the more accurate the </w:t>
      </w:r>
      <w:r w:rsidR="002D354C">
        <w:rPr>
          <w:rFonts w:ascii="Times New Roman" w:hAnsi="Times New Roman"/>
          <w:sz w:val="24"/>
        </w:rPr>
        <w:t xml:space="preserve">result </w:t>
      </w:r>
      <w:r>
        <w:rPr>
          <w:rFonts w:ascii="Times New Roman" w:hAnsi="Times New Roman"/>
          <w:sz w:val="24"/>
        </w:rPr>
        <w:t xml:space="preserve">will be, at the cost of long computational periods. </w:t>
      </w:r>
      <w:r w:rsidR="00344AC0">
        <w:rPr>
          <w:rFonts w:ascii="Times New Roman" w:hAnsi="Times New Roman"/>
          <w:sz w:val="24"/>
        </w:rPr>
        <w:t xml:space="preserve">The high value of the maximum number of iterations and the rigorous stopping criteria applied in this study ensure the statistical significance of the results.  </w:t>
      </w:r>
    </w:p>
    <w:p w:rsidR="00A9643B" w:rsidRPr="00532E76" w:rsidRDefault="00374646" w:rsidP="00532E76">
      <w:pPr>
        <w:pStyle w:val="Heading2"/>
        <w:rPr>
          <w:rStyle w:val="IntenseReference"/>
          <w:b/>
          <w:bCs/>
          <w:smallCaps w:val="0"/>
          <w:color w:val="auto"/>
          <w:spacing w:val="0"/>
          <w:u w:val="none"/>
        </w:rPr>
      </w:pPr>
      <w:bookmarkStart w:id="297" w:name="_Toc276457225"/>
      <w:r w:rsidRPr="00374646">
        <w:rPr>
          <w:rStyle w:val="IntenseReference"/>
          <w:b/>
          <w:bCs/>
          <w:smallCaps w:val="0"/>
          <w:color w:val="auto"/>
          <w:spacing w:val="0"/>
          <w:u w:val="none"/>
        </w:rPr>
        <w:t>Estimation of ELCC</w:t>
      </w:r>
      <w:bookmarkEnd w:id="297"/>
    </w:p>
    <w:p w:rsidR="00A9643B" w:rsidRDefault="00A9643B" w:rsidP="00A9643B">
      <w:pPr>
        <w:spacing w:line="360" w:lineRule="auto"/>
        <w:ind w:firstLine="720"/>
        <w:jc w:val="both"/>
        <w:rPr>
          <w:i/>
        </w:rPr>
      </w:pPr>
    </w:p>
    <w:p w:rsidR="00344AC0" w:rsidRDefault="002D354C" w:rsidP="00A9643B">
      <w:pPr>
        <w:spacing w:line="360" w:lineRule="auto"/>
        <w:ind w:firstLine="720"/>
        <w:jc w:val="both"/>
      </w:pPr>
      <w:r>
        <w:t xml:space="preserve">Due to the inherent variability of wind powered generation on the ERCOT System, </w:t>
      </w:r>
      <w:r w:rsidR="002A5964">
        <w:t>it is necessary to equate the availability of wind resources to that of</w:t>
      </w:r>
      <w:r>
        <w:t xml:space="preserve"> conventional generators</w:t>
      </w:r>
      <w:r w:rsidRPr="00C15BFC">
        <w:t xml:space="preserve"> </w:t>
      </w:r>
      <w:r w:rsidR="002A5964">
        <w:t>using t</w:t>
      </w:r>
      <w:r>
        <w:t>he</w:t>
      </w:r>
      <w:r w:rsidR="00300838">
        <w:t xml:space="preserve"> calculation of an</w:t>
      </w:r>
      <w:r>
        <w:t xml:space="preserve"> </w:t>
      </w:r>
      <w:r w:rsidRPr="002C3591">
        <w:rPr>
          <w:i/>
        </w:rPr>
        <w:t xml:space="preserve">Effective Load Carrying Capability </w:t>
      </w:r>
      <w:r w:rsidRPr="002C3591">
        <w:t xml:space="preserve">(ELCC). </w:t>
      </w:r>
      <w:r w:rsidR="00300838">
        <w:t xml:space="preserve">The </w:t>
      </w:r>
      <w:r>
        <w:t>ELCC</w:t>
      </w:r>
      <w:r w:rsidRPr="002C3591">
        <w:t xml:space="preserve"> indicates the percentage of the total nameplate capacity of wind that </w:t>
      </w:r>
      <w:r w:rsidR="00300838">
        <w:t>is equivalent to a conventional resource in</w:t>
      </w:r>
      <w:r>
        <w:t xml:space="preserve"> the calculation of the reserve margin</w:t>
      </w:r>
      <w:r w:rsidRPr="002C3591">
        <w:t>.</w:t>
      </w:r>
      <w:r>
        <w:t xml:space="preserve"> </w:t>
      </w:r>
    </w:p>
    <w:p w:rsidR="00A9643B" w:rsidRDefault="00A9643B" w:rsidP="00A9643B">
      <w:pPr>
        <w:spacing w:line="360" w:lineRule="auto"/>
        <w:ind w:firstLine="720"/>
        <w:jc w:val="both"/>
      </w:pPr>
      <w:r>
        <w:t>The methodology to evaluate th</w:t>
      </w:r>
      <w:r w:rsidR="00300838">
        <w:t>e ELCC</w:t>
      </w:r>
      <w:r>
        <w:t xml:space="preserve"> percentage</w:t>
      </w:r>
      <w:r w:rsidR="00300838">
        <w:t xml:space="preserve"> is as follows:</w:t>
      </w:r>
    </w:p>
    <w:p w:rsidR="00A9643B" w:rsidRPr="003F5036" w:rsidRDefault="00A9643B" w:rsidP="00344AC0">
      <w:pPr>
        <w:spacing w:after="200" w:line="360" w:lineRule="auto"/>
        <w:ind w:left="720"/>
        <w:jc w:val="both"/>
      </w:pPr>
    </w:p>
    <w:p w:rsidR="00B50085" w:rsidRDefault="00300838">
      <w:pPr>
        <w:pStyle w:val="ListParagraph"/>
        <w:numPr>
          <w:ilvl w:val="0"/>
          <w:numId w:val="21"/>
        </w:numPr>
        <w:spacing w:line="360" w:lineRule="auto"/>
        <w:ind w:left="1080"/>
        <w:jc w:val="both"/>
      </w:pPr>
      <w:r>
        <w:rPr>
          <w:rFonts w:ascii="Times New Roman" w:hAnsi="Times New Roman"/>
          <w:sz w:val="24"/>
        </w:rPr>
        <w:lastRenderedPageBreak/>
        <w:t>The</w:t>
      </w:r>
      <w:r w:rsidR="00374646" w:rsidRPr="00374646">
        <w:rPr>
          <w:rFonts w:ascii="Times New Roman" w:hAnsi="Times New Roman"/>
          <w:sz w:val="24"/>
        </w:rPr>
        <w:t xml:space="preserve"> probabilistic based reliability metrics are evaluated for a base case scenario (including the existing wind generation resources). </w:t>
      </w:r>
    </w:p>
    <w:p w:rsidR="00B50085" w:rsidRDefault="00300838">
      <w:pPr>
        <w:pStyle w:val="ListParagraph"/>
        <w:numPr>
          <w:ilvl w:val="0"/>
          <w:numId w:val="21"/>
        </w:numPr>
        <w:spacing w:line="360" w:lineRule="auto"/>
        <w:ind w:left="1080"/>
        <w:jc w:val="both"/>
      </w:pPr>
      <w:r>
        <w:rPr>
          <w:rFonts w:ascii="Times New Roman" w:hAnsi="Times New Roman"/>
          <w:sz w:val="24"/>
        </w:rPr>
        <w:t>A</w:t>
      </w:r>
      <w:r w:rsidR="00374646" w:rsidRPr="00374646">
        <w:rPr>
          <w:rFonts w:ascii="Times New Roman" w:hAnsi="Times New Roman"/>
          <w:sz w:val="24"/>
        </w:rPr>
        <w:t xml:space="preserve">fter the wind units have been completely removed, a capacity adjustment factor is applied to the remaining fleet until the same level of reliability for </w:t>
      </w:r>
      <w:r>
        <w:rPr>
          <w:rFonts w:ascii="Times New Roman" w:hAnsi="Times New Roman"/>
          <w:sz w:val="24"/>
        </w:rPr>
        <w:t xml:space="preserve">the selected </w:t>
      </w:r>
      <w:r w:rsidR="00374646" w:rsidRPr="00374646">
        <w:rPr>
          <w:rFonts w:ascii="Times New Roman" w:hAnsi="Times New Roman"/>
          <w:sz w:val="24"/>
        </w:rPr>
        <w:t>metric is achieved.</w:t>
      </w:r>
    </w:p>
    <w:p w:rsidR="00B50085" w:rsidRDefault="00374646">
      <w:pPr>
        <w:pStyle w:val="ListParagraph"/>
        <w:numPr>
          <w:ilvl w:val="0"/>
          <w:numId w:val="21"/>
        </w:numPr>
        <w:spacing w:line="360" w:lineRule="auto"/>
        <w:ind w:left="1080"/>
        <w:jc w:val="both"/>
      </w:pPr>
      <w:r w:rsidRPr="00374646">
        <w:rPr>
          <w:rFonts w:ascii="Times New Roman" w:hAnsi="Times New Roman"/>
          <w:sz w:val="24"/>
        </w:rPr>
        <w:t>The ELCC value is equal to the ratio of the capacity of the remaining fleet that was added divided by the total installed capacity of wind, in percent.</w:t>
      </w:r>
    </w:p>
    <w:p w:rsidR="00CE2B0A" w:rsidRDefault="00CE2B0A">
      <w:r>
        <w:br w:type="page"/>
      </w:r>
    </w:p>
    <w:p w:rsidR="00A9643B" w:rsidRDefault="00A9643B" w:rsidP="00A9643B">
      <w:pPr>
        <w:pStyle w:val="Heading1"/>
      </w:pPr>
      <w:bookmarkStart w:id="298" w:name="_Toc276396324"/>
      <w:bookmarkStart w:id="299" w:name="_Toc276396496"/>
      <w:bookmarkStart w:id="300" w:name="_Toc276397026"/>
      <w:bookmarkStart w:id="301" w:name="_Toc276397076"/>
      <w:bookmarkStart w:id="302" w:name="_Toc276397127"/>
      <w:bookmarkStart w:id="303" w:name="_Toc276398713"/>
      <w:bookmarkStart w:id="304" w:name="_Toc276396326"/>
      <w:bookmarkStart w:id="305" w:name="_Toc276396498"/>
      <w:bookmarkStart w:id="306" w:name="_Toc276397028"/>
      <w:bookmarkStart w:id="307" w:name="_Toc276397078"/>
      <w:bookmarkStart w:id="308" w:name="_Toc276397129"/>
      <w:bookmarkStart w:id="309" w:name="_Toc276398715"/>
      <w:bookmarkStart w:id="310" w:name="_Toc276396327"/>
      <w:bookmarkStart w:id="311" w:name="_Toc276396499"/>
      <w:bookmarkStart w:id="312" w:name="_Toc276397029"/>
      <w:bookmarkStart w:id="313" w:name="_Toc276397079"/>
      <w:bookmarkStart w:id="314" w:name="_Toc276397130"/>
      <w:bookmarkStart w:id="315" w:name="_Toc276398716"/>
      <w:bookmarkStart w:id="316" w:name="_Toc276396328"/>
      <w:bookmarkStart w:id="317" w:name="_Toc276396500"/>
      <w:bookmarkStart w:id="318" w:name="_Toc276397030"/>
      <w:bookmarkStart w:id="319" w:name="_Toc276397080"/>
      <w:bookmarkStart w:id="320" w:name="_Toc276397131"/>
      <w:bookmarkStart w:id="321" w:name="_Toc276398717"/>
      <w:bookmarkStart w:id="322" w:name="_Toc276396329"/>
      <w:bookmarkStart w:id="323" w:name="_Toc276396501"/>
      <w:bookmarkStart w:id="324" w:name="_Toc276397031"/>
      <w:bookmarkStart w:id="325" w:name="_Toc276397081"/>
      <w:bookmarkStart w:id="326" w:name="_Toc276397132"/>
      <w:bookmarkStart w:id="327" w:name="_Toc276398718"/>
      <w:bookmarkStart w:id="328" w:name="_Toc276396330"/>
      <w:bookmarkStart w:id="329" w:name="_Toc276396502"/>
      <w:bookmarkStart w:id="330" w:name="_Toc276397032"/>
      <w:bookmarkStart w:id="331" w:name="_Toc276397082"/>
      <w:bookmarkStart w:id="332" w:name="_Toc276397133"/>
      <w:bookmarkStart w:id="333" w:name="_Toc276398719"/>
      <w:bookmarkStart w:id="334" w:name="_Toc276396331"/>
      <w:bookmarkStart w:id="335" w:name="_Toc276396503"/>
      <w:bookmarkStart w:id="336" w:name="_Toc276397033"/>
      <w:bookmarkStart w:id="337" w:name="_Toc276397083"/>
      <w:bookmarkStart w:id="338" w:name="_Toc276397134"/>
      <w:bookmarkStart w:id="339" w:name="_Toc276398720"/>
      <w:bookmarkStart w:id="340" w:name="_Toc276396332"/>
      <w:bookmarkStart w:id="341" w:name="_Toc276396504"/>
      <w:bookmarkStart w:id="342" w:name="_Toc276397034"/>
      <w:bookmarkStart w:id="343" w:name="_Toc276397084"/>
      <w:bookmarkStart w:id="344" w:name="_Toc276397135"/>
      <w:bookmarkStart w:id="345" w:name="_Toc276398721"/>
      <w:bookmarkStart w:id="346" w:name="_Toc276396333"/>
      <w:bookmarkStart w:id="347" w:name="_Toc276396505"/>
      <w:bookmarkStart w:id="348" w:name="_Toc276397035"/>
      <w:bookmarkStart w:id="349" w:name="_Toc276397085"/>
      <w:bookmarkStart w:id="350" w:name="_Toc276397136"/>
      <w:bookmarkStart w:id="351" w:name="_Toc276398722"/>
      <w:bookmarkStart w:id="352" w:name="_Toc276396334"/>
      <w:bookmarkStart w:id="353" w:name="_Toc276396506"/>
      <w:bookmarkStart w:id="354" w:name="_Toc276397036"/>
      <w:bookmarkStart w:id="355" w:name="_Toc276397086"/>
      <w:bookmarkStart w:id="356" w:name="_Toc276397137"/>
      <w:bookmarkStart w:id="357" w:name="_Toc276398723"/>
      <w:bookmarkStart w:id="358" w:name="_Toc276396335"/>
      <w:bookmarkStart w:id="359" w:name="_Toc276396507"/>
      <w:bookmarkStart w:id="360" w:name="_Toc276397037"/>
      <w:bookmarkStart w:id="361" w:name="_Toc276397087"/>
      <w:bookmarkStart w:id="362" w:name="_Toc276397138"/>
      <w:bookmarkStart w:id="363" w:name="_Toc276398724"/>
      <w:bookmarkStart w:id="364" w:name="_Toc276396336"/>
      <w:bookmarkStart w:id="365" w:name="_Toc276396508"/>
      <w:bookmarkStart w:id="366" w:name="_Toc276397038"/>
      <w:bookmarkStart w:id="367" w:name="_Toc276397088"/>
      <w:bookmarkStart w:id="368" w:name="_Toc276397139"/>
      <w:bookmarkStart w:id="369" w:name="_Toc276398725"/>
      <w:bookmarkStart w:id="370" w:name="_Toc276396337"/>
      <w:bookmarkStart w:id="371" w:name="_Toc276396509"/>
      <w:bookmarkStart w:id="372" w:name="_Toc276397039"/>
      <w:bookmarkStart w:id="373" w:name="_Toc276397089"/>
      <w:bookmarkStart w:id="374" w:name="_Toc276397140"/>
      <w:bookmarkStart w:id="375" w:name="_Toc276398726"/>
      <w:bookmarkStart w:id="376" w:name="_Toc276396338"/>
      <w:bookmarkStart w:id="377" w:name="_Toc276396510"/>
      <w:bookmarkStart w:id="378" w:name="_Toc276397040"/>
      <w:bookmarkStart w:id="379" w:name="_Toc276397090"/>
      <w:bookmarkStart w:id="380" w:name="_Toc276397141"/>
      <w:bookmarkStart w:id="381" w:name="_Toc276398727"/>
      <w:bookmarkStart w:id="382" w:name="_Toc276396339"/>
      <w:bookmarkStart w:id="383" w:name="_Toc276396511"/>
      <w:bookmarkStart w:id="384" w:name="_Toc276397041"/>
      <w:bookmarkStart w:id="385" w:name="_Toc276397091"/>
      <w:bookmarkStart w:id="386" w:name="_Toc276397142"/>
      <w:bookmarkStart w:id="387" w:name="_Toc276398728"/>
      <w:bookmarkStart w:id="388" w:name="_Toc276396340"/>
      <w:bookmarkStart w:id="389" w:name="_Toc276396512"/>
      <w:bookmarkStart w:id="390" w:name="_Toc276397042"/>
      <w:bookmarkStart w:id="391" w:name="_Toc276397092"/>
      <w:bookmarkStart w:id="392" w:name="_Toc276397143"/>
      <w:bookmarkStart w:id="393" w:name="_Toc276398729"/>
      <w:bookmarkStart w:id="394" w:name="_Toc276396341"/>
      <w:bookmarkStart w:id="395" w:name="_Toc276396513"/>
      <w:bookmarkStart w:id="396" w:name="_Toc276397043"/>
      <w:bookmarkStart w:id="397" w:name="_Toc276397093"/>
      <w:bookmarkStart w:id="398" w:name="_Toc276397144"/>
      <w:bookmarkStart w:id="399" w:name="_Toc276398730"/>
      <w:bookmarkStart w:id="400" w:name="_Toc276396342"/>
      <w:bookmarkStart w:id="401" w:name="_Toc276396514"/>
      <w:bookmarkStart w:id="402" w:name="_Toc276397044"/>
      <w:bookmarkStart w:id="403" w:name="_Toc276397094"/>
      <w:bookmarkStart w:id="404" w:name="_Toc276397145"/>
      <w:bookmarkStart w:id="405" w:name="_Toc276398731"/>
      <w:bookmarkStart w:id="406" w:name="_Toc276396343"/>
      <w:bookmarkStart w:id="407" w:name="_Toc276396515"/>
      <w:bookmarkStart w:id="408" w:name="_Toc276397045"/>
      <w:bookmarkStart w:id="409" w:name="_Toc276397095"/>
      <w:bookmarkStart w:id="410" w:name="_Toc276397146"/>
      <w:bookmarkStart w:id="411" w:name="_Toc276398732"/>
      <w:bookmarkStart w:id="412" w:name="_Toc276396344"/>
      <w:bookmarkStart w:id="413" w:name="_Toc276396516"/>
      <w:bookmarkStart w:id="414" w:name="_Toc276397046"/>
      <w:bookmarkStart w:id="415" w:name="_Toc276397096"/>
      <w:bookmarkStart w:id="416" w:name="_Toc276397147"/>
      <w:bookmarkStart w:id="417" w:name="_Toc276398733"/>
      <w:bookmarkStart w:id="418" w:name="_Toc276396345"/>
      <w:bookmarkStart w:id="419" w:name="_Toc276396517"/>
      <w:bookmarkStart w:id="420" w:name="_Toc276397047"/>
      <w:bookmarkStart w:id="421" w:name="_Toc276397097"/>
      <w:bookmarkStart w:id="422" w:name="_Toc276397148"/>
      <w:bookmarkStart w:id="423" w:name="_Toc276398734"/>
      <w:bookmarkStart w:id="424" w:name="_Toc276396346"/>
      <w:bookmarkStart w:id="425" w:name="_Toc276396518"/>
      <w:bookmarkStart w:id="426" w:name="_Toc276397048"/>
      <w:bookmarkStart w:id="427" w:name="_Toc276397098"/>
      <w:bookmarkStart w:id="428" w:name="_Toc276397149"/>
      <w:bookmarkStart w:id="429" w:name="_Toc276398735"/>
      <w:bookmarkStart w:id="430" w:name="_Toc276396347"/>
      <w:bookmarkStart w:id="431" w:name="_Toc276396519"/>
      <w:bookmarkStart w:id="432" w:name="_Toc276397049"/>
      <w:bookmarkStart w:id="433" w:name="_Toc276397099"/>
      <w:bookmarkStart w:id="434" w:name="_Toc276397150"/>
      <w:bookmarkStart w:id="435" w:name="_Toc276398736"/>
      <w:bookmarkStart w:id="436" w:name="_Toc276457226"/>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lastRenderedPageBreak/>
        <w:t>RESULTS AND CONCLUSION</w:t>
      </w:r>
      <w:bookmarkEnd w:id="436"/>
    </w:p>
    <w:p w:rsidR="00A9643B" w:rsidRDefault="00A9643B" w:rsidP="00A9643B">
      <w:pPr>
        <w:pStyle w:val="Heading1"/>
        <w:numPr>
          <w:ilvl w:val="0"/>
          <w:numId w:val="0"/>
        </w:numPr>
        <w:spacing w:before="0" w:after="200" w:line="360" w:lineRule="auto"/>
        <w:rPr>
          <w:rStyle w:val="IntenseReference"/>
          <w:rFonts w:cs="Times New Roman"/>
          <w:sz w:val="32"/>
        </w:rPr>
      </w:pPr>
    </w:p>
    <w:p w:rsidR="00A35882" w:rsidRPr="00532E76" w:rsidRDefault="00A35882" w:rsidP="00A35882">
      <w:pPr>
        <w:pStyle w:val="Heading2"/>
        <w:rPr>
          <w:rStyle w:val="IntenseReference"/>
          <w:b/>
          <w:bCs/>
          <w:smallCaps w:val="0"/>
          <w:color w:val="auto"/>
          <w:spacing w:val="0"/>
          <w:u w:val="none"/>
        </w:rPr>
      </w:pPr>
      <w:bookmarkStart w:id="437" w:name="_Toc276457227"/>
      <w:r w:rsidRPr="00374646">
        <w:rPr>
          <w:rStyle w:val="IntenseReference"/>
          <w:b/>
          <w:bCs/>
          <w:smallCaps w:val="0"/>
          <w:color w:val="auto"/>
          <w:spacing w:val="0"/>
          <w:u w:val="none"/>
        </w:rPr>
        <w:t>Study Output</w:t>
      </w:r>
      <w:bookmarkEnd w:id="437"/>
    </w:p>
    <w:p w:rsidR="00A35882" w:rsidRDefault="00A35882" w:rsidP="00A35882">
      <w:pPr>
        <w:spacing w:line="360" w:lineRule="auto"/>
        <w:ind w:firstLine="720"/>
        <w:jc w:val="both"/>
        <w:rPr>
          <w:i/>
        </w:rPr>
      </w:pPr>
    </w:p>
    <w:p w:rsidR="00A3588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LOLEV is calculated as follows,</w:t>
      </w:r>
    </w:p>
    <w:p w:rsidR="00A35882" w:rsidRDefault="00A35882" w:rsidP="00A35882">
      <w:pPr>
        <w:pStyle w:val="ListParagraph"/>
        <w:spacing w:line="360" w:lineRule="auto"/>
        <w:ind w:left="0" w:firstLine="720"/>
        <w:jc w:val="both"/>
        <w:rPr>
          <w:rFonts w:ascii="Times New Roman" w:hAnsi="Times New Roman"/>
          <w:sz w:val="24"/>
        </w:rPr>
      </w:pPr>
      <m:oMathPara>
        <m:oMath>
          <m:r>
            <w:rPr>
              <w:rFonts w:ascii="Cambria Math" w:hAnsi="Cambria Math"/>
            </w:rPr>
            <m:t xml:space="preserve">LOLEV= </m:t>
          </m:r>
          <m:nary>
            <m:naryPr>
              <m:chr m:val="∑"/>
              <m:limLoc m:val="undOvr"/>
              <m:ctrlPr>
                <w:rPr>
                  <w:rFonts w:ascii="Cambria Math" w:hAnsi="Cambria Math"/>
                  <w:i/>
                </w:rPr>
              </m:ctrlPr>
            </m:naryPr>
            <m:sub>
              <m:r>
                <w:rPr>
                  <w:rFonts w:ascii="Cambria Math" w:hAnsi="Cambria Math"/>
                </w:rPr>
                <m:t>i=1</m:t>
              </m:r>
            </m:sub>
            <m:sup>
              <m:r>
                <w:rPr>
                  <w:rFonts w:ascii="Cambria Math" w:hAnsi="Cambria Math"/>
                </w:rPr>
                <m:t>5</m:t>
              </m:r>
            </m:sup>
            <m:e>
              <m:sSub>
                <m:sSubPr>
                  <m:ctrlPr>
                    <w:rPr>
                      <w:rFonts w:ascii="Cambria Math" w:hAnsi="Cambria Math"/>
                      <w:i/>
                    </w:rPr>
                  </m:ctrlPr>
                </m:sSubPr>
                <m:e>
                  <m:r>
                    <w:rPr>
                      <w:rFonts w:ascii="Cambria Math" w:hAnsi="Cambria Math"/>
                    </w:rPr>
                    <m:t>Probability</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LOLEV</m:t>
                  </m:r>
                </m:e>
                <m:sub>
                  <m:r>
                    <w:rPr>
                      <w:rFonts w:ascii="Cambria Math" w:hAnsi="Cambria Math"/>
                    </w:rPr>
                    <m:t>i</m:t>
                  </m:r>
                </m:sub>
              </m:sSub>
            </m:e>
          </m:nary>
        </m:oMath>
      </m:oMathPara>
    </w:p>
    <w:p w:rsidR="00A35882" w:rsidRPr="009926CD"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Here the study-wide LOLEV is a probabili</w:t>
      </w:r>
      <w:r w:rsidR="00344AC0">
        <w:rPr>
          <w:rFonts w:ascii="Times New Roman" w:hAnsi="Times New Roman"/>
          <w:sz w:val="24"/>
        </w:rPr>
        <w:t>ty-</w:t>
      </w:r>
      <w:r>
        <w:rPr>
          <w:rFonts w:ascii="Times New Roman" w:hAnsi="Times New Roman"/>
          <w:sz w:val="24"/>
        </w:rPr>
        <w:t xml:space="preserve">based average. The summation of the product of each load scenario probability and LOLEV for the scenario gives the study wide LOLEV. In the above formula, </w:t>
      </w:r>
      <w:proofErr w:type="spellStart"/>
      <w:r w:rsidRPr="009926CD">
        <w:rPr>
          <w:rFonts w:ascii="Times New Roman" w:hAnsi="Times New Roman"/>
          <w:i/>
          <w:sz w:val="24"/>
        </w:rPr>
        <w:t>i</w:t>
      </w:r>
      <w:proofErr w:type="spellEnd"/>
      <w:r>
        <w:rPr>
          <w:rFonts w:ascii="Times New Roman" w:hAnsi="Times New Roman"/>
          <w:i/>
          <w:sz w:val="24"/>
        </w:rPr>
        <w:t xml:space="preserve"> </w:t>
      </w:r>
      <w:proofErr w:type="gramStart"/>
      <w:r>
        <w:rPr>
          <w:rFonts w:ascii="Times New Roman" w:hAnsi="Times New Roman"/>
          <w:sz w:val="24"/>
        </w:rPr>
        <w:t>varies</w:t>
      </w:r>
      <w:proofErr w:type="gramEnd"/>
      <w:r>
        <w:rPr>
          <w:rFonts w:ascii="Times New Roman" w:hAnsi="Times New Roman"/>
          <w:sz w:val="24"/>
        </w:rPr>
        <w:t xml:space="preserve"> from 1 to 5 as we have five load scenarios.</w:t>
      </w:r>
    </w:p>
    <w:p w:rsidR="00A3588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The reserve margin is calculated by,</w:t>
      </w:r>
    </w:p>
    <w:p w:rsidR="00A35882" w:rsidRDefault="00A35882" w:rsidP="00A35882">
      <w:pPr>
        <w:pStyle w:val="ListParagraph"/>
        <w:spacing w:line="360" w:lineRule="auto"/>
        <w:ind w:left="0" w:firstLine="720"/>
        <w:jc w:val="both"/>
        <w:rPr>
          <w:rFonts w:ascii="Times New Roman" w:hAnsi="Times New Roman"/>
          <w:sz w:val="24"/>
        </w:rPr>
      </w:pPr>
    </w:p>
    <w:p w:rsidR="00A35882" w:rsidRPr="008A7BCD" w:rsidRDefault="00A35882" w:rsidP="00A35882">
      <w:pPr>
        <w:pStyle w:val="ListParagraph"/>
        <w:spacing w:line="360" w:lineRule="auto"/>
        <w:ind w:left="0" w:firstLine="720"/>
        <w:jc w:val="both"/>
        <w:rPr>
          <w:rFonts w:ascii="Times New Roman" w:eastAsia="Times New Roman" w:hAnsi="Times New Roman"/>
          <w:sz w:val="24"/>
        </w:rPr>
      </w:pPr>
      <m:oMathPara>
        <m:oMath>
          <m:r>
            <w:rPr>
              <w:rFonts w:ascii="Cambria Math" w:hAnsi="Cambria Math"/>
            </w:rPr>
            <m:t xml:space="preserve">Reserve Margin=  </m:t>
          </m:r>
          <m:f>
            <m:fPr>
              <m:ctrlPr>
                <w:rPr>
                  <w:rFonts w:ascii="Cambria Math" w:hAnsi="Cambria Math"/>
                  <w:i/>
                </w:rPr>
              </m:ctrlPr>
            </m:fPr>
            <m:num>
              <m:r>
                <w:rPr>
                  <w:rFonts w:ascii="Cambria Math" w:hAnsi="Cambria Math"/>
                </w:rPr>
                <m:t>Resources- Median Scenario Peak Load</m:t>
              </m:r>
            </m:num>
            <m:den>
              <m:r>
                <w:rPr>
                  <w:rFonts w:ascii="Cambria Math" w:hAnsi="Cambria Math"/>
                </w:rPr>
                <m:t>Median Scenario Peak Load</m:t>
              </m:r>
            </m:den>
          </m:f>
        </m:oMath>
      </m:oMathPara>
    </w:p>
    <w:p w:rsidR="00A35882" w:rsidRDefault="00A35882" w:rsidP="00A35882">
      <w:pPr>
        <w:pStyle w:val="ListParagraph"/>
        <w:spacing w:line="360" w:lineRule="auto"/>
        <w:ind w:left="0" w:firstLine="720"/>
        <w:jc w:val="both"/>
        <w:rPr>
          <w:rFonts w:ascii="Times New Roman" w:eastAsia="Times New Roman" w:hAnsi="Times New Roman"/>
          <w:sz w:val="24"/>
        </w:rPr>
      </w:pPr>
    </w:p>
    <w:p w:rsidR="00A35882" w:rsidRDefault="00A35882" w:rsidP="00A35882">
      <w:pPr>
        <w:pStyle w:val="ListParagraph"/>
        <w:spacing w:line="360" w:lineRule="auto"/>
        <w:ind w:left="0" w:firstLine="720"/>
        <w:jc w:val="both"/>
        <w:rPr>
          <w:rFonts w:ascii="Times New Roman" w:eastAsia="Times New Roman" w:hAnsi="Times New Roman"/>
          <w:sz w:val="24"/>
        </w:rPr>
      </w:pPr>
      <w:r>
        <w:rPr>
          <w:rFonts w:ascii="Times New Roman" w:eastAsia="Times New Roman" w:hAnsi="Times New Roman"/>
          <w:sz w:val="24"/>
        </w:rPr>
        <w:t>Where,</w:t>
      </w:r>
    </w:p>
    <w:p w:rsidR="00A35882" w:rsidRDefault="00A35882" w:rsidP="00A35882">
      <w:pPr>
        <w:pStyle w:val="ListParagraph"/>
        <w:spacing w:line="360" w:lineRule="auto"/>
        <w:ind w:left="0"/>
        <w:jc w:val="both"/>
        <w:rPr>
          <w:rFonts w:ascii="Times New Roman" w:eastAsia="Times New Roman" w:hAnsi="Times New Roman"/>
        </w:rPr>
      </w:pPr>
      <m:oMathPara>
        <m:oMathParaPr>
          <m:jc m:val="center"/>
        </m:oMathParaPr>
        <m:oMath>
          <m:r>
            <w:rPr>
              <w:rFonts w:ascii="Cambria Math" w:eastAsia="Times New Roman" w:hAnsi="Cambria Math"/>
            </w:rPr>
            <m:t xml:space="preserve">Resources = </m:t>
          </m:r>
          <m:r>
            <w:rPr>
              <w:rFonts w:ascii="Cambria Math" w:hAnsi="Cambria Math"/>
            </w:rPr>
            <m:t xml:space="preserve">Capacity Adjustment× </m:t>
          </m:r>
          <m:d>
            <m:dPr>
              <m:ctrlPr>
                <w:rPr>
                  <w:rFonts w:ascii="Cambria Math" w:hAnsi="Cambria Math"/>
                  <w:i/>
                </w:rPr>
              </m:ctrlPr>
            </m:dPr>
            <m:e>
              <m:r>
                <w:rPr>
                  <w:rFonts w:ascii="Cambria Math" w:hAnsi="Cambria Math"/>
                </w:rPr>
                <m:t>NonWind Capacity+ELCC×Wind Capacity</m:t>
              </m:r>
            </m:e>
          </m:d>
        </m:oMath>
      </m:oMathPara>
    </w:p>
    <w:p w:rsidR="00A35882" w:rsidRDefault="00A35882" w:rsidP="00A35882">
      <w:pPr>
        <w:pStyle w:val="ListParagraph"/>
        <w:spacing w:line="360" w:lineRule="auto"/>
        <w:ind w:left="0"/>
        <w:jc w:val="both"/>
        <w:rPr>
          <w:rFonts w:ascii="Times New Roman" w:eastAsia="Times New Roman" w:hAnsi="Times New Roman"/>
        </w:rPr>
      </w:pPr>
    </w:p>
    <w:p w:rsidR="00A35882" w:rsidRPr="002A06A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Variations in reserve margin are obtained by applying a capacity adjustment factor</w:t>
      </w:r>
      <w:r w:rsidR="00344AC0">
        <w:rPr>
          <w:rFonts w:ascii="Times New Roman" w:hAnsi="Times New Roman"/>
          <w:sz w:val="24"/>
        </w:rPr>
        <w:t>, as shown above</w:t>
      </w:r>
      <w:r>
        <w:rPr>
          <w:rFonts w:ascii="Times New Roman" w:hAnsi="Times New Roman"/>
          <w:sz w:val="24"/>
        </w:rPr>
        <w:t>. This factor is used as a multiplier to alter the fleet capacity, inclusive of wind. Following reliability indices were estimated for various reserve margin levels.</w:t>
      </w:r>
    </w:p>
    <w:p w:rsidR="00A35882" w:rsidRPr="002A06A2" w:rsidRDefault="00A35882" w:rsidP="00A35882">
      <w:pPr>
        <w:pStyle w:val="ListParagraph"/>
        <w:numPr>
          <w:ilvl w:val="1"/>
          <w:numId w:val="20"/>
        </w:numPr>
        <w:spacing w:line="360" w:lineRule="auto"/>
        <w:ind w:left="1080"/>
        <w:jc w:val="both"/>
        <w:rPr>
          <w:rFonts w:ascii="Times New Roman" w:hAnsi="Times New Roman"/>
          <w:sz w:val="24"/>
        </w:rPr>
      </w:pPr>
      <w:r w:rsidRPr="002A06A2">
        <w:rPr>
          <w:rFonts w:ascii="Times New Roman" w:hAnsi="Times New Roman"/>
          <w:sz w:val="24"/>
        </w:rPr>
        <w:t xml:space="preserve">The annual </w:t>
      </w:r>
      <w:r>
        <w:rPr>
          <w:rFonts w:ascii="Times New Roman" w:hAnsi="Times New Roman"/>
          <w:sz w:val="24"/>
        </w:rPr>
        <w:t xml:space="preserve">Loss </w:t>
      </w:r>
      <w:proofErr w:type="gramStart"/>
      <w:r>
        <w:rPr>
          <w:rFonts w:ascii="Times New Roman" w:hAnsi="Times New Roman"/>
          <w:sz w:val="24"/>
        </w:rPr>
        <w:t>O</w:t>
      </w:r>
      <w:r w:rsidRPr="002A06A2">
        <w:rPr>
          <w:rFonts w:ascii="Times New Roman" w:hAnsi="Times New Roman"/>
          <w:sz w:val="24"/>
        </w:rPr>
        <w:t>f</w:t>
      </w:r>
      <w:proofErr w:type="gramEnd"/>
      <w:r>
        <w:rPr>
          <w:rFonts w:ascii="Times New Roman" w:hAnsi="Times New Roman"/>
          <w:sz w:val="24"/>
        </w:rPr>
        <w:t xml:space="preserve"> Load E</w:t>
      </w:r>
      <w:r w:rsidRPr="002A06A2">
        <w:rPr>
          <w:rFonts w:ascii="Times New Roman" w:hAnsi="Times New Roman"/>
          <w:sz w:val="24"/>
        </w:rPr>
        <w:t>vents (</w:t>
      </w:r>
      <w:r>
        <w:rPr>
          <w:rFonts w:ascii="Times New Roman" w:hAnsi="Times New Roman"/>
          <w:sz w:val="24"/>
        </w:rPr>
        <w:t>LOLEV</w:t>
      </w:r>
      <w:r w:rsidRPr="002A06A2">
        <w:rPr>
          <w:rFonts w:ascii="Times New Roman" w:hAnsi="Times New Roman"/>
          <w:sz w:val="24"/>
        </w:rPr>
        <w:t>).</w:t>
      </w:r>
    </w:p>
    <w:p w:rsidR="00A35882" w:rsidRPr="002A06A2" w:rsidRDefault="00A35882" w:rsidP="00A35882">
      <w:pPr>
        <w:pStyle w:val="ListParagraph"/>
        <w:numPr>
          <w:ilvl w:val="1"/>
          <w:numId w:val="20"/>
        </w:numPr>
        <w:spacing w:line="360" w:lineRule="auto"/>
        <w:ind w:left="1080"/>
        <w:jc w:val="both"/>
        <w:rPr>
          <w:rFonts w:ascii="Times New Roman" w:hAnsi="Times New Roman"/>
          <w:sz w:val="24"/>
        </w:rPr>
      </w:pPr>
      <w:r>
        <w:rPr>
          <w:rFonts w:ascii="Times New Roman" w:hAnsi="Times New Roman"/>
          <w:sz w:val="24"/>
        </w:rPr>
        <w:t xml:space="preserve">The annual Loss </w:t>
      </w:r>
      <w:proofErr w:type="gramStart"/>
      <w:r>
        <w:rPr>
          <w:rFonts w:ascii="Times New Roman" w:hAnsi="Times New Roman"/>
          <w:sz w:val="24"/>
        </w:rPr>
        <w:t>O</w:t>
      </w:r>
      <w:r w:rsidRPr="002A06A2">
        <w:rPr>
          <w:rFonts w:ascii="Times New Roman" w:hAnsi="Times New Roman"/>
          <w:sz w:val="24"/>
        </w:rPr>
        <w:t>f</w:t>
      </w:r>
      <w:proofErr w:type="gramEnd"/>
      <w:r>
        <w:rPr>
          <w:rFonts w:ascii="Times New Roman" w:hAnsi="Times New Roman"/>
          <w:sz w:val="24"/>
        </w:rPr>
        <w:t xml:space="preserve"> Load H</w:t>
      </w:r>
      <w:r w:rsidRPr="002A06A2">
        <w:rPr>
          <w:rFonts w:ascii="Times New Roman" w:hAnsi="Times New Roman"/>
          <w:sz w:val="24"/>
        </w:rPr>
        <w:t>ours (LOLH).</w:t>
      </w:r>
    </w:p>
    <w:p w:rsidR="00A35882" w:rsidRDefault="00A35882" w:rsidP="00A35882">
      <w:pPr>
        <w:pStyle w:val="ListParagraph"/>
        <w:numPr>
          <w:ilvl w:val="1"/>
          <w:numId w:val="20"/>
        </w:numPr>
        <w:spacing w:line="360" w:lineRule="auto"/>
        <w:ind w:left="1080"/>
        <w:jc w:val="both"/>
        <w:rPr>
          <w:rFonts w:ascii="Times New Roman" w:hAnsi="Times New Roman"/>
          <w:sz w:val="24"/>
        </w:rPr>
      </w:pPr>
      <w:r>
        <w:rPr>
          <w:rFonts w:ascii="Times New Roman" w:hAnsi="Times New Roman"/>
          <w:sz w:val="24"/>
        </w:rPr>
        <w:t xml:space="preserve">The annual Expected </w:t>
      </w:r>
      <w:proofErr w:type="spellStart"/>
      <w:r>
        <w:rPr>
          <w:rFonts w:ascii="Times New Roman" w:hAnsi="Times New Roman"/>
          <w:sz w:val="24"/>
        </w:rPr>
        <w:t>Unserved</w:t>
      </w:r>
      <w:proofErr w:type="spellEnd"/>
      <w:r>
        <w:rPr>
          <w:rFonts w:ascii="Times New Roman" w:hAnsi="Times New Roman"/>
          <w:sz w:val="24"/>
        </w:rPr>
        <w:t xml:space="preserve"> E</w:t>
      </w:r>
      <w:r w:rsidRPr="002A06A2">
        <w:rPr>
          <w:rFonts w:ascii="Times New Roman" w:hAnsi="Times New Roman"/>
          <w:sz w:val="24"/>
        </w:rPr>
        <w:t>nergy (EUE).</w:t>
      </w:r>
    </w:p>
    <w:p w:rsidR="00A3588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Following are the graphs obtained by varying the capacity adjustment factor and hence the reserve margin. The reliability indices are plotted against the Y-axis.</w:t>
      </w:r>
    </w:p>
    <w:p w:rsidR="00A35882" w:rsidRDefault="00A35882" w:rsidP="00A35882">
      <w:pPr>
        <w:pStyle w:val="ListParagraph"/>
        <w:spacing w:line="360" w:lineRule="auto"/>
        <w:ind w:left="1080"/>
        <w:jc w:val="both"/>
        <w:rPr>
          <w:rFonts w:ascii="Times New Roman" w:hAnsi="Times New Roman"/>
          <w:sz w:val="24"/>
        </w:rPr>
      </w:pPr>
    </w:p>
    <w:p w:rsidR="00A35882" w:rsidRDefault="00A35882" w:rsidP="00A35882">
      <w:pPr>
        <w:pStyle w:val="ListParagraph"/>
        <w:spacing w:line="360" w:lineRule="auto"/>
        <w:ind w:left="0"/>
        <w:jc w:val="center"/>
        <w:rPr>
          <w:rFonts w:ascii="Times New Roman" w:hAnsi="Times New Roman"/>
          <w:sz w:val="24"/>
        </w:rPr>
      </w:pPr>
      <w:r>
        <w:rPr>
          <w:rFonts w:ascii="Times New Roman" w:hAnsi="Times New Roman"/>
          <w:noProof/>
          <w:sz w:val="24"/>
        </w:rPr>
        <w:lastRenderedPageBreak/>
        <w:drawing>
          <wp:inline distT="0" distB="0" distL="0" distR="0">
            <wp:extent cx="4720717" cy="3500374"/>
            <wp:effectExtent l="12192" t="6096" r="6096"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35882" w:rsidRDefault="00A35882" w:rsidP="00A35882">
      <w:pPr>
        <w:pStyle w:val="ListParagraph"/>
        <w:spacing w:line="360" w:lineRule="auto"/>
        <w:ind w:left="0" w:firstLine="720"/>
        <w:jc w:val="center"/>
        <w:rPr>
          <w:rFonts w:ascii="Times New Roman" w:hAnsi="Times New Roman"/>
          <w:sz w:val="24"/>
        </w:rPr>
      </w:pPr>
    </w:p>
    <w:p w:rsidR="00A35882" w:rsidRDefault="00A35882" w:rsidP="00A35882">
      <w:pPr>
        <w:pStyle w:val="ListParagraph"/>
        <w:spacing w:line="360" w:lineRule="auto"/>
        <w:ind w:left="0" w:firstLine="720"/>
        <w:jc w:val="center"/>
        <w:rPr>
          <w:rFonts w:ascii="Times New Roman" w:hAnsi="Times New Roman"/>
          <w:sz w:val="24"/>
        </w:rPr>
      </w:pPr>
      <w:r>
        <w:rPr>
          <w:rFonts w:ascii="Times New Roman" w:hAnsi="Times New Roman"/>
          <w:sz w:val="24"/>
        </w:rPr>
        <w:t>Fig – 4: Annual Loss of Load Events</w:t>
      </w:r>
    </w:p>
    <w:p w:rsidR="00A35882" w:rsidRDefault="00A35882" w:rsidP="00A35882">
      <w:pPr>
        <w:pStyle w:val="ListParagraph"/>
        <w:spacing w:line="360" w:lineRule="auto"/>
        <w:ind w:left="0"/>
        <w:jc w:val="center"/>
        <w:rPr>
          <w:rFonts w:ascii="Times New Roman" w:hAnsi="Times New Roman"/>
          <w:sz w:val="24"/>
        </w:rPr>
      </w:pPr>
    </w:p>
    <w:p w:rsidR="00A35882" w:rsidRPr="002A06A2" w:rsidRDefault="00A35882" w:rsidP="00A35882">
      <w:pPr>
        <w:pStyle w:val="ListParagraph"/>
        <w:spacing w:line="360" w:lineRule="auto"/>
        <w:ind w:left="0"/>
        <w:jc w:val="center"/>
        <w:rPr>
          <w:rFonts w:ascii="Times New Roman" w:hAnsi="Times New Roman"/>
          <w:sz w:val="24"/>
        </w:rPr>
      </w:pPr>
      <w:r>
        <w:rPr>
          <w:rFonts w:ascii="Times New Roman" w:hAnsi="Times New Roman"/>
          <w:noProof/>
          <w:sz w:val="24"/>
        </w:rPr>
        <w:drawing>
          <wp:inline distT="0" distB="0" distL="0" distR="0">
            <wp:extent cx="4801235" cy="3437467"/>
            <wp:effectExtent l="19050" t="0" r="18415" b="0"/>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35882" w:rsidRPr="00461C07" w:rsidRDefault="00A35882" w:rsidP="00A35882">
      <w:pPr>
        <w:pStyle w:val="ListParagraph"/>
        <w:spacing w:line="360" w:lineRule="auto"/>
        <w:ind w:left="0" w:firstLine="720"/>
        <w:jc w:val="both"/>
        <w:rPr>
          <w:rFonts w:ascii="Times New Roman" w:hAnsi="Times New Roman"/>
          <w:sz w:val="8"/>
        </w:rPr>
      </w:pPr>
    </w:p>
    <w:p w:rsidR="00A35882" w:rsidRDefault="00A35882" w:rsidP="00A35882">
      <w:pPr>
        <w:pStyle w:val="ListParagraph"/>
        <w:spacing w:line="360" w:lineRule="auto"/>
        <w:ind w:left="0" w:firstLine="720"/>
        <w:jc w:val="center"/>
        <w:rPr>
          <w:rFonts w:ascii="Times New Roman" w:hAnsi="Times New Roman"/>
          <w:sz w:val="24"/>
        </w:rPr>
      </w:pPr>
      <w:r>
        <w:rPr>
          <w:rFonts w:ascii="Times New Roman" w:hAnsi="Times New Roman"/>
          <w:sz w:val="24"/>
        </w:rPr>
        <w:t>Fig – 5: Annual Loss of Load Hours (expectation)</w:t>
      </w:r>
    </w:p>
    <w:p w:rsidR="00A35882" w:rsidRPr="00461C07" w:rsidRDefault="00A35882" w:rsidP="00A35882">
      <w:pPr>
        <w:pStyle w:val="ListParagraph"/>
        <w:spacing w:line="360" w:lineRule="auto"/>
        <w:ind w:left="0" w:firstLine="720"/>
        <w:jc w:val="both"/>
        <w:rPr>
          <w:rFonts w:ascii="Times New Roman" w:hAnsi="Times New Roman"/>
          <w:sz w:val="32"/>
        </w:rPr>
      </w:pPr>
    </w:p>
    <w:p w:rsidR="00A35882" w:rsidRDefault="00A35882" w:rsidP="00A35882">
      <w:pPr>
        <w:pStyle w:val="ListParagraph"/>
        <w:spacing w:line="360" w:lineRule="auto"/>
        <w:ind w:left="-720" w:firstLine="720"/>
        <w:jc w:val="center"/>
        <w:rPr>
          <w:rFonts w:ascii="Times New Roman" w:hAnsi="Times New Roman"/>
          <w:sz w:val="24"/>
        </w:rPr>
      </w:pPr>
      <w:r>
        <w:rPr>
          <w:rFonts w:ascii="Times New Roman" w:hAnsi="Times New Roman"/>
          <w:noProof/>
          <w:sz w:val="24"/>
        </w:rPr>
        <w:drawing>
          <wp:inline distT="0" distB="0" distL="0" distR="0">
            <wp:extent cx="4901692" cy="3476879"/>
            <wp:effectExtent l="12192" t="6096" r="8001" b="0"/>
            <wp:docPr id="4"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35882" w:rsidRPr="00461C07" w:rsidRDefault="00A35882" w:rsidP="00A35882">
      <w:pPr>
        <w:pStyle w:val="ListParagraph"/>
        <w:spacing w:line="360" w:lineRule="auto"/>
        <w:ind w:left="0" w:firstLine="720"/>
        <w:jc w:val="center"/>
        <w:rPr>
          <w:rFonts w:ascii="Times New Roman" w:hAnsi="Times New Roman"/>
          <w:sz w:val="12"/>
        </w:rPr>
      </w:pPr>
    </w:p>
    <w:p w:rsidR="00A35882" w:rsidRDefault="00A35882" w:rsidP="00A35882">
      <w:pPr>
        <w:pStyle w:val="ListParagraph"/>
        <w:spacing w:line="360" w:lineRule="auto"/>
        <w:ind w:left="0" w:firstLine="720"/>
        <w:jc w:val="center"/>
        <w:rPr>
          <w:rFonts w:ascii="Times New Roman" w:hAnsi="Times New Roman"/>
          <w:sz w:val="24"/>
        </w:rPr>
      </w:pPr>
      <w:r>
        <w:rPr>
          <w:rFonts w:ascii="Times New Roman" w:hAnsi="Times New Roman"/>
          <w:sz w:val="24"/>
        </w:rPr>
        <w:t xml:space="preserve">Fig – 6: Annual Expected </w:t>
      </w:r>
      <w:proofErr w:type="spellStart"/>
      <w:r>
        <w:rPr>
          <w:rFonts w:ascii="Times New Roman" w:hAnsi="Times New Roman"/>
          <w:sz w:val="24"/>
        </w:rPr>
        <w:t>Unserved</w:t>
      </w:r>
      <w:proofErr w:type="spellEnd"/>
      <w:r>
        <w:rPr>
          <w:rFonts w:ascii="Times New Roman" w:hAnsi="Times New Roman"/>
          <w:sz w:val="24"/>
        </w:rPr>
        <w:t xml:space="preserve"> Energy</w:t>
      </w:r>
    </w:p>
    <w:p w:rsidR="00344AC0" w:rsidRDefault="00344AC0" w:rsidP="00A35882">
      <w:pPr>
        <w:pStyle w:val="ListParagraph"/>
        <w:spacing w:line="360" w:lineRule="auto"/>
        <w:ind w:left="0" w:firstLine="720"/>
        <w:jc w:val="both"/>
        <w:rPr>
          <w:rFonts w:ascii="Times New Roman" w:hAnsi="Times New Roman"/>
          <w:sz w:val="24"/>
        </w:rPr>
      </w:pPr>
    </w:p>
    <w:p w:rsidR="00344AC0" w:rsidRDefault="00344AC0" w:rsidP="00A35882">
      <w:pPr>
        <w:pStyle w:val="ListParagraph"/>
        <w:spacing w:line="360" w:lineRule="auto"/>
        <w:ind w:left="0" w:firstLine="720"/>
        <w:jc w:val="both"/>
        <w:rPr>
          <w:rFonts w:ascii="Times New Roman" w:hAnsi="Times New Roman"/>
          <w:sz w:val="24"/>
        </w:rPr>
      </w:pPr>
    </w:p>
    <w:p w:rsidR="00A3588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ELCC of wind is calculated based on LOLEV.   The ELCC from the study is 12.2%.</w:t>
      </w:r>
    </w:p>
    <w:p w:rsidR="00344AC0" w:rsidRDefault="00344AC0" w:rsidP="00A35882">
      <w:pPr>
        <w:pStyle w:val="ListParagraph"/>
        <w:spacing w:line="360" w:lineRule="auto"/>
        <w:ind w:left="0" w:firstLine="720"/>
        <w:jc w:val="both"/>
        <w:rPr>
          <w:rFonts w:ascii="Times New Roman" w:hAnsi="Times New Roman"/>
          <w:sz w:val="24"/>
        </w:rPr>
      </w:pPr>
    </w:p>
    <w:p w:rsidR="00A3588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The target reserve margin based on the 0.1 LOLEV per year is 13.75%. This is equivalent to one loss of load event in ten years.</w:t>
      </w:r>
    </w:p>
    <w:p w:rsidR="00A35882" w:rsidRDefault="00A35882">
      <w:pPr>
        <w:rPr>
          <w:rStyle w:val="IntenseReference"/>
          <w:rFonts w:cs="Arial"/>
          <w:iCs/>
          <w:smallCaps w:val="0"/>
          <w:color w:val="auto"/>
          <w:spacing w:val="0"/>
          <w:sz w:val="28"/>
          <w:szCs w:val="28"/>
          <w:u w:val="none"/>
        </w:rPr>
      </w:pPr>
      <w:r>
        <w:rPr>
          <w:rStyle w:val="IntenseReference"/>
          <w:b w:val="0"/>
          <w:bCs w:val="0"/>
          <w:smallCaps w:val="0"/>
          <w:color w:val="auto"/>
          <w:spacing w:val="0"/>
          <w:u w:val="none"/>
        </w:rPr>
        <w:br w:type="page"/>
      </w:r>
    </w:p>
    <w:p w:rsidR="00A35882" w:rsidRPr="00532E76" w:rsidRDefault="00A35882" w:rsidP="00A35882">
      <w:pPr>
        <w:pStyle w:val="Heading2"/>
        <w:rPr>
          <w:rStyle w:val="IntenseReference"/>
          <w:b/>
          <w:bCs/>
          <w:smallCaps w:val="0"/>
          <w:color w:val="auto"/>
          <w:spacing w:val="0"/>
          <w:u w:val="none"/>
        </w:rPr>
      </w:pPr>
      <w:bookmarkStart w:id="438" w:name="_Toc276457228"/>
      <w:r w:rsidRPr="00374646">
        <w:rPr>
          <w:rStyle w:val="IntenseReference"/>
          <w:b/>
          <w:bCs/>
          <w:smallCaps w:val="0"/>
          <w:color w:val="auto"/>
          <w:spacing w:val="0"/>
          <w:u w:val="none"/>
        </w:rPr>
        <w:lastRenderedPageBreak/>
        <w:t>Comparison with the 2007 study by Global Energy Decisions</w:t>
      </w:r>
      <w:bookmarkEnd w:id="438"/>
    </w:p>
    <w:p w:rsidR="00A35882" w:rsidRDefault="00A35882" w:rsidP="00A35882">
      <w:pPr>
        <w:spacing w:line="360" w:lineRule="auto"/>
        <w:ind w:firstLine="720"/>
        <w:jc w:val="both"/>
        <w:rPr>
          <w:i/>
        </w:rPr>
      </w:pPr>
    </w:p>
    <w:p w:rsidR="00A3588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In 2007, Global Energy Decisions conducted the target reserve margin analysis of the ERCOT system. The ERCOT 2010 target reserve margin analysis differs from the 2007 study in the following ways,</w:t>
      </w:r>
    </w:p>
    <w:p w:rsidR="00A35882" w:rsidRPr="002E11DA" w:rsidRDefault="00A35882" w:rsidP="00A35882">
      <w:pPr>
        <w:pStyle w:val="ListParagraph"/>
        <w:numPr>
          <w:ilvl w:val="1"/>
          <w:numId w:val="19"/>
        </w:numPr>
        <w:spacing w:line="360" w:lineRule="auto"/>
        <w:ind w:left="1080"/>
        <w:jc w:val="both"/>
        <w:rPr>
          <w:rFonts w:ascii="Times New Roman" w:hAnsi="Times New Roman"/>
          <w:sz w:val="24"/>
        </w:rPr>
      </w:pPr>
      <w:r w:rsidRPr="002E11DA">
        <w:rPr>
          <w:rFonts w:ascii="Times New Roman" w:hAnsi="Times New Roman"/>
          <w:sz w:val="24"/>
        </w:rPr>
        <w:t xml:space="preserve">ERCOT </w:t>
      </w:r>
      <w:r>
        <w:rPr>
          <w:rFonts w:ascii="Times New Roman" w:hAnsi="Times New Roman"/>
          <w:sz w:val="24"/>
        </w:rPr>
        <w:t xml:space="preserve">is </w:t>
      </w:r>
      <w:r w:rsidRPr="002E11DA">
        <w:rPr>
          <w:rFonts w:ascii="Times New Roman" w:hAnsi="Times New Roman"/>
          <w:sz w:val="24"/>
        </w:rPr>
        <w:t>using a family of load profiles representing different weather conditions.</w:t>
      </w:r>
    </w:p>
    <w:p w:rsidR="00A35882" w:rsidRPr="002E11DA" w:rsidRDefault="00A35882" w:rsidP="00A35882">
      <w:pPr>
        <w:pStyle w:val="ListParagraph"/>
        <w:numPr>
          <w:ilvl w:val="1"/>
          <w:numId w:val="19"/>
        </w:numPr>
        <w:spacing w:line="360" w:lineRule="auto"/>
        <w:ind w:left="1080"/>
        <w:jc w:val="both"/>
        <w:rPr>
          <w:rFonts w:ascii="Times New Roman" w:hAnsi="Times New Roman"/>
          <w:sz w:val="24"/>
        </w:rPr>
      </w:pPr>
      <w:r w:rsidRPr="002E11DA">
        <w:rPr>
          <w:rFonts w:ascii="Times New Roman" w:hAnsi="Times New Roman"/>
          <w:sz w:val="24"/>
        </w:rPr>
        <w:t xml:space="preserve">All hours of the year </w:t>
      </w:r>
      <w:proofErr w:type="gramStart"/>
      <w:r w:rsidRPr="002E11DA">
        <w:rPr>
          <w:rFonts w:ascii="Times New Roman" w:hAnsi="Times New Roman"/>
          <w:sz w:val="24"/>
        </w:rPr>
        <w:t>are  modeled</w:t>
      </w:r>
      <w:proofErr w:type="gramEnd"/>
      <w:r w:rsidRPr="002E11DA">
        <w:rPr>
          <w:rFonts w:ascii="Times New Roman" w:hAnsi="Times New Roman"/>
          <w:sz w:val="24"/>
        </w:rPr>
        <w:t xml:space="preserve"> instead of a representative week from each month.</w:t>
      </w:r>
    </w:p>
    <w:p w:rsidR="00A35882" w:rsidRPr="002E11DA" w:rsidRDefault="00A35882" w:rsidP="00A35882">
      <w:pPr>
        <w:pStyle w:val="ListParagraph"/>
        <w:numPr>
          <w:ilvl w:val="1"/>
          <w:numId w:val="19"/>
        </w:numPr>
        <w:spacing w:line="360" w:lineRule="auto"/>
        <w:ind w:left="1080"/>
        <w:jc w:val="both"/>
        <w:rPr>
          <w:rFonts w:ascii="Times New Roman" w:hAnsi="Times New Roman"/>
          <w:sz w:val="24"/>
        </w:rPr>
      </w:pPr>
      <w:r w:rsidRPr="002E11DA">
        <w:rPr>
          <w:rFonts w:ascii="Times New Roman" w:hAnsi="Times New Roman"/>
          <w:sz w:val="24"/>
        </w:rPr>
        <w:t xml:space="preserve">Generator outages are modeled sequentially. </w:t>
      </w:r>
    </w:p>
    <w:p w:rsidR="00A35882" w:rsidRPr="002E11DA" w:rsidRDefault="00A35882" w:rsidP="00A35882">
      <w:pPr>
        <w:pStyle w:val="ListParagraph"/>
        <w:numPr>
          <w:ilvl w:val="1"/>
          <w:numId w:val="19"/>
        </w:numPr>
        <w:spacing w:line="360" w:lineRule="auto"/>
        <w:ind w:left="1080"/>
        <w:jc w:val="both"/>
        <w:rPr>
          <w:rFonts w:ascii="Times New Roman" w:hAnsi="Times New Roman"/>
          <w:sz w:val="24"/>
        </w:rPr>
      </w:pPr>
      <w:r w:rsidRPr="002E11DA">
        <w:rPr>
          <w:rFonts w:ascii="Times New Roman" w:hAnsi="Times New Roman"/>
          <w:sz w:val="24"/>
        </w:rPr>
        <w:t>Wind volatility is modeled in a more dynamic way.</w:t>
      </w:r>
    </w:p>
    <w:p w:rsidR="00A35882" w:rsidRPr="002E11DA" w:rsidRDefault="00A35882" w:rsidP="00A35882">
      <w:pPr>
        <w:pStyle w:val="ListParagraph"/>
        <w:numPr>
          <w:ilvl w:val="1"/>
          <w:numId w:val="19"/>
        </w:numPr>
        <w:spacing w:line="360" w:lineRule="auto"/>
        <w:ind w:left="1080"/>
        <w:jc w:val="both"/>
        <w:rPr>
          <w:rFonts w:ascii="Times New Roman" w:hAnsi="Times New Roman"/>
          <w:sz w:val="24"/>
        </w:rPr>
      </w:pPr>
      <w:r w:rsidRPr="002E11DA">
        <w:rPr>
          <w:rFonts w:ascii="Times New Roman" w:hAnsi="Times New Roman"/>
          <w:sz w:val="24"/>
        </w:rPr>
        <w:t xml:space="preserve">The ELCC of existing wind </w:t>
      </w:r>
      <w:r>
        <w:rPr>
          <w:rFonts w:ascii="Times New Roman" w:hAnsi="Times New Roman"/>
          <w:sz w:val="24"/>
        </w:rPr>
        <w:t xml:space="preserve">is </w:t>
      </w:r>
      <w:r w:rsidRPr="002E11DA">
        <w:rPr>
          <w:rFonts w:ascii="Times New Roman" w:hAnsi="Times New Roman"/>
          <w:sz w:val="24"/>
        </w:rPr>
        <w:t>compared to the reliability of the existing fleet rather than hypothetical new generation.</w:t>
      </w:r>
    </w:p>
    <w:p w:rsidR="00A35882" w:rsidRPr="002E11DA" w:rsidRDefault="00A35882" w:rsidP="00A35882">
      <w:pPr>
        <w:pStyle w:val="ListParagraph"/>
        <w:numPr>
          <w:ilvl w:val="1"/>
          <w:numId w:val="19"/>
        </w:numPr>
        <w:spacing w:line="360" w:lineRule="auto"/>
        <w:ind w:left="1080"/>
        <w:jc w:val="both"/>
        <w:rPr>
          <w:rFonts w:ascii="Times New Roman" w:hAnsi="Times New Roman"/>
          <w:sz w:val="24"/>
        </w:rPr>
      </w:pPr>
      <w:r w:rsidRPr="002E11DA">
        <w:rPr>
          <w:rFonts w:ascii="Times New Roman" w:hAnsi="Times New Roman"/>
          <w:sz w:val="24"/>
        </w:rPr>
        <w:t xml:space="preserve">A much higher number of iterations </w:t>
      </w:r>
      <w:r>
        <w:rPr>
          <w:rFonts w:ascii="Times New Roman" w:hAnsi="Times New Roman"/>
          <w:sz w:val="24"/>
        </w:rPr>
        <w:t>are</w:t>
      </w:r>
      <w:r w:rsidRPr="002E11DA">
        <w:rPr>
          <w:rFonts w:ascii="Times New Roman" w:hAnsi="Times New Roman"/>
          <w:sz w:val="24"/>
        </w:rPr>
        <w:t xml:space="preserve"> performed in order to ensure the statistical significance of the results.</w:t>
      </w:r>
    </w:p>
    <w:p w:rsidR="00A35882" w:rsidRDefault="00A35882" w:rsidP="00A35882">
      <w:pPr>
        <w:pStyle w:val="ListParagraph"/>
        <w:spacing w:line="360" w:lineRule="auto"/>
        <w:ind w:left="0" w:firstLine="720"/>
        <w:jc w:val="both"/>
        <w:rPr>
          <w:rFonts w:ascii="Times New Roman" w:hAnsi="Times New Roman"/>
          <w:sz w:val="24"/>
        </w:rPr>
      </w:pPr>
      <w:r>
        <w:rPr>
          <w:rFonts w:ascii="Times New Roman" w:hAnsi="Times New Roman"/>
          <w:sz w:val="24"/>
        </w:rPr>
        <w:t xml:space="preserve">In addition to methodology, there are also some input data differences from the 2007 study as displayed in Table – I. </w:t>
      </w:r>
    </w:p>
    <w:p w:rsidR="00A35882" w:rsidRPr="00BC044A" w:rsidRDefault="00A35882" w:rsidP="00A35882">
      <w:pPr>
        <w:pStyle w:val="ListParagraph"/>
        <w:spacing w:line="360" w:lineRule="auto"/>
        <w:ind w:left="0"/>
        <w:jc w:val="center"/>
        <w:rPr>
          <w:rFonts w:ascii="Times New Roman" w:hAnsi="Times New Roman"/>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8"/>
        <w:gridCol w:w="1260"/>
        <w:gridCol w:w="1440"/>
        <w:gridCol w:w="1335"/>
        <w:gridCol w:w="1203"/>
      </w:tblGrid>
      <w:tr w:rsidR="00A35882" w:rsidTr="00425BF4">
        <w:trPr>
          <w:trHeight w:val="288"/>
        </w:trPr>
        <w:tc>
          <w:tcPr>
            <w:tcW w:w="4338" w:type="dxa"/>
            <w:vMerge w:val="restart"/>
            <w:vAlign w:val="center"/>
          </w:tcPr>
          <w:p w:rsidR="00A35882" w:rsidRPr="00F101CC" w:rsidRDefault="00A35882" w:rsidP="00425BF4">
            <w:pPr>
              <w:pStyle w:val="ListParagraph"/>
              <w:spacing w:before="120" w:after="240"/>
              <w:ind w:left="0"/>
              <w:rPr>
                <w:rFonts w:ascii="Times New Roman" w:hAnsi="Times New Roman"/>
                <w:sz w:val="24"/>
              </w:rPr>
            </w:pPr>
          </w:p>
        </w:tc>
        <w:tc>
          <w:tcPr>
            <w:tcW w:w="2700" w:type="dxa"/>
            <w:gridSpan w:val="2"/>
            <w:vAlign w:val="center"/>
          </w:tcPr>
          <w:p w:rsidR="00A35882" w:rsidRPr="00F101CC" w:rsidRDefault="00A35882" w:rsidP="00425BF4">
            <w:pPr>
              <w:pStyle w:val="ListParagraph"/>
              <w:spacing w:before="240" w:after="120"/>
              <w:ind w:left="0"/>
              <w:jc w:val="center"/>
              <w:rPr>
                <w:rFonts w:ascii="Times New Roman" w:hAnsi="Times New Roman"/>
                <w:b/>
                <w:sz w:val="24"/>
              </w:rPr>
            </w:pPr>
            <w:r w:rsidRPr="00F101CC">
              <w:rPr>
                <w:rFonts w:ascii="Times New Roman" w:hAnsi="Times New Roman"/>
                <w:b/>
                <w:sz w:val="24"/>
              </w:rPr>
              <w:t>2007 study</w:t>
            </w:r>
          </w:p>
        </w:tc>
        <w:tc>
          <w:tcPr>
            <w:tcW w:w="2538" w:type="dxa"/>
            <w:gridSpan w:val="2"/>
            <w:vAlign w:val="center"/>
          </w:tcPr>
          <w:p w:rsidR="00A35882" w:rsidRPr="00F101CC" w:rsidRDefault="00A35882" w:rsidP="00425BF4">
            <w:pPr>
              <w:pStyle w:val="ListParagraph"/>
              <w:spacing w:before="240" w:after="120"/>
              <w:ind w:left="0"/>
              <w:jc w:val="center"/>
              <w:rPr>
                <w:rFonts w:ascii="Times New Roman" w:hAnsi="Times New Roman"/>
                <w:b/>
                <w:sz w:val="24"/>
              </w:rPr>
            </w:pPr>
            <w:r w:rsidRPr="00F101CC">
              <w:rPr>
                <w:rFonts w:ascii="Times New Roman" w:hAnsi="Times New Roman"/>
                <w:b/>
                <w:sz w:val="24"/>
              </w:rPr>
              <w:t>2010 study</w:t>
            </w:r>
          </w:p>
        </w:tc>
      </w:tr>
      <w:tr w:rsidR="00A35882" w:rsidTr="00425BF4">
        <w:tc>
          <w:tcPr>
            <w:tcW w:w="4338" w:type="dxa"/>
            <w:vMerge/>
            <w:vAlign w:val="center"/>
          </w:tcPr>
          <w:p w:rsidR="00A35882" w:rsidRPr="00F101CC" w:rsidRDefault="00A35882" w:rsidP="00425BF4">
            <w:pPr>
              <w:pStyle w:val="ListParagraph"/>
              <w:spacing w:before="120" w:after="240"/>
              <w:ind w:left="0"/>
              <w:rPr>
                <w:rFonts w:ascii="Times New Roman" w:hAnsi="Times New Roman"/>
                <w:sz w:val="24"/>
              </w:rPr>
            </w:pPr>
          </w:p>
        </w:tc>
        <w:tc>
          <w:tcPr>
            <w:tcW w:w="1260" w:type="dxa"/>
            <w:vAlign w:val="center"/>
          </w:tcPr>
          <w:p w:rsidR="00A35882" w:rsidRPr="00F101CC" w:rsidRDefault="00A35882" w:rsidP="00425BF4">
            <w:pPr>
              <w:pStyle w:val="ListParagraph"/>
              <w:spacing w:before="120" w:after="240"/>
              <w:ind w:left="0"/>
              <w:jc w:val="center"/>
              <w:rPr>
                <w:rFonts w:ascii="Times New Roman" w:hAnsi="Times New Roman"/>
                <w:b/>
                <w:sz w:val="24"/>
              </w:rPr>
            </w:pPr>
            <w:r w:rsidRPr="00F101CC">
              <w:rPr>
                <w:rFonts w:ascii="Times New Roman" w:hAnsi="Times New Roman"/>
                <w:b/>
                <w:sz w:val="24"/>
              </w:rPr>
              <w:t>MW</w:t>
            </w:r>
          </w:p>
        </w:tc>
        <w:tc>
          <w:tcPr>
            <w:tcW w:w="1440" w:type="dxa"/>
            <w:vAlign w:val="center"/>
          </w:tcPr>
          <w:p w:rsidR="00A35882" w:rsidRPr="00F101CC" w:rsidRDefault="00A35882" w:rsidP="00425BF4">
            <w:pPr>
              <w:pStyle w:val="ListParagraph"/>
              <w:spacing w:before="120" w:after="240"/>
              <w:ind w:left="0"/>
              <w:jc w:val="center"/>
              <w:rPr>
                <w:rFonts w:ascii="Times New Roman" w:hAnsi="Times New Roman"/>
                <w:b/>
                <w:sz w:val="24"/>
              </w:rPr>
            </w:pPr>
            <w:r w:rsidRPr="00F101CC">
              <w:rPr>
                <w:rFonts w:ascii="Times New Roman" w:hAnsi="Times New Roman"/>
                <w:b/>
                <w:sz w:val="24"/>
              </w:rPr>
              <w:t>Capacity Weighted EFOR</w:t>
            </w:r>
          </w:p>
        </w:tc>
        <w:tc>
          <w:tcPr>
            <w:tcW w:w="1335" w:type="dxa"/>
            <w:vAlign w:val="center"/>
          </w:tcPr>
          <w:p w:rsidR="00A35882" w:rsidRPr="00F101CC" w:rsidRDefault="00A35882" w:rsidP="00425BF4">
            <w:pPr>
              <w:pStyle w:val="ListParagraph"/>
              <w:spacing w:before="120"/>
              <w:ind w:left="0"/>
              <w:jc w:val="center"/>
              <w:rPr>
                <w:rFonts w:ascii="Times New Roman" w:hAnsi="Times New Roman"/>
                <w:b/>
                <w:sz w:val="24"/>
              </w:rPr>
            </w:pPr>
            <w:r w:rsidRPr="00F101CC">
              <w:rPr>
                <w:rFonts w:ascii="Times New Roman" w:hAnsi="Times New Roman"/>
                <w:b/>
                <w:sz w:val="24"/>
              </w:rPr>
              <w:t>MW</w:t>
            </w:r>
          </w:p>
        </w:tc>
        <w:tc>
          <w:tcPr>
            <w:tcW w:w="1203" w:type="dxa"/>
            <w:vAlign w:val="center"/>
          </w:tcPr>
          <w:p w:rsidR="00A35882" w:rsidRPr="00F101CC" w:rsidRDefault="00A35882" w:rsidP="00425BF4">
            <w:pPr>
              <w:pStyle w:val="ListParagraph"/>
              <w:spacing w:before="120"/>
              <w:ind w:left="0"/>
              <w:jc w:val="center"/>
              <w:rPr>
                <w:rFonts w:ascii="Times New Roman" w:hAnsi="Times New Roman"/>
                <w:b/>
                <w:sz w:val="24"/>
              </w:rPr>
            </w:pPr>
            <w:r w:rsidRPr="00F101CC">
              <w:rPr>
                <w:rFonts w:ascii="Times New Roman" w:hAnsi="Times New Roman"/>
                <w:b/>
                <w:sz w:val="24"/>
              </w:rPr>
              <w:t xml:space="preserve">Capacity Weighted </w:t>
            </w:r>
            <w:proofErr w:type="spellStart"/>
            <w:r w:rsidRPr="00F101CC">
              <w:rPr>
                <w:rFonts w:ascii="Times New Roman" w:hAnsi="Times New Roman"/>
                <w:b/>
                <w:sz w:val="24"/>
              </w:rPr>
              <w:t>EFORd</w:t>
            </w:r>
            <w:proofErr w:type="spellEnd"/>
          </w:p>
        </w:tc>
      </w:tr>
      <w:tr w:rsidR="00A35882" w:rsidTr="00425BF4">
        <w:tc>
          <w:tcPr>
            <w:tcW w:w="4338" w:type="dxa"/>
            <w:vAlign w:val="center"/>
          </w:tcPr>
          <w:p w:rsidR="00A35882" w:rsidRPr="00F101CC" w:rsidRDefault="00A35882" w:rsidP="00425BF4">
            <w:pPr>
              <w:pStyle w:val="ListParagraph"/>
              <w:spacing w:before="120" w:after="120"/>
              <w:ind w:left="0"/>
              <w:jc w:val="both"/>
              <w:rPr>
                <w:rFonts w:ascii="Times New Roman" w:hAnsi="Times New Roman"/>
                <w:sz w:val="24"/>
              </w:rPr>
            </w:pPr>
            <w:r w:rsidRPr="00F101CC">
              <w:rPr>
                <w:rFonts w:ascii="Times New Roman" w:hAnsi="Times New Roman"/>
                <w:sz w:val="24"/>
              </w:rPr>
              <w:t>PUNs</w:t>
            </w:r>
          </w:p>
        </w:tc>
        <w:tc>
          <w:tcPr>
            <w:tcW w:w="126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6,498</w:t>
            </w:r>
          </w:p>
        </w:tc>
        <w:tc>
          <w:tcPr>
            <w:tcW w:w="144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5.98 %</w:t>
            </w:r>
          </w:p>
        </w:tc>
        <w:tc>
          <w:tcPr>
            <w:tcW w:w="1335" w:type="dxa"/>
            <w:vAlign w:val="center"/>
          </w:tcPr>
          <w:p w:rsidR="00A35882" w:rsidRPr="00F101CC" w:rsidRDefault="00A35882" w:rsidP="00425BF4">
            <w:pPr>
              <w:pStyle w:val="ListParagraph"/>
              <w:spacing w:before="120"/>
              <w:ind w:left="0"/>
              <w:jc w:val="center"/>
              <w:rPr>
                <w:rFonts w:ascii="Times New Roman" w:hAnsi="Times New Roman"/>
                <w:sz w:val="24"/>
              </w:rPr>
            </w:pPr>
            <w:r w:rsidRPr="00F101CC">
              <w:rPr>
                <w:rFonts w:ascii="Times New Roman" w:hAnsi="Times New Roman"/>
                <w:sz w:val="24"/>
              </w:rPr>
              <w:t>4,803</w:t>
            </w:r>
          </w:p>
        </w:tc>
        <w:tc>
          <w:tcPr>
            <w:tcW w:w="1203" w:type="dxa"/>
            <w:vAlign w:val="center"/>
          </w:tcPr>
          <w:p w:rsidR="00A35882" w:rsidRPr="00F101CC" w:rsidRDefault="00A35882" w:rsidP="00425BF4">
            <w:pPr>
              <w:pStyle w:val="ListParagraph"/>
              <w:spacing w:after="0"/>
              <w:ind w:left="0"/>
              <w:jc w:val="center"/>
              <w:rPr>
                <w:rFonts w:ascii="Times New Roman" w:hAnsi="Times New Roman"/>
                <w:sz w:val="24"/>
              </w:rPr>
            </w:pPr>
            <w:r w:rsidRPr="00F101CC">
              <w:rPr>
                <w:rFonts w:ascii="Times New Roman" w:hAnsi="Times New Roman"/>
                <w:sz w:val="24"/>
              </w:rPr>
              <w:t>5.00 %</w:t>
            </w:r>
          </w:p>
        </w:tc>
      </w:tr>
      <w:tr w:rsidR="00A35882" w:rsidTr="00425BF4">
        <w:tc>
          <w:tcPr>
            <w:tcW w:w="4338" w:type="dxa"/>
            <w:vAlign w:val="center"/>
          </w:tcPr>
          <w:p w:rsidR="00A35882" w:rsidRPr="00F101CC" w:rsidRDefault="00A35882" w:rsidP="00425BF4">
            <w:pPr>
              <w:pStyle w:val="ListParagraph"/>
              <w:spacing w:before="120" w:after="120"/>
              <w:ind w:left="0"/>
              <w:jc w:val="both"/>
              <w:rPr>
                <w:rFonts w:ascii="Times New Roman" w:hAnsi="Times New Roman"/>
                <w:sz w:val="24"/>
              </w:rPr>
            </w:pPr>
            <w:r w:rsidRPr="00F101CC">
              <w:rPr>
                <w:rFonts w:ascii="Times New Roman" w:hAnsi="Times New Roman"/>
                <w:sz w:val="24"/>
              </w:rPr>
              <w:t>Mothballed since 2007 study</w:t>
            </w:r>
          </w:p>
        </w:tc>
        <w:tc>
          <w:tcPr>
            <w:tcW w:w="126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2,772</w:t>
            </w:r>
          </w:p>
        </w:tc>
        <w:tc>
          <w:tcPr>
            <w:tcW w:w="144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4.30 %</w:t>
            </w:r>
          </w:p>
        </w:tc>
        <w:tc>
          <w:tcPr>
            <w:tcW w:w="1335" w:type="dxa"/>
            <w:vAlign w:val="center"/>
          </w:tcPr>
          <w:p w:rsidR="00A35882" w:rsidRPr="00F101CC" w:rsidRDefault="00A35882" w:rsidP="00425BF4">
            <w:pPr>
              <w:pStyle w:val="ListParagraph"/>
              <w:spacing w:before="120"/>
              <w:ind w:left="0"/>
              <w:jc w:val="center"/>
              <w:rPr>
                <w:rFonts w:ascii="Times New Roman" w:hAnsi="Times New Roman"/>
                <w:sz w:val="24"/>
              </w:rPr>
            </w:pPr>
            <w:r w:rsidRPr="00F101CC">
              <w:rPr>
                <w:rFonts w:ascii="Times New Roman" w:hAnsi="Times New Roman"/>
                <w:sz w:val="24"/>
              </w:rPr>
              <w:t>N/A</w:t>
            </w:r>
          </w:p>
        </w:tc>
        <w:tc>
          <w:tcPr>
            <w:tcW w:w="1203" w:type="dxa"/>
            <w:vAlign w:val="center"/>
          </w:tcPr>
          <w:p w:rsidR="00A35882" w:rsidRPr="00F101CC" w:rsidRDefault="00A35882" w:rsidP="00425BF4">
            <w:pPr>
              <w:pStyle w:val="ListParagraph"/>
              <w:spacing w:after="0"/>
              <w:ind w:left="0"/>
              <w:jc w:val="center"/>
              <w:rPr>
                <w:rFonts w:ascii="Times New Roman" w:hAnsi="Times New Roman"/>
                <w:sz w:val="24"/>
              </w:rPr>
            </w:pPr>
            <w:r w:rsidRPr="00F101CC">
              <w:rPr>
                <w:rFonts w:ascii="Times New Roman" w:hAnsi="Times New Roman"/>
                <w:sz w:val="24"/>
              </w:rPr>
              <w:t>N/A</w:t>
            </w:r>
          </w:p>
        </w:tc>
      </w:tr>
      <w:tr w:rsidR="00A35882" w:rsidTr="00425BF4">
        <w:tc>
          <w:tcPr>
            <w:tcW w:w="4338" w:type="dxa"/>
            <w:vAlign w:val="center"/>
          </w:tcPr>
          <w:p w:rsidR="00A35882" w:rsidRPr="00F101CC" w:rsidRDefault="00A35882" w:rsidP="00425BF4">
            <w:pPr>
              <w:pStyle w:val="ListParagraph"/>
              <w:spacing w:before="120" w:after="120"/>
              <w:ind w:left="0"/>
              <w:jc w:val="both"/>
              <w:rPr>
                <w:rFonts w:ascii="Times New Roman" w:hAnsi="Times New Roman"/>
                <w:sz w:val="24"/>
              </w:rPr>
            </w:pPr>
            <w:r w:rsidRPr="00F101CC">
              <w:rPr>
                <w:rFonts w:ascii="Times New Roman" w:hAnsi="Times New Roman"/>
                <w:sz w:val="24"/>
              </w:rPr>
              <w:t>Retired since 2007 study</w:t>
            </w:r>
          </w:p>
        </w:tc>
        <w:tc>
          <w:tcPr>
            <w:tcW w:w="126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5,358</w:t>
            </w:r>
          </w:p>
        </w:tc>
        <w:tc>
          <w:tcPr>
            <w:tcW w:w="144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5.01 %</w:t>
            </w:r>
          </w:p>
        </w:tc>
        <w:tc>
          <w:tcPr>
            <w:tcW w:w="1335" w:type="dxa"/>
            <w:vAlign w:val="center"/>
          </w:tcPr>
          <w:p w:rsidR="00A35882" w:rsidRPr="00F101CC" w:rsidRDefault="00A35882" w:rsidP="00425BF4">
            <w:pPr>
              <w:pStyle w:val="ListParagraph"/>
              <w:spacing w:before="120"/>
              <w:ind w:left="0"/>
              <w:jc w:val="center"/>
              <w:rPr>
                <w:rFonts w:ascii="Times New Roman" w:hAnsi="Times New Roman"/>
                <w:sz w:val="24"/>
              </w:rPr>
            </w:pPr>
            <w:r w:rsidRPr="00F101CC">
              <w:rPr>
                <w:rFonts w:ascii="Times New Roman" w:hAnsi="Times New Roman"/>
                <w:sz w:val="24"/>
              </w:rPr>
              <w:t>N/A</w:t>
            </w:r>
          </w:p>
        </w:tc>
        <w:tc>
          <w:tcPr>
            <w:tcW w:w="1203" w:type="dxa"/>
            <w:vAlign w:val="center"/>
          </w:tcPr>
          <w:p w:rsidR="00A35882" w:rsidRPr="00F101CC" w:rsidRDefault="00A35882" w:rsidP="00425BF4">
            <w:pPr>
              <w:pStyle w:val="ListParagraph"/>
              <w:spacing w:after="0"/>
              <w:ind w:left="0"/>
              <w:jc w:val="center"/>
              <w:rPr>
                <w:rFonts w:ascii="Times New Roman" w:hAnsi="Times New Roman"/>
                <w:sz w:val="24"/>
              </w:rPr>
            </w:pPr>
            <w:r w:rsidRPr="00F101CC">
              <w:rPr>
                <w:rFonts w:ascii="Times New Roman" w:hAnsi="Times New Roman"/>
                <w:sz w:val="24"/>
              </w:rPr>
              <w:t>N/A</w:t>
            </w:r>
          </w:p>
        </w:tc>
      </w:tr>
      <w:tr w:rsidR="00A35882" w:rsidTr="00425BF4">
        <w:tc>
          <w:tcPr>
            <w:tcW w:w="4338" w:type="dxa"/>
            <w:vAlign w:val="center"/>
          </w:tcPr>
          <w:p w:rsidR="00A35882" w:rsidRPr="00F101CC" w:rsidRDefault="00A35882" w:rsidP="00425BF4">
            <w:pPr>
              <w:pStyle w:val="ListParagraph"/>
              <w:spacing w:before="120" w:after="120"/>
              <w:ind w:left="0"/>
              <w:jc w:val="both"/>
              <w:rPr>
                <w:rFonts w:ascii="Times New Roman" w:hAnsi="Times New Roman"/>
                <w:sz w:val="24"/>
              </w:rPr>
            </w:pPr>
            <w:r w:rsidRPr="00F101CC">
              <w:rPr>
                <w:rFonts w:ascii="Times New Roman" w:hAnsi="Times New Roman"/>
                <w:sz w:val="24"/>
              </w:rPr>
              <w:t>New Units (not included in 2007 study)</w:t>
            </w:r>
          </w:p>
        </w:tc>
        <w:tc>
          <w:tcPr>
            <w:tcW w:w="126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N/A</w:t>
            </w:r>
          </w:p>
        </w:tc>
        <w:tc>
          <w:tcPr>
            <w:tcW w:w="144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N/A</w:t>
            </w:r>
          </w:p>
        </w:tc>
        <w:tc>
          <w:tcPr>
            <w:tcW w:w="1335" w:type="dxa"/>
            <w:vAlign w:val="center"/>
          </w:tcPr>
          <w:p w:rsidR="00A35882" w:rsidRPr="00F101CC" w:rsidRDefault="00A35882" w:rsidP="00425BF4">
            <w:pPr>
              <w:pStyle w:val="ListParagraph"/>
              <w:spacing w:before="120"/>
              <w:ind w:left="0"/>
              <w:jc w:val="center"/>
              <w:rPr>
                <w:rFonts w:ascii="Times New Roman" w:hAnsi="Times New Roman"/>
                <w:sz w:val="24"/>
              </w:rPr>
            </w:pPr>
            <w:r w:rsidRPr="00F101CC">
              <w:rPr>
                <w:rFonts w:ascii="Times New Roman" w:hAnsi="Times New Roman"/>
                <w:sz w:val="24"/>
              </w:rPr>
              <w:t>8,282</w:t>
            </w:r>
          </w:p>
        </w:tc>
        <w:tc>
          <w:tcPr>
            <w:tcW w:w="1203" w:type="dxa"/>
            <w:vAlign w:val="center"/>
          </w:tcPr>
          <w:p w:rsidR="00A35882" w:rsidRPr="00F101CC" w:rsidRDefault="00A35882" w:rsidP="00425BF4">
            <w:pPr>
              <w:pStyle w:val="ListParagraph"/>
              <w:spacing w:after="0"/>
              <w:ind w:left="0"/>
              <w:jc w:val="center"/>
              <w:rPr>
                <w:rFonts w:ascii="Times New Roman" w:hAnsi="Times New Roman"/>
                <w:sz w:val="24"/>
              </w:rPr>
            </w:pPr>
            <w:r w:rsidRPr="00F101CC">
              <w:rPr>
                <w:rFonts w:ascii="Times New Roman" w:hAnsi="Times New Roman"/>
                <w:sz w:val="24"/>
              </w:rPr>
              <w:t>5.23 %</w:t>
            </w:r>
          </w:p>
        </w:tc>
      </w:tr>
      <w:tr w:rsidR="00A35882" w:rsidTr="00425BF4">
        <w:tc>
          <w:tcPr>
            <w:tcW w:w="4338" w:type="dxa"/>
            <w:vAlign w:val="center"/>
          </w:tcPr>
          <w:p w:rsidR="00A35882" w:rsidRPr="00F101CC" w:rsidRDefault="00A35882" w:rsidP="00425BF4">
            <w:pPr>
              <w:pStyle w:val="ListParagraph"/>
              <w:spacing w:before="120" w:after="120"/>
              <w:ind w:left="0"/>
              <w:jc w:val="both"/>
              <w:rPr>
                <w:rFonts w:ascii="Times New Roman" w:hAnsi="Times New Roman"/>
                <w:sz w:val="24"/>
              </w:rPr>
            </w:pPr>
            <w:r w:rsidRPr="00F101CC">
              <w:rPr>
                <w:rFonts w:ascii="Times New Roman" w:hAnsi="Times New Roman"/>
                <w:sz w:val="24"/>
              </w:rPr>
              <w:t>Operational units (common to both studies)</w:t>
            </w:r>
          </w:p>
        </w:tc>
        <w:tc>
          <w:tcPr>
            <w:tcW w:w="126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61,371</w:t>
            </w:r>
          </w:p>
        </w:tc>
        <w:tc>
          <w:tcPr>
            <w:tcW w:w="144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5.70 %</w:t>
            </w:r>
          </w:p>
        </w:tc>
        <w:tc>
          <w:tcPr>
            <w:tcW w:w="1335" w:type="dxa"/>
            <w:vAlign w:val="center"/>
          </w:tcPr>
          <w:p w:rsidR="00A35882" w:rsidRPr="00F101CC" w:rsidRDefault="00A35882" w:rsidP="00425BF4">
            <w:pPr>
              <w:pStyle w:val="ListParagraph"/>
              <w:spacing w:before="120"/>
              <w:ind w:left="0"/>
              <w:jc w:val="center"/>
              <w:rPr>
                <w:rFonts w:ascii="Times New Roman" w:hAnsi="Times New Roman"/>
                <w:sz w:val="24"/>
              </w:rPr>
            </w:pPr>
            <w:r w:rsidRPr="00F101CC">
              <w:rPr>
                <w:rFonts w:ascii="Times New Roman" w:hAnsi="Times New Roman"/>
                <w:sz w:val="24"/>
              </w:rPr>
              <w:t>60,808</w:t>
            </w:r>
          </w:p>
        </w:tc>
        <w:tc>
          <w:tcPr>
            <w:tcW w:w="1203" w:type="dxa"/>
            <w:vAlign w:val="center"/>
          </w:tcPr>
          <w:p w:rsidR="00A35882" w:rsidRPr="00F101CC" w:rsidRDefault="00A35882" w:rsidP="00425BF4">
            <w:pPr>
              <w:pStyle w:val="ListParagraph"/>
              <w:spacing w:after="0"/>
              <w:ind w:left="0"/>
              <w:jc w:val="center"/>
              <w:rPr>
                <w:rFonts w:ascii="Times New Roman" w:hAnsi="Times New Roman"/>
                <w:sz w:val="24"/>
              </w:rPr>
            </w:pPr>
            <w:r w:rsidRPr="00F101CC">
              <w:rPr>
                <w:rFonts w:ascii="Times New Roman" w:hAnsi="Times New Roman"/>
                <w:sz w:val="24"/>
              </w:rPr>
              <w:t>4.32 %</w:t>
            </w:r>
          </w:p>
        </w:tc>
      </w:tr>
      <w:tr w:rsidR="00A35882" w:rsidTr="00425BF4">
        <w:tc>
          <w:tcPr>
            <w:tcW w:w="4338" w:type="dxa"/>
            <w:vAlign w:val="center"/>
          </w:tcPr>
          <w:p w:rsidR="00A35882" w:rsidRPr="00F101CC" w:rsidRDefault="00A35882" w:rsidP="00425BF4">
            <w:pPr>
              <w:pStyle w:val="ListParagraph"/>
              <w:spacing w:before="120" w:after="120"/>
              <w:ind w:left="0"/>
              <w:jc w:val="both"/>
              <w:rPr>
                <w:rFonts w:ascii="Times New Roman" w:hAnsi="Times New Roman"/>
                <w:sz w:val="24"/>
              </w:rPr>
            </w:pPr>
            <w:r w:rsidRPr="00F101CC">
              <w:rPr>
                <w:rFonts w:ascii="Times New Roman" w:hAnsi="Times New Roman"/>
                <w:sz w:val="24"/>
              </w:rPr>
              <w:t>Operational in new study, but not included in 2007 study</w:t>
            </w:r>
          </w:p>
        </w:tc>
        <w:tc>
          <w:tcPr>
            <w:tcW w:w="126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N/A</w:t>
            </w:r>
          </w:p>
        </w:tc>
        <w:tc>
          <w:tcPr>
            <w:tcW w:w="1440" w:type="dxa"/>
            <w:vAlign w:val="center"/>
          </w:tcPr>
          <w:p w:rsidR="00A35882" w:rsidRPr="00F101CC" w:rsidRDefault="00A35882" w:rsidP="00425BF4">
            <w:pPr>
              <w:pStyle w:val="ListParagraph"/>
              <w:spacing w:before="120" w:after="120"/>
              <w:ind w:left="0"/>
              <w:jc w:val="center"/>
              <w:rPr>
                <w:rFonts w:ascii="Times New Roman" w:hAnsi="Times New Roman"/>
                <w:sz w:val="24"/>
              </w:rPr>
            </w:pPr>
            <w:r w:rsidRPr="00F101CC">
              <w:rPr>
                <w:rFonts w:ascii="Times New Roman" w:hAnsi="Times New Roman"/>
                <w:sz w:val="24"/>
              </w:rPr>
              <w:t>N/A</w:t>
            </w:r>
          </w:p>
        </w:tc>
        <w:tc>
          <w:tcPr>
            <w:tcW w:w="1335" w:type="dxa"/>
            <w:vAlign w:val="center"/>
          </w:tcPr>
          <w:p w:rsidR="00A35882" w:rsidRPr="00F101CC" w:rsidRDefault="00A35882" w:rsidP="00425BF4">
            <w:pPr>
              <w:pStyle w:val="ListParagraph"/>
              <w:spacing w:before="120"/>
              <w:ind w:left="0"/>
              <w:jc w:val="center"/>
              <w:rPr>
                <w:rFonts w:ascii="Times New Roman" w:hAnsi="Times New Roman"/>
                <w:sz w:val="24"/>
              </w:rPr>
            </w:pPr>
            <w:r w:rsidRPr="00F101CC">
              <w:rPr>
                <w:rFonts w:ascii="Times New Roman" w:hAnsi="Times New Roman"/>
                <w:sz w:val="24"/>
              </w:rPr>
              <w:t>1,763</w:t>
            </w:r>
          </w:p>
        </w:tc>
        <w:tc>
          <w:tcPr>
            <w:tcW w:w="1203" w:type="dxa"/>
            <w:vAlign w:val="center"/>
          </w:tcPr>
          <w:p w:rsidR="00A35882" w:rsidRPr="00F101CC" w:rsidRDefault="00A35882" w:rsidP="00425BF4">
            <w:pPr>
              <w:pStyle w:val="ListParagraph"/>
              <w:spacing w:after="0"/>
              <w:ind w:left="0"/>
              <w:jc w:val="center"/>
              <w:rPr>
                <w:rFonts w:ascii="Times New Roman" w:hAnsi="Times New Roman"/>
                <w:sz w:val="24"/>
              </w:rPr>
            </w:pPr>
            <w:r w:rsidRPr="00F101CC">
              <w:rPr>
                <w:rFonts w:ascii="Times New Roman" w:hAnsi="Times New Roman"/>
                <w:sz w:val="24"/>
              </w:rPr>
              <w:t>3.79 %</w:t>
            </w:r>
          </w:p>
        </w:tc>
      </w:tr>
      <w:tr w:rsidR="00A35882" w:rsidTr="00425BF4">
        <w:trPr>
          <w:trHeight w:val="575"/>
        </w:trPr>
        <w:tc>
          <w:tcPr>
            <w:tcW w:w="4338" w:type="dxa"/>
            <w:vAlign w:val="center"/>
          </w:tcPr>
          <w:p w:rsidR="00A35882" w:rsidRPr="00F101CC" w:rsidRDefault="00A35882" w:rsidP="00425BF4">
            <w:pPr>
              <w:pStyle w:val="ListParagraph"/>
              <w:spacing w:before="120" w:after="120"/>
              <w:ind w:left="0"/>
              <w:jc w:val="both"/>
              <w:rPr>
                <w:rFonts w:ascii="Times New Roman" w:hAnsi="Times New Roman"/>
                <w:b/>
                <w:sz w:val="24"/>
              </w:rPr>
            </w:pPr>
            <w:r w:rsidRPr="00F101CC">
              <w:rPr>
                <w:rFonts w:ascii="Times New Roman" w:hAnsi="Times New Roman"/>
                <w:b/>
                <w:sz w:val="24"/>
              </w:rPr>
              <w:t>Total Thermal</w:t>
            </w:r>
          </w:p>
          <w:p w:rsidR="00A35882" w:rsidRPr="00F101CC" w:rsidRDefault="00A35882" w:rsidP="00425BF4">
            <w:pPr>
              <w:pStyle w:val="ListParagraph"/>
              <w:spacing w:before="120" w:after="120"/>
              <w:ind w:left="0"/>
              <w:jc w:val="both"/>
              <w:rPr>
                <w:rFonts w:ascii="Times New Roman" w:hAnsi="Times New Roman"/>
                <w:sz w:val="24"/>
              </w:rPr>
            </w:pPr>
          </w:p>
        </w:tc>
        <w:tc>
          <w:tcPr>
            <w:tcW w:w="1260" w:type="dxa"/>
            <w:vAlign w:val="center"/>
          </w:tcPr>
          <w:p w:rsidR="00A35882" w:rsidRPr="00F101CC" w:rsidRDefault="00A35882" w:rsidP="00425BF4">
            <w:pPr>
              <w:pStyle w:val="ListParagraph"/>
              <w:spacing w:before="120" w:after="120"/>
              <w:ind w:left="0"/>
              <w:jc w:val="center"/>
              <w:rPr>
                <w:rFonts w:ascii="Times New Roman" w:hAnsi="Times New Roman"/>
                <w:b/>
                <w:sz w:val="24"/>
              </w:rPr>
            </w:pPr>
            <w:r w:rsidRPr="00F101CC">
              <w:rPr>
                <w:rFonts w:ascii="Times New Roman" w:hAnsi="Times New Roman"/>
                <w:b/>
                <w:sz w:val="24"/>
              </w:rPr>
              <w:t>75,999</w:t>
            </w:r>
          </w:p>
        </w:tc>
        <w:tc>
          <w:tcPr>
            <w:tcW w:w="1440" w:type="dxa"/>
            <w:vAlign w:val="center"/>
          </w:tcPr>
          <w:p w:rsidR="00A35882" w:rsidRPr="00F101CC" w:rsidRDefault="00A35882" w:rsidP="00425BF4">
            <w:pPr>
              <w:pStyle w:val="ListParagraph"/>
              <w:spacing w:before="120" w:after="120"/>
              <w:ind w:left="0"/>
              <w:jc w:val="center"/>
              <w:rPr>
                <w:rFonts w:ascii="Times New Roman" w:hAnsi="Times New Roman"/>
                <w:b/>
                <w:sz w:val="24"/>
              </w:rPr>
            </w:pPr>
            <w:r w:rsidRPr="00F101CC">
              <w:rPr>
                <w:rFonts w:ascii="Times New Roman" w:hAnsi="Times New Roman"/>
                <w:b/>
                <w:sz w:val="24"/>
              </w:rPr>
              <w:t>5.62 %</w:t>
            </w:r>
          </w:p>
        </w:tc>
        <w:tc>
          <w:tcPr>
            <w:tcW w:w="1335" w:type="dxa"/>
            <w:vAlign w:val="center"/>
          </w:tcPr>
          <w:p w:rsidR="00A35882" w:rsidRPr="00F101CC" w:rsidRDefault="00A35882" w:rsidP="00425BF4">
            <w:pPr>
              <w:pStyle w:val="ListParagraph"/>
              <w:spacing w:before="120"/>
              <w:ind w:left="0"/>
              <w:jc w:val="center"/>
              <w:rPr>
                <w:rFonts w:ascii="Times New Roman" w:hAnsi="Times New Roman"/>
                <w:b/>
                <w:sz w:val="24"/>
              </w:rPr>
            </w:pPr>
            <w:r w:rsidRPr="00F101CC">
              <w:rPr>
                <w:rFonts w:ascii="Times New Roman" w:hAnsi="Times New Roman"/>
                <w:b/>
                <w:sz w:val="24"/>
              </w:rPr>
              <w:t>75,656</w:t>
            </w:r>
          </w:p>
        </w:tc>
        <w:tc>
          <w:tcPr>
            <w:tcW w:w="1203" w:type="dxa"/>
            <w:vAlign w:val="center"/>
          </w:tcPr>
          <w:p w:rsidR="00A35882" w:rsidRPr="00F101CC" w:rsidRDefault="00A35882" w:rsidP="00425BF4">
            <w:pPr>
              <w:pStyle w:val="ListParagraph"/>
              <w:spacing w:after="0"/>
              <w:ind w:left="0"/>
              <w:jc w:val="center"/>
              <w:rPr>
                <w:rFonts w:ascii="Times New Roman" w:hAnsi="Times New Roman"/>
                <w:b/>
                <w:sz w:val="24"/>
              </w:rPr>
            </w:pPr>
            <w:r w:rsidRPr="00F101CC">
              <w:rPr>
                <w:rFonts w:ascii="Times New Roman" w:hAnsi="Times New Roman"/>
                <w:b/>
                <w:sz w:val="24"/>
              </w:rPr>
              <w:t>4.45 %</w:t>
            </w:r>
          </w:p>
        </w:tc>
      </w:tr>
    </w:tbl>
    <w:p w:rsidR="00A35882" w:rsidRDefault="00A35882" w:rsidP="00A35882">
      <w:pPr>
        <w:spacing w:before="240" w:line="360" w:lineRule="auto"/>
        <w:ind w:firstLine="720"/>
        <w:jc w:val="both"/>
      </w:pPr>
      <w:r>
        <w:t>Table – I: Comparison of Outage Assumptions – 2007 Study vs. Current Study</w:t>
      </w:r>
    </w:p>
    <w:p w:rsidR="00A35882" w:rsidRDefault="00A35882" w:rsidP="00A35882">
      <w:pPr>
        <w:spacing w:line="360" w:lineRule="auto"/>
        <w:ind w:firstLine="720"/>
        <w:jc w:val="both"/>
      </w:pPr>
    </w:p>
    <w:p w:rsidR="00A35882" w:rsidRPr="006B01C7" w:rsidRDefault="00A35882" w:rsidP="00A35882">
      <w:pPr>
        <w:spacing w:line="360" w:lineRule="auto"/>
        <w:ind w:firstLine="720"/>
        <w:jc w:val="both"/>
      </w:pPr>
      <w:r w:rsidRPr="006B01C7">
        <w:t xml:space="preserve">For comparison purposes, the forced outage rates of the generic unit compared to wind for the ELCC calculation was a generic </w:t>
      </w:r>
      <w:r>
        <w:t xml:space="preserve">coal plant with a FOR of 6%.  </w:t>
      </w:r>
      <w:r w:rsidRPr="006B01C7">
        <w:t xml:space="preserve">This value compares to the 4.45% </w:t>
      </w:r>
      <w:proofErr w:type="spellStart"/>
      <w:r w:rsidRPr="006B01C7">
        <w:t>EFORd</w:t>
      </w:r>
      <w:proofErr w:type="spellEnd"/>
      <w:r w:rsidRPr="006B01C7">
        <w:t xml:space="preserve"> </w:t>
      </w:r>
      <w:r>
        <w:t>for the existing fleet that was used to compute the ELCC</w:t>
      </w:r>
      <w:r w:rsidRPr="006B01C7">
        <w:t xml:space="preserve"> in the updated study.</w:t>
      </w:r>
    </w:p>
    <w:p w:rsidR="00A9643B" w:rsidRDefault="00A9643B" w:rsidP="00A9643B">
      <w:pPr>
        <w:pStyle w:val="ListParagraph"/>
        <w:spacing w:line="360" w:lineRule="auto"/>
        <w:ind w:left="0" w:firstLine="720"/>
        <w:jc w:val="both"/>
        <w:rPr>
          <w:rFonts w:ascii="Times New Roman" w:hAnsi="Times New Roman"/>
          <w:sz w:val="24"/>
        </w:rPr>
      </w:pPr>
    </w:p>
    <w:p w:rsidR="00A9643B" w:rsidRDefault="00A9643B" w:rsidP="00A9643B">
      <w:pPr>
        <w:pStyle w:val="ListParagraph"/>
        <w:spacing w:line="360" w:lineRule="auto"/>
        <w:ind w:left="0" w:firstLine="720"/>
        <w:jc w:val="both"/>
        <w:rPr>
          <w:rFonts w:ascii="Times New Roman" w:hAnsi="Times New Roman"/>
          <w:sz w:val="24"/>
        </w:rPr>
      </w:pPr>
    </w:p>
    <w:p w:rsidR="002D354C" w:rsidRDefault="002D354C">
      <w:pPr>
        <w:rPr>
          <w:rFonts w:eastAsia="Calibri"/>
          <w:szCs w:val="22"/>
        </w:rPr>
      </w:pPr>
      <w:r>
        <w:br w:type="page"/>
      </w:r>
    </w:p>
    <w:p w:rsidR="00A9643B" w:rsidRDefault="00A9643B" w:rsidP="00A9643B">
      <w:pPr>
        <w:pStyle w:val="IntenseQuote"/>
        <w:ind w:left="0" w:right="0"/>
        <w:jc w:val="both"/>
        <w:rPr>
          <w:rFonts w:ascii="Times New Roman" w:hAnsi="Times New Roman"/>
          <w:sz w:val="32"/>
        </w:rPr>
      </w:pPr>
      <w:r>
        <w:rPr>
          <w:rFonts w:ascii="Times New Roman" w:hAnsi="Times New Roman"/>
          <w:sz w:val="32"/>
        </w:rPr>
        <w:lastRenderedPageBreak/>
        <w:t>APPENDIX - A</w:t>
      </w:r>
    </w:p>
    <w:tbl>
      <w:tblPr>
        <w:tblW w:w="9375" w:type="dxa"/>
        <w:tblInd w:w="93" w:type="dxa"/>
        <w:tblLook w:val="04A0"/>
      </w:tblPr>
      <w:tblGrid>
        <w:gridCol w:w="3975"/>
        <w:gridCol w:w="1745"/>
        <w:gridCol w:w="1500"/>
        <w:gridCol w:w="2155"/>
      </w:tblGrid>
      <w:tr w:rsidR="00A9643B" w:rsidRPr="002B3356" w:rsidTr="00A9643B">
        <w:trPr>
          <w:trHeight w:val="300"/>
        </w:trPr>
        <w:tc>
          <w:tcPr>
            <w:tcW w:w="5720" w:type="dxa"/>
            <w:gridSpan w:val="2"/>
            <w:tcBorders>
              <w:top w:val="nil"/>
              <w:left w:val="nil"/>
              <w:bottom w:val="nil"/>
              <w:right w:val="nil"/>
            </w:tcBorders>
            <w:shd w:val="clear" w:color="auto" w:fill="auto"/>
            <w:noWrap/>
            <w:vAlign w:val="bottom"/>
            <w:hideMark/>
          </w:tcPr>
          <w:p w:rsidR="00A9643B" w:rsidRPr="002B3356" w:rsidRDefault="00A9643B" w:rsidP="00A9643B">
            <w:pPr>
              <w:rPr>
                <w:rFonts w:ascii="Calibri" w:hAnsi="Calibri"/>
                <w:b/>
                <w:bCs/>
                <w:color w:val="000000"/>
              </w:rPr>
            </w:pPr>
            <w:r w:rsidRPr="002B3356">
              <w:rPr>
                <w:rFonts w:ascii="Calibri" w:hAnsi="Calibri"/>
                <w:b/>
                <w:bCs/>
                <w:color w:val="000000"/>
              </w:rPr>
              <w:t>ERCOT 2010 Generation Resources - Summer Rating</w:t>
            </w:r>
          </w:p>
        </w:tc>
        <w:tc>
          <w:tcPr>
            <w:tcW w:w="1500" w:type="dxa"/>
            <w:tcBorders>
              <w:top w:val="nil"/>
              <w:left w:val="nil"/>
              <w:bottom w:val="nil"/>
              <w:right w:val="nil"/>
            </w:tcBorders>
            <w:shd w:val="clear" w:color="auto" w:fill="auto"/>
            <w:noWrap/>
            <w:vAlign w:val="bottom"/>
            <w:hideMark/>
          </w:tcPr>
          <w:p w:rsidR="00A9643B" w:rsidRPr="002B3356" w:rsidRDefault="00A9643B" w:rsidP="00A9643B">
            <w:pPr>
              <w:rPr>
                <w:rFonts w:ascii="Calibri" w:hAnsi="Calibri"/>
                <w:color w:val="000000"/>
              </w:rPr>
            </w:pPr>
          </w:p>
        </w:tc>
        <w:tc>
          <w:tcPr>
            <w:tcW w:w="2155" w:type="dxa"/>
            <w:tcBorders>
              <w:top w:val="nil"/>
              <w:left w:val="nil"/>
              <w:bottom w:val="nil"/>
              <w:right w:val="nil"/>
            </w:tcBorders>
            <w:shd w:val="clear" w:color="auto" w:fill="auto"/>
            <w:noWrap/>
            <w:vAlign w:val="bottom"/>
            <w:hideMark/>
          </w:tcPr>
          <w:p w:rsidR="00A9643B" w:rsidRPr="002B3356" w:rsidRDefault="00A9643B" w:rsidP="00A9643B">
            <w:pPr>
              <w:rPr>
                <w:rFonts w:ascii="Calibri" w:hAnsi="Calibri"/>
                <w:color w:val="000000"/>
              </w:rPr>
            </w:pPr>
          </w:p>
        </w:tc>
      </w:tr>
      <w:tr w:rsidR="00A9643B" w:rsidRPr="002B3356" w:rsidTr="00A9643B">
        <w:trPr>
          <w:trHeight w:val="300"/>
        </w:trPr>
        <w:tc>
          <w:tcPr>
            <w:tcW w:w="39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Generator Name</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Net Capacity (Peak</w:t>
            </w:r>
            <w:r w:rsidR="00C92FA0">
              <w:rPr>
                <w:rFonts w:ascii="Calibri" w:hAnsi="Calibri"/>
                <w:b/>
                <w:bCs/>
                <w:color w:val="000000"/>
              </w:rPr>
              <w:t>; MW</w:t>
            </w:r>
            <w:r w:rsidRPr="002B3356">
              <w:rPr>
                <w:rFonts w:ascii="Calibri" w:hAnsi="Calibri"/>
                <w:b/>
                <w:bCs/>
                <w:color w:val="000000"/>
              </w:rPr>
              <w:t>)</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Unit Type</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A von Rosenberg 1-CT1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A von Rosenberg 1-CT2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A von Rosenberg 1-ST1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AES Deepwater </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Petroleum</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Atkins 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 M Davis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335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 M Davis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344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 M Davis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190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 M Davis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190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Bastrop Energy Center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Bastrop Energy Center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Bastrop Energy Center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233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Big Brown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617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Big Brown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615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Bosque County Peaking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Bosque County Peaking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Bosque County Peaking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Bosque County Peaking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Bosque County Unit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240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Brazos Valley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Brazos Valley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Brazos Valley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253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Calenergy</w:t>
            </w:r>
            <w:proofErr w:type="spellEnd"/>
            <w:r w:rsidRPr="002B3356">
              <w:rPr>
                <w:rFonts w:ascii="Calibri" w:hAnsi="Calibri"/>
                <w:color w:val="000000"/>
              </w:rPr>
              <w:t xml:space="preserve"> (Falcon Seaboard)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Calenergy</w:t>
            </w:r>
            <w:proofErr w:type="spellEnd"/>
            <w:r w:rsidRPr="002B3356">
              <w:rPr>
                <w:rFonts w:ascii="Calibri" w:hAnsi="Calibri"/>
                <w:color w:val="000000"/>
              </w:rPr>
              <w:t xml:space="preserve"> (Falcon Seaboard)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Calenergy</w:t>
            </w:r>
            <w:proofErr w:type="spellEnd"/>
            <w:r w:rsidRPr="002B3356">
              <w:rPr>
                <w:rFonts w:ascii="Calibri" w:hAnsi="Calibri"/>
                <w:color w:val="000000"/>
              </w:rPr>
              <w:t xml:space="preserve"> (Falcon Seaboard)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Cedar Bayou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Cedar Bayou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749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Cedar Bayou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Cedar Bayou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Cedar Bayou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180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color w:val="000000"/>
                <w:sz w:val="20"/>
                <w:szCs w:val="20"/>
              </w:rPr>
            </w:pPr>
            <w:r w:rsidRPr="002B3356">
              <w:rPr>
                <w:rFonts w:ascii="Arial" w:hAnsi="Arial" w:cs="Arial"/>
                <w:color w:val="000000"/>
                <w:sz w:val="20"/>
                <w:szCs w:val="20"/>
              </w:rPr>
              <w:t>CFB Power Plant Units 11&amp;12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263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Channel Energy Deepwater </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182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Coleto</w:t>
            </w:r>
            <w:proofErr w:type="spellEnd"/>
            <w:r w:rsidRPr="002B3356">
              <w:rPr>
                <w:rFonts w:ascii="Calibri" w:hAnsi="Calibri"/>
                <w:color w:val="000000"/>
              </w:rPr>
              <w:t xml:space="preserve"> Creek</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632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Colorado Bend Energy Center 1   </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Colorado Bend Energy Center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Colorado Bend Energy Center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Colorado Bend Energy Center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Colorado Bend Energy Center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Colorado Bend Energy Center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Comanche Peak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1209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NP</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Nuclear</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Comanche Peak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1158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NP</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Nuclear</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CVC Channelview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CVC Channelview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CVC Channelview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CVC Channelview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122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Dansby</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110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Dansby</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Dansby</w:t>
            </w:r>
            <w:proofErr w:type="spellEnd"/>
            <w:r w:rsidRPr="002B3356">
              <w:rPr>
                <w:rFonts w:ascii="Calibri" w:hAnsi="Calibri"/>
                <w:color w:val="000000"/>
              </w:rPr>
              <w:t xml:space="preserve">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Decker Creek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315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Decker Creek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Decker Creek G1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Decker Creek G2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Decker Creek G3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Decker Creek G4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DeCordova</w:t>
            </w:r>
            <w:proofErr w:type="spellEnd"/>
            <w:r w:rsidRPr="002B3356">
              <w:rPr>
                <w:rFonts w:ascii="Calibri" w:hAnsi="Calibri"/>
                <w:color w:val="000000"/>
              </w:rPr>
              <w:t xml:space="preserve"> A</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DeCordova</w:t>
            </w:r>
            <w:proofErr w:type="spellEnd"/>
            <w:r w:rsidRPr="002B3356">
              <w:rPr>
                <w:rFonts w:ascii="Calibri" w:hAnsi="Calibri"/>
                <w:color w:val="000000"/>
              </w:rPr>
              <w:t xml:space="preserve"> B</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DeCordova</w:t>
            </w:r>
            <w:proofErr w:type="spellEnd"/>
            <w:r w:rsidRPr="002B3356">
              <w:rPr>
                <w:rFonts w:ascii="Calibri" w:hAnsi="Calibri"/>
                <w:color w:val="000000"/>
              </w:rPr>
              <w:t xml:space="preserve"> C</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DeCordova</w:t>
            </w:r>
            <w:proofErr w:type="spellEnd"/>
            <w:r w:rsidRPr="002B3356">
              <w:rPr>
                <w:rFonts w:ascii="Calibri" w:hAnsi="Calibri"/>
                <w:color w:val="000000"/>
              </w:rPr>
              <w:t xml:space="preserve"> D</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Deer Park Energy Center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Deer Park Energy Center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Deer Park Energy Center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Deer Park Energy Center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Deer Park Energy Center S</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Ennis Power Station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116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Ennis Power Station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196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ExTex</w:t>
            </w:r>
            <w:proofErr w:type="spellEnd"/>
            <w:r w:rsidRPr="002B3356">
              <w:rPr>
                <w:rFonts w:ascii="Calibri" w:hAnsi="Calibri"/>
                <w:color w:val="000000"/>
              </w:rPr>
              <w:t xml:space="preserve"> La Porte Power Station (</w:t>
            </w:r>
            <w:proofErr w:type="spellStart"/>
            <w:r w:rsidRPr="002B3356">
              <w:rPr>
                <w:rFonts w:ascii="Calibri" w:hAnsi="Calibri"/>
                <w:color w:val="000000"/>
              </w:rPr>
              <w:t>AirPro</w:t>
            </w:r>
            <w:proofErr w:type="spellEnd"/>
            <w:r w:rsidRPr="002B3356">
              <w:rPr>
                <w:rFonts w:ascii="Calibri" w:hAnsi="Calibri"/>
                <w:color w:val="000000"/>
              </w:rPr>
              <w:t>)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ExTex</w:t>
            </w:r>
            <w:proofErr w:type="spellEnd"/>
            <w:r w:rsidRPr="002B3356">
              <w:rPr>
                <w:rFonts w:ascii="Calibri" w:hAnsi="Calibri"/>
                <w:color w:val="000000"/>
              </w:rPr>
              <w:t xml:space="preserve"> La Porte Power Station (</w:t>
            </w:r>
            <w:proofErr w:type="spellStart"/>
            <w:r w:rsidRPr="002B3356">
              <w:rPr>
                <w:rFonts w:ascii="Calibri" w:hAnsi="Calibri"/>
                <w:color w:val="000000"/>
              </w:rPr>
              <w:t>AirPro</w:t>
            </w:r>
            <w:proofErr w:type="spellEnd"/>
            <w:r w:rsidRPr="002B3356">
              <w:rPr>
                <w:rFonts w:ascii="Calibri" w:hAnsi="Calibri"/>
                <w:color w:val="000000"/>
              </w:rPr>
              <w:t>)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ExTex</w:t>
            </w:r>
            <w:proofErr w:type="spellEnd"/>
            <w:r w:rsidRPr="002B3356">
              <w:rPr>
                <w:rFonts w:ascii="Calibri" w:hAnsi="Calibri"/>
                <w:color w:val="000000"/>
              </w:rPr>
              <w:t xml:space="preserve"> La Porte Power Station (</w:t>
            </w:r>
            <w:proofErr w:type="spellStart"/>
            <w:r w:rsidRPr="002B3356">
              <w:rPr>
                <w:rFonts w:ascii="Calibri" w:hAnsi="Calibri"/>
                <w:color w:val="000000"/>
              </w:rPr>
              <w:t>AirPro</w:t>
            </w:r>
            <w:proofErr w:type="spellEnd"/>
            <w:r w:rsidRPr="002B3356">
              <w:rPr>
                <w:rFonts w:ascii="Calibri" w:hAnsi="Calibri"/>
                <w:color w:val="000000"/>
              </w:rPr>
              <w:t>)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ExTex</w:t>
            </w:r>
            <w:proofErr w:type="spellEnd"/>
            <w:r w:rsidRPr="002B3356">
              <w:rPr>
                <w:rFonts w:ascii="Calibri" w:hAnsi="Calibri"/>
                <w:color w:val="000000"/>
              </w:rPr>
              <w:t xml:space="preserve"> La Porte Power Station (</w:t>
            </w:r>
            <w:proofErr w:type="spellStart"/>
            <w:r w:rsidRPr="002B3356">
              <w:rPr>
                <w:rFonts w:ascii="Calibri" w:hAnsi="Calibri"/>
                <w:color w:val="000000"/>
              </w:rPr>
              <w:t>AirPro</w:t>
            </w:r>
            <w:proofErr w:type="spellEnd"/>
            <w:r w:rsidRPr="002B3356">
              <w:rPr>
                <w:rFonts w:ascii="Calibri" w:hAnsi="Calibri"/>
                <w:color w:val="000000"/>
              </w:rPr>
              <w:t>)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Fayette Power Project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608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Fayette Power Project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608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Fayette Power Project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GT11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GT12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GT13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STG10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415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GT21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GT22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GT23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Forney Energy Center STG20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415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Freestone Energy Center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Freestone Energy Center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Freestone Energy Center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Freestone Energy Center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Freestone Energy Center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Freestone Energy Center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Frontera</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Frontera</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Frontera</w:t>
            </w:r>
            <w:proofErr w:type="spellEnd"/>
            <w:r w:rsidRPr="002B3356">
              <w:rPr>
                <w:rFonts w:ascii="Calibri" w:hAnsi="Calibri"/>
                <w:color w:val="000000"/>
              </w:rPr>
              <w:t xml:space="preserve">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Gibbons Creek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Graham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230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Graham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Greens Bayou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406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Greens Bayou 73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Greens Bayou 74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Greens Bayou 81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Greens Bayou 82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Greens Bayou 83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Greens Bayou 84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Guadalupe Generating Station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Guadalupe Generating Station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Guadalupe Generating Station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Guadalupe Generating Station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Guadalupe Generating Station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Guadalupe Generating Station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Handley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Handley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435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Handley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435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Hays Energy Facility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Hays Energy Facility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Hays Energy Facility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Hays Energy Facility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Hidalgo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Hidalgo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Hidalgo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J K Spruce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555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rPr>
            </w:pPr>
            <w:r w:rsidRPr="002B3356">
              <w:rPr>
                <w:rFonts w:ascii="Calibri" w:hAnsi="Calibri"/>
              </w:rPr>
              <w:t>J K Spruce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772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J T </w:t>
            </w:r>
            <w:proofErr w:type="spellStart"/>
            <w:r w:rsidRPr="002B3356">
              <w:rPr>
                <w:rFonts w:ascii="Calibri" w:hAnsi="Calibri"/>
                <w:color w:val="000000"/>
              </w:rPr>
              <w:t>Deely</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440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J T </w:t>
            </w:r>
            <w:proofErr w:type="spellStart"/>
            <w:r w:rsidRPr="002B3356">
              <w:rPr>
                <w:rFonts w:ascii="Calibri" w:hAnsi="Calibri"/>
                <w:color w:val="000000"/>
              </w:rPr>
              <w:t>Deely</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440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color w:val="000000"/>
                <w:sz w:val="20"/>
                <w:szCs w:val="20"/>
              </w:rPr>
            </w:pPr>
            <w:r w:rsidRPr="002B3356">
              <w:rPr>
                <w:rFonts w:ascii="Arial" w:hAnsi="Arial" w:cs="Arial"/>
                <w:color w:val="000000"/>
                <w:sz w:val="20"/>
                <w:szCs w:val="20"/>
              </w:rPr>
              <w:t>Jack County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Jack County Generation Facility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Jack County Generation Facility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Jack County Generation Facility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281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Johnson County Generation Facility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Johnson County Generation Facility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Kiamichi Energy Facility 1CT101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Kiamichi Energy Facility 1CT201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Kiamichi Energy Facility 1ST</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310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Kiamichi Energy Facility 2CT101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Kiamichi Energy Facility 2CT201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Kiamichi Energy Facility 2ST</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303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Lake Hubbard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Lake Hubbard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524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Lamar Power Project CT11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Lamar Power Project CT12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Lamar Power Project STG1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198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Lamar Power Project CT21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Lamar Power Project CT22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Lamar Power Project STG2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198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Laredo Peaking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Laredo Peaking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Leon Creek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Leon Creek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Leon Creek Peaking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Leon Creek Peaking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Leon Creek Peaking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Leon Creek Peaking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Limestone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831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Limestone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Lost Pines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Lost Pines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Lost Pines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Lufkin</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Biomass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Magic Valley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Magic Valley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Magic Valley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Martin Lake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Martin Lake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Martin Lake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818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Midlothian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Midlothian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Midlothian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Midlothian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Midlothian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Midlothian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CS</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Monticello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Monticello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Monticello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Morgan Creek A</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Morgan Creek B</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Morgan Creek C</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Morgan Creek D</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Morgan Creek E</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Morgan Creek F</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Mountain Creek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Mountain Creek 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115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Mountain Creek 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Nacogdoches Project</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Biomass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North Texas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North Texas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North Texas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Nueces Bay 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351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Nueces Bay 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Nueces Bay 9</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O W </w:t>
            </w:r>
            <w:proofErr w:type="spellStart"/>
            <w:r w:rsidRPr="002B3356">
              <w:rPr>
                <w:rFonts w:ascii="Calibri" w:hAnsi="Calibri"/>
                <w:color w:val="000000"/>
              </w:rPr>
              <w:t>Sommers</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O W </w:t>
            </w:r>
            <w:proofErr w:type="spellStart"/>
            <w:r w:rsidRPr="002B3356">
              <w:rPr>
                <w:rFonts w:ascii="Calibri" w:hAnsi="Calibri"/>
                <w:color w:val="000000"/>
              </w:rPr>
              <w:t>Sommers</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color w:val="000000"/>
                <w:sz w:val="20"/>
                <w:szCs w:val="20"/>
              </w:rPr>
            </w:pPr>
            <w:r w:rsidRPr="002B3356">
              <w:rPr>
                <w:rFonts w:ascii="Arial" w:hAnsi="Arial" w:cs="Arial"/>
                <w:color w:val="000000"/>
                <w:sz w:val="20"/>
                <w:szCs w:val="20"/>
              </w:rPr>
              <w:t>Oak Grove SES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855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Oak Grove SES Unit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917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Odessa-Ector Generating Station C11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Odessa-Ector Generating Station C12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Odessa-Ector Generating Station ST1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Odessa-Ector Generating Station C21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Odessa-Ector Generating Station C22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Odessa-Ector Generating Station ST2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Oklaunion</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Paris Energy Center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Paris Energy Center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Paris Energy Center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19</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20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21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22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23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24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Pearsall Engine Plant 9</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IC</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Permian Basin A</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Permian Basin B</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Permian Basin C</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Permian Basin D</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Permian Basin E</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15"/>
        </w:trPr>
        <w:tc>
          <w:tcPr>
            <w:tcW w:w="3975" w:type="dxa"/>
            <w:tcBorders>
              <w:top w:val="nil"/>
              <w:left w:val="single" w:sz="4" w:space="0" w:color="auto"/>
              <w:bottom w:val="single" w:sz="4" w:space="0" w:color="auto"/>
              <w:right w:val="single" w:sz="4" w:space="0" w:color="auto"/>
            </w:tcBorders>
            <w:shd w:val="clear" w:color="auto" w:fill="auto"/>
            <w:vAlign w:val="center"/>
            <w:hideMark/>
          </w:tcPr>
          <w:p w:rsidR="00A9643B" w:rsidRPr="002B3356" w:rsidRDefault="00A9643B" w:rsidP="00A9643B">
            <w:pPr>
              <w:rPr>
                <w:rFonts w:ascii="Calibri" w:hAnsi="Calibri"/>
              </w:rPr>
            </w:pPr>
            <w:r w:rsidRPr="002B3356">
              <w:rPr>
                <w:rFonts w:ascii="Calibri" w:hAnsi="Calibri"/>
              </w:rPr>
              <w:t>Permian Basin Unit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15"/>
        </w:trPr>
        <w:tc>
          <w:tcPr>
            <w:tcW w:w="3975" w:type="dxa"/>
            <w:tcBorders>
              <w:top w:val="nil"/>
              <w:left w:val="single" w:sz="4" w:space="0" w:color="auto"/>
              <w:bottom w:val="single" w:sz="4" w:space="0" w:color="auto"/>
              <w:right w:val="single" w:sz="4" w:space="0" w:color="auto"/>
            </w:tcBorders>
            <w:shd w:val="clear" w:color="auto" w:fill="auto"/>
            <w:vAlign w:val="center"/>
            <w:hideMark/>
          </w:tcPr>
          <w:p w:rsidR="00A9643B" w:rsidRPr="002B3356" w:rsidRDefault="00A9643B" w:rsidP="00A9643B">
            <w:pPr>
              <w:rPr>
                <w:rFonts w:ascii="Calibri" w:hAnsi="Calibri"/>
              </w:rPr>
            </w:pPr>
            <w:r w:rsidRPr="002B3356">
              <w:rPr>
                <w:rFonts w:ascii="Calibri" w:hAnsi="Calibri"/>
              </w:rPr>
              <w:t>Permian Basin Unit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518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Powerlane</w:t>
            </w:r>
            <w:proofErr w:type="spellEnd"/>
            <w:r w:rsidRPr="002B3356">
              <w:rPr>
                <w:rFonts w:ascii="Calibri" w:hAnsi="Calibri"/>
                <w:color w:val="000000"/>
              </w:rPr>
              <w:t xml:space="preserve"> Plant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Powerlane</w:t>
            </w:r>
            <w:proofErr w:type="spellEnd"/>
            <w:r w:rsidRPr="002B3356">
              <w:rPr>
                <w:rFonts w:ascii="Calibri" w:hAnsi="Calibri"/>
                <w:color w:val="000000"/>
              </w:rPr>
              <w:t xml:space="preserve"> Plant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Powerlane</w:t>
            </w:r>
            <w:proofErr w:type="spellEnd"/>
            <w:r w:rsidRPr="002B3356">
              <w:rPr>
                <w:rFonts w:ascii="Calibri" w:hAnsi="Calibri"/>
                <w:color w:val="000000"/>
              </w:rPr>
              <w:t xml:space="preserve"> Plant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sz w:val="20"/>
                <w:szCs w:val="20"/>
              </w:rPr>
            </w:pPr>
            <w:r w:rsidRPr="002B3356">
              <w:rPr>
                <w:rFonts w:ascii="Arial" w:hAnsi="Arial" w:cs="Arial"/>
                <w:sz w:val="20"/>
                <w:szCs w:val="20"/>
              </w:rPr>
              <w:t>Quail Run Energy GT1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sz w:val="20"/>
                <w:szCs w:val="20"/>
              </w:rPr>
            </w:pPr>
            <w:r w:rsidRPr="002B3356">
              <w:rPr>
                <w:rFonts w:ascii="Arial" w:hAnsi="Arial" w:cs="Arial"/>
                <w:sz w:val="20"/>
                <w:szCs w:val="20"/>
              </w:rPr>
              <w:t>Quail Run Energy GT2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sz w:val="20"/>
                <w:szCs w:val="20"/>
              </w:rPr>
            </w:pPr>
            <w:r w:rsidRPr="002B3356">
              <w:rPr>
                <w:rFonts w:ascii="Arial" w:hAnsi="Arial" w:cs="Arial"/>
                <w:sz w:val="20"/>
                <w:szCs w:val="20"/>
              </w:rPr>
              <w:t>Quail Run Energy STG1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sz w:val="20"/>
                <w:szCs w:val="20"/>
              </w:rPr>
            </w:pPr>
            <w:r w:rsidRPr="002B3356">
              <w:rPr>
                <w:rFonts w:ascii="Arial" w:hAnsi="Arial" w:cs="Arial"/>
                <w:sz w:val="20"/>
                <w:szCs w:val="20"/>
              </w:rPr>
              <w:t>Quail Run Energy GT3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sz w:val="20"/>
                <w:szCs w:val="20"/>
              </w:rPr>
            </w:pPr>
            <w:r w:rsidRPr="002B3356">
              <w:rPr>
                <w:rFonts w:ascii="Arial" w:hAnsi="Arial" w:cs="Arial"/>
                <w:sz w:val="20"/>
                <w:szCs w:val="20"/>
              </w:rPr>
              <w:t>Quail Run Energy GT4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sz w:val="20"/>
                <w:szCs w:val="20"/>
              </w:rPr>
            </w:pPr>
            <w:r w:rsidRPr="002B3356">
              <w:rPr>
                <w:rFonts w:ascii="Arial" w:hAnsi="Arial" w:cs="Arial"/>
                <w:sz w:val="20"/>
                <w:szCs w:val="20"/>
              </w:rPr>
              <w:t>Quail Run Energy STG2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 W Miller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 W Miller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 W Miller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 W Miller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 W Miller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Ray </w:t>
            </w:r>
            <w:proofErr w:type="spellStart"/>
            <w:r w:rsidRPr="002B3356">
              <w:rPr>
                <w:rFonts w:ascii="Calibri" w:hAnsi="Calibri"/>
                <w:color w:val="000000"/>
              </w:rPr>
              <w:t>Olinger</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Ray </w:t>
            </w:r>
            <w:proofErr w:type="spellStart"/>
            <w:r w:rsidRPr="002B3356">
              <w:rPr>
                <w:rFonts w:ascii="Calibri" w:hAnsi="Calibri"/>
                <w:color w:val="000000"/>
              </w:rPr>
              <w:t>Olinger</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Ray </w:t>
            </w:r>
            <w:proofErr w:type="spellStart"/>
            <w:r w:rsidRPr="002B3356">
              <w:rPr>
                <w:rFonts w:ascii="Calibri" w:hAnsi="Calibri"/>
                <w:color w:val="000000"/>
              </w:rPr>
              <w:t>Olinger</w:t>
            </w:r>
            <w:proofErr w:type="spellEnd"/>
            <w:r w:rsidRPr="002B3356">
              <w:rPr>
                <w:rFonts w:ascii="Calibri" w:hAnsi="Calibri"/>
                <w:color w:val="000000"/>
              </w:rPr>
              <w:t xml:space="preserve">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Ray </w:t>
            </w:r>
            <w:proofErr w:type="spellStart"/>
            <w:r w:rsidRPr="002B3356">
              <w:rPr>
                <w:rFonts w:ascii="Calibri" w:hAnsi="Calibri"/>
                <w:color w:val="000000"/>
              </w:rPr>
              <w:t>Olinger</w:t>
            </w:r>
            <w:proofErr w:type="spellEnd"/>
            <w:r w:rsidRPr="002B3356">
              <w:rPr>
                <w:rFonts w:ascii="Calibri" w:hAnsi="Calibri"/>
                <w:color w:val="000000"/>
              </w:rPr>
              <w:t xml:space="preserve">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Rayburn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Rayburn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Rayburn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Rayburn 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Rayburn 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Rayburn 9</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Rayburn 10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Rio Nogales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Rio Nogales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Rio Nogales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Rio Nogales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323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Sam </w:t>
            </w:r>
            <w:proofErr w:type="spellStart"/>
            <w:r w:rsidRPr="002B3356">
              <w:rPr>
                <w:rFonts w:ascii="Calibri" w:hAnsi="Calibri"/>
                <w:color w:val="000000"/>
              </w:rPr>
              <w:t>Bertron</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Sam </w:t>
            </w:r>
            <w:proofErr w:type="spellStart"/>
            <w:r w:rsidRPr="002B3356">
              <w:rPr>
                <w:rFonts w:ascii="Calibri" w:hAnsi="Calibri"/>
                <w:color w:val="000000"/>
              </w:rPr>
              <w:t>Bertron</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Sam </w:t>
            </w:r>
            <w:proofErr w:type="spellStart"/>
            <w:r w:rsidRPr="002B3356">
              <w:rPr>
                <w:rFonts w:ascii="Calibri" w:hAnsi="Calibri"/>
                <w:color w:val="000000"/>
              </w:rPr>
              <w:t>Bertron</w:t>
            </w:r>
            <w:proofErr w:type="spellEnd"/>
            <w:r w:rsidRPr="002B3356">
              <w:rPr>
                <w:rFonts w:ascii="Calibri" w:hAnsi="Calibri"/>
                <w:color w:val="000000"/>
              </w:rPr>
              <w:t xml:space="preserve">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230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Sam </w:t>
            </w:r>
            <w:proofErr w:type="spellStart"/>
            <w:r w:rsidRPr="002B3356">
              <w:rPr>
                <w:rFonts w:ascii="Calibri" w:hAnsi="Calibri"/>
                <w:color w:val="000000"/>
              </w:rPr>
              <w:t>Bertron</w:t>
            </w:r>
            <w:proofErr w:type="spellEnd"/>
            <w:r w:rsidRPr="002B3356">
              <w:rPr>
                <w:rFonts w:ascii="Calibri" w:hAnsi="Calibri"/>
                <w:color w:val="000000"/>
              </w:rPr>
              <w:t xml:space="preserve">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230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San Jacinto SES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San Jacinto SES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San Miguel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Sand Hill </w:t>
            </w:r>
            <w:proofErr w:type="spellStart"/>
            <w:r w:rsidRPr="002B3356">
              <w:rPr>
                <w:rFonts w:ascii="Calibri" w:hAnsi="Calibri"/>
                <w:color w:val="000000"/>
              </w:rPr>
              <w:t>Peakers</w:t>
            </w:r>
            <w:proofErr w:type="spellEnd"/>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Sandhill</w:t>
            </w:r>
            <w:proofErr w:type="spellEnd"/>
            <w:r w:rsidRPr="002B3356">
              <w:rPr>
                <w:rFonts w:ascii="Calibri" w:hAnsi="Calibri"/>
                <w:color w:val="000000"/>
              </w:rPr>
              <w:t xml:space="preserve"> Energy Center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Sandhill</w:t>
            </w:r>
            <w:proofErr w:type="spellEnd"/>
            <w:r w:rsidRPr="002B3356">
              <w:rPr>
                <w:rFonts w:ascii="Calibri" w:hAnsi="Calibri"/>
                <w:color w:val="000000"/>
              </w:rPr>
              <w:t xml:space="preserve"> Energy Center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Sandhill</w:t>
            </w:r>
            <w:proofErr w:type="spellEnd"/>
            <w:r w:rsidRPr="002B3356">
              <w:rPr>
                <w:rFonts w:ascii="Calibri" w:hAnsi="Calibri"/>
                <w:color w:val="000000"/>
              </w:rPr>
              <w:t xml:space="preserve"> Energy Center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Sandhill</w:t>
            </w:r>
            <w:proofErr w:type="spellEnd"/>
            <w:r w:rsidRPr="002B3356">
              <w:rPr>
                <w:rFonts w:ascii="Calibri" w:hAnsi="Calibri"/>
                <w:color w:val="000000"/>
              </w:rPr>
              <w:t xml:space="preserve"> Energy Center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Sandhill</w:t>
            </w:r>
            <w:proofErr w:type="spellEnd"/>
            <w:r w:rsidRPr="002B3356">
              <w:rPr>
                <w:rFonts w:ascii="Calibri" w:hAnsi="Calibri"/>
                <w:color w:val="000000"/>
              </w:rPr>
              <w:t xml:space="preserve"> Energy Center 5A</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Sandhill</w:t>
            </w:r>
            <w:proofErr w:type="spellEnd"/>
            <w:r w:rsidRPr="002B3356">
              <w:rPr>
                <w:rFonts w:ascii="Calibri" w:hAnsi="Calibri"/>
                <w:color w:val="000000"/>
              </w:rPr>
              <w:t xml:space="preserve"> Energy Center 5C</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Sandow</w:t>
            </w:r>
            <w:proofErr w:type="spellEnd"/>
            <w:r w:rsidRPr="002B3356">
              <w:rPr>
                <w:rFonts w:ascii="Calibri" w:hAnsi="Calibri"/>
                <w:color w:val="000000"/>
              </w:rPr>
              <w:t xml:space="preserve">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color w:val="000000"/>
                <w:sz w:val="20"/>
                <w:szCs w:val="20"/>
              </w:rPr>
            </w:pPr>
            <w:r w:rsidRPr="002B3356">
              <w:rPr>
                <w:rFonts w:ascii="Arial" w:hAnsi="Arial" w:cs="Arial"/>
                <w:color w:val="000000"/>
                <w:sz w:val="20"/>
                <w:szCs w:val="20"/>
              </w:rPr>
              <w:t>Sandy Creek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Silas Ray 10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Silas Ray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Silas Ray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Silas Ray 9</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Sim</w:t>
            </w:r>
            <w:proofErr w:type="spellEnd"/>
            <w:r w:rsidRPr="002B3356">
              <w:rPr>
                <w:rFonts w:ascii="Calibri" w:hAnsi="Calibri"/>
                <w:color w:val="000000"/>
              </w:rPr>
              <w:t xml:space="preserve"> Gideon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Sim</w:t>
            </w:r>
            <w:proofErr w:type="spellEnd"/>
            <w:r w:rsidRPr="002B3356">
              <w:rPr>
                <w:rFonts w:ascii="Calibri" w:hAnsi="Calibri"/>
                <w:color w:val="000000"/>
              </w:rPr>
              <w:t xml:space="preserve"> Gideon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Sim</w:t>
            </w:r>
            <w:proofErr w:type="spellEnd"/>
            <w:r w:rsidRPr="002B3356">
              <w:rPr>
                <w:rFonts w:ascii="Calibri" w:hAnsi="Calibri"/>
                <w:color w:val="000000"/>
              </w:rPr>
              <w:t xml:space="preserve"> Gideon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335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South Texas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1362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NP</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Nuclear</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South Texas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1362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NP</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Nuclear</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Spencer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Spencer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Stryker Creek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Stryker Creek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502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31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32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33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34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41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42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43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44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51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52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53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54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55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 H Wharton 56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TECO Central Plant</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Tenaska-Frontier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Tenaska-Frontier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Tenaska-Frontier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Tenaska-Frontier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380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Tenaska-Gateway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Tenaska-Gateway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128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Tenaska-Gateway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146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Tenaska-Gateway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Texas City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Texas City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Texas City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93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Texas City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128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Thomas C Ferguson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424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proofErr w:type="spellStart"/>
            <w:r w:rsidRPr="002B3356">
              <w:rPr>
                <w:rFonts w:ascii="Calibri" w:hAnsi="Calibri"/>
                <w:color w:val="000000"/>
              </w:rPr>
              <w:t>Tradinghouse</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787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Trinidad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230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Twin Oaks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Twin Oaks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V H </w:t>
            </w:r>
            <w:proofErr w:type="spellStart"/>
            <w:r w:rsidRPr="002B3356">
              <w:rPr>
                <w:rFonts w:ascii="Calibri" w:hAnsi="Calibri"/>
                <w:color w:val="000000"/>
              </w:rPr>
              <w:t>Braunig</w:t>
            </w:r>
            <w:proofErr w:type="spellEnd"/>
            <w:r w:rsidRPr="002B3356">
              <w:rPr>
                <w:rFonts w:ascii="Calibri" w:hAnsi="Calibri"/>
                <w:color w:val="000000"/>
              </w:rPr>
              <w:t xml:space="preserve">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V H </w:t>
            </w:r>
            <w:proofErr w:type="spellStart"/>
            <w:r w:rsidRPr="002B3356">
              <w:rPr>
                <w:rFonts w:ascii="Calibri" w:hAnsi="Calibri"/>
                <w:color w:val="000000"/>
              </w:rPr>
              <w:t>Braunig</w:t>
            </w:r>
            <w:proofErr w:type="spellEnd"/>
            <w:r w:rsidRPr="002B3356">
              <w:rPr>
                <w:rFonts w:ascii="Calibri" w:hAnsi="Calibri"/>
                <w:color w:val="000000"/>
              </w:rPr>
              <w:t xml:space="preserve">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V H </w:t>
            </w:r>
            <w:proofErr w:type="spellStart"/>
            <w:r w:rsidRPr="002B3356">
              <w:rPr>
                <w:rFonts w:ascii="Calibri" w:hAnsi="Calibri"/>
                <w:color w:val="000000"/>
              </w:rPr>
              <w:t>Braunig</w:t>
            </w:r>
            <w:proofErr w:type="spellEnd"/>
            <w:r w:rsidRPr="002B3356">
              <w:rPr>
                <w:rFonts w:ascii="Calibri" w:hAnsi="Calibri"/>
                <w:color w:val="000000"/>
              </w:rPr>
              <w:t xml:space="preserve">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397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Arial" w:hAnsi="Arial" w:cs="Arial"/>
                <w:color w:val="000000"/>
                <w:sz w:val="20"/>
                <w:szCs w:val="20"/>
              </w:rPr>
            </w:pPr>
            <w:r w:rsidRPr="002B3356">
              <w:rPr>
                <w:rFonts w:ascii="Arial" w:hAnsi="Arial" w:cs="Arial"/>
                <w:color w:val="000000"/>
                <w:sz w:val="20"/>
                <w:szCs w:val="20"/>
              </w:rPr>
              <w:t xml:space="preserve">V H </w:t>
            </w:r>
            <w:proofErr w:type="spellStart"/>
            <w:r w:rsidRPr="002B3356">
              <w:rPr>
                <w:rFonts w:ascii="Arial" w:hAnsi="Arial" w:cs="Arial"/>
                <w:color w:val="000000"/>
                <w:sz w:val="20"/>
                <w:szCs w:val="20"/>
              </w:rPr>
              <w:t>Braunig</w:t>
            </w:r>
            <w:proofErr w:type="spellEnd"/>
            <w:r w:rsidRPr="002B3356">
              <w:rPr>
                <w:rFonts w:ascii="Arial" w:hAnsi="Arial" w:cs="Arial"/>
                <w:color w:val="000000"/>
                <w:sz w:val="20"/>
                <w:szCs w:val="20"/>
              </w:rPr>
              <w:t xml:space="preserve">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185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GT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Valley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Valley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Valley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375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Victoria Power Station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133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Victoria Power Station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164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278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552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 A Parish 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ST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Coal</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Wichita Falls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Wichita Falls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Wichita Falls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Wichita Falls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CB603C" w:rsidRPr="002B3356" w:rsidTr="00425BF4">
        <w:trPr>
          <w:trHeight w:val="300"/>
        </w:trPr>
        <w:tc>
          <w:tcPr>
            <w:tcW w:w="3975" w:type="dxa"/>
            <w:tcBorders>
              <w:top w:val="nil"/>
              <w:left w:val="single" w:sz="4" w:space="0" w:color="auto"/>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lastRenderedPageBreak/>
              <w:t>Generator Name</w:t>
            </w:r>
          </w:p>
        </w:tc>
        <w:tc>
          <w:tcPr>
            <w:tcW w:w="174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Net Capacity (Peak)</w:t>
            </w:r>
          </w:p>
        </w:tc>
        <w:tc>
          <w:tcPr>
            <w:tcW w:w="1500"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Unit Type</w:t>
            </w:r>
          </w:p>
        </w:tc>
        <w:tc>
          <w:tcPr>
            <w:tcW w:w="2155" w:type="dxa"/>
            <w:tcBorders>
              <w:top w:val="nil"/>
              <w:left w:val="nil"/>
              <w:bottom w:val="single" w:sz="4" w:space="0" w:color="auto"/>
              <w:right w:val="single" w:sz="4" w:space="0" w:color="auto"/>
            </w:tcBorders>
            <w:shd w:val="clear" w:color="auto" w:fill="auto"/>
            <w:noWrap/>
            <w:vAlign w:val="center"/>
            <w:hideMark/>
          </w:tcPr>
          <w:p w:rsidR="00CB603C" w:rsidRPr="002B3356" w:rsidRDefault="00CB603C" w:rsidP="00425BF4">
            <w:pPr>
              <w:jc w:val="center"/>
              <w:rPr>
                <w:rFonts w:ascii="Calibri" w:hAnsi="Calibri"/>
                <w:b/>
                <w:bCs/>
                <w:color w:val="000000"/>
              </w:rPr>
            </w:pPr>
            <w:r w:rsidRPr="002B3356">
              <w:rPr>
                <w:rFonts w:ascii="Calibri" w:hAnsi="Calibri"/>
                <w:b/>
                <w:bCs/>
                <w:color w:val="000000"/>
              </w:rPr>
              <w:t>Fuel Type</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Winchester Power Park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Winchester Power Park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Winchester Power Park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Winchester Power Park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Wise-</w:t>
            </w:r>
            <w:proofErr w:type="spellStart"/>
            <w:r w:rsidRPr="002B3356">
              <w:rPr>
                <w:rFonts w:ascii="Calibri" w:hAnsi="Calibri"/>
                <w:color w:val="000000"/>
              </w:rPr>
              <w:t>Tractebel</w:t>
            </w:r>
            <w:proofErr w:type="spellEnd"/>
            <w:r w:rsidRPr="002B3356">
              <w:rPr>
                <w:rFonts w:ascii="Calibri" w:hAnsi="Calibri"/>
                <w:color w:val="000000"/>
              </w:rPr>
              <w:t xml:space="preserve"> Power </w:t>
            </w:r>
            <w:proofErr w:type="spellStart"/>
            <w:r w:rsidRPr="002B3356">
              <w:rPr>
                <w:rFonts w:ascii="Calibri" w:hAnsi="Calibri"/>
                <w:color w:val="000000"/>
              </w:rPr>
              <w:t>Proj</w:t>
            </w:r>
            <w:proofErr w:type="spellEnd"/>
            <w:r w:rsidRPr="002B3356">
              <w:rPr>
                <w:rFonts w:ascii="Calibri" w:hAnsi="Calibri"/>
                <w:color w:val="000000"/>
              </w:rPr>
              <w:t>.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Wise-</w:t>
            </w:r>
            <w:proofErr w:type="spellStart"/>
            <w:r w:rsidRPr="002B3356">
              <w:rPr>
                <w:rFonts w:ascii="Calibri" w:hAnsi="Calibri"/>
                <w:color w:val="000000"/>
              </w:rPr>
              <w:t>Tractebel</w:t>
            </w:r>
            <w:proofErr w:type="spellEnd"/>
            <w:r w:rsidRPr="002B3356">
              <w:rPr>
                <w:rFonts w:ascii="Calibri" w:hAnsi="Calibri"/>
                <w:color w:val="000000"/>
              </w:rPr>
              <w:t xml:space="preserve"> Power </w:t>
            </w:r>
            <w:proofErr w:type="spellStart"/>
            <w:r w:rsidRPr="002B3356">
              <w:rPr>
                <w:rFonts w:ascii="Calibri" w:hAnsi="Calibri"/>
                <w:color w:val="000000"/>
              </w:rPr>
              <w:t>Proj</w:t>
            </w:r>
            <w:proofErr w:type="spellEnd"/>
            <w:r w:rsidRPr="002B3356">
              <w:rPr>
                <w:rFonts w:ascii="Calibri" w:hAnsi="Calibri"/>
                <w:color w:val="000000"/>
              </w:rPr>
              <w:t>.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Wise-</w:t>
            </w:r>
            <w:proofErr w:type="spellStart"/>
            <w:r w:rsidRPr="002B3356">
              <w:rPr>
                <w:rFonts w:ascii="Calibri" w:hAnsi="Calibri"/>
                <w:color w:val="000000"/>
              </w:rPr>
              <w:t>Tractebel</w:t>
            </w:r>
            <w:proofErr w:type="spellEnd"/>
            <w:r w:rsidRPr="002B3356">
              <w:rPr>
                <w:rFonts w:ascii="Calibri" w:hAnsi="Calibri"/>
                <w:color w:val="000000"/>
              </w:rPr>
              <w:t xml:space="preserve"> Power </w:t>
            </w:r>
            <w:proofErr w:type="spellStart"/>
            <w:r w:rsidRPr="002B3356">
              <w:rPr>
                <w:rFonts w:ascii="Calibri" w:hAnsi="Calibri"/>
                <w:color w:val="000000"/>
              </w:rPr>
              <w:t>Proj</w:t>
            </w:r>
            <w:proofErr w:type="spellEnd"/>
            <w:r w:rsidRPr="002B3356">
              <w:rPr>
                <w:rFonts w:ascii="Calibri" w:hAnsi="Calibri"/>
                <w:color w:val="000000"/>
              </w:rPr>
              <w:t>.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241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Wolf Hollow Power </w:t>
            </w:r>
            <w:proofErr w:type="spellStart"/>
            <w:r w:rsidRPr="002B3356">
              <w:rPr>
                <w:rFonts w:ascii="Calibri" w:hAnsi="Calibri"/>
                <w:color w:val="000000"/>
              </w:rPr>
              <w:t>Proj</w:t>
            </w:r>
            <w:proofErr w:type="spellEnd"/>
            <w:r w:rsidRPr="002B3356">
              <w:rPr>
                <w:rFonts w:ascii="Calibri" w:hAnsi="Calibri"/>
                <w:color w:val="000000"/>
              </w:rPr>
              <w:t>.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Wolf Hollow Power </w:t>
            </w:r>
            <w:proofErr w:type="spellStart"/>
            <w:r w:rsidRPr="002B3356">
              <w:rPr>
                <w:rFonts w:ascii="Calibri" w:hAnsi="Calibri"/>
                <w:color w:val="000000"/>
              </w:rPr>
              <w:t>Proj</w:t>
            </w:r>
            <w:proofErr w:type="spellEnd"/>
            <w:r w:rsidRPr="002B3356">
              <w:rPr>
                <w:rFonts w:ascii="Calibri" w:hAnsi="Calibri"/>
                <w:color w:val="000000"/>
              </w:rPr>
              <w:t>.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212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CT</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 xml:space="preserve">Wolf Hollow Power </w:t>
            </w:r>
            <w:proofErr w:type="spellStart"/>
            <w:r w:rsidRPr="002B3356">
              <w:rPr>
                <w:rFonts w:ascii="Calibri" w:hAnsi="Calibri"/>
                <w:color w:val="000000"/>
              </w:rPr>
              <w:t>Proj</w:t>
            </w:r>
            <w:proofErr w:type="spellEnd"/>
            <w:r w:rsidRPr="002B3356">
              <w:rPr>
                <w:rFonts w:ascii="Calibri" w:hAnsi="Calibri"/>
                <w:color w:val="000000"/>
              </w:rPr>
              <w:t>.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280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CA</w:t>
            </w: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Natural Gas</w:t>
            </w: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74</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590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176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350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9</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269</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280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80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400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16</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110</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17</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18</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19</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485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20</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325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21</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573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22</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3</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23</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28</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24</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15</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color w:val="000000"/>
              </w:rPr>
            </w:pPr>
            <w:r w:rsidRPr="002B3356">
              <w:rPr>
                <w:rFonts w:ascii="Calibri" w:hAnsi="Calibri"/>
                <w:color w:val="000000"/>
              </w:rPr>
              <w:t>PUN 25</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r w:rsidRPr="002B3356">
              <w:rPr>
                <w:rFonts w:ascii="Calibri" w:hAnsi="Calibri"/>
                <w:color w:val="000000"/>
              </w:rPr>
              <w:t>1</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b/>
                <w:bCs/>
                <w:color w:val="000000"/>
              </w:rPr>
            </w:pPr>
            <w:r w:rsidRPr="002B3356">
              <w:rPr>
                <w:rFonts w:ascii="Calibri" w:hAnsi="Calibri"/>
                <w:b/>
                <w:bCs/>
                <w:color w:val="000000"/>
              </w:rPr>
              <w:t>Total Installed Capacity, in MW</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75655.6</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tr w:rsidR="00A9643B" w:rsidRPr="002B3356" w:rsidTr="00A9643B">
        <w:trPr>
          <w:trHeight w:val="300"/>
        </w:trPr>
        <w:tc>
          <w:tcPr>
            <w:tcW w:w="3975" w:type="dxa"/>
            <w:tcBorders>
              <w:top w:val="nil"/>
              <w:left w:val="single" w:sz="4" w:space="0" w:color="auto"/>
              <w:bottom w:val="single" w:sz="4" w:space="0" w:color="auto"/>
              <w:right w:val="single" w:sz="4" w:space="0" w:color="auto"/>
            </w:tcBorders>
            <w:shd w:val="clear" w:color="auto" w:fill="auto"/>
            <w:noWrap/>
            <w:vAlign w:val="bottom"/>
            <w:hideMark/>
          </w:tcPr>
          <w:p w:rsidR="00A9643B" w:rsidRPr="002B3356" w:rsidRDefault="00A9643B" w:rsidP="00A9643B">
            <w:pPr>
              <w:rPr>
                <w:rFonts w:ascii="Calibri" w:hAnsi="Calibri"/>
                <w:b/>
                <w:bCs/>
                <w:color w:val="000000"/>
              </w:rPr>
            </w:pPr>
            <w:r w:rsidRPr="002B3356">
              <w:rPr>
                <w:rFonts w:ascii="Calibri" w:hAnsi="Calibri"/>
                <w:b/>
                <w:bCs/>
                <w:color w:val="000000"/>
              </w:rPr>
              <w:t>Total Installed Capacity of Wind, in MW</w:t>
            </w:r>
          </w:p>
        </w:tc>
        <w:tc>
          <w:tcPr>
            <w:tcW w:w="174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b/>
                <w:bCs/>
                <w:color w:val="000000"/>
              </w:rPr>
            </w:pPr>
            <w:r w:rsidRPr="002B3356">
              <w:rPr>
                <w:rFonts w:ascii="Calibri" w:hAnsi="Calibri"/>
                <w:b/>
                <w:bCs/>
                <w:color w:val="000000"/>
              </w:rPr>
              <w:t>10992</w:t>
            </w:r>
          </w:p>
        </w:tc>
        <w:tc>
          <w:tcPr>
            <w:tcW w:w="1500"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c>
          <w:tcPr>
            <w:tcW w:w="2155" w:type="dxa"/>
            <w:tcBorders>
              <w:top w:val="nil"/>
              <w:left w:val="nil"/>
              <w:bottom w:val="single" w:sz="4" w:space="0" w:color="auto"/>
              <w:right w:val="single" w:sz="4" w:space="0" w:color="auto"/>
            </w:tcBorders>
            <w:shd w:val="clear" w:color="auto" w:fill="auto"/>
            <w:noWrap/>
            <w:vAlign w:val="bottom"/>
            <w:hideMark/>
          </w:tcPr>
          <w:p w:rsidR="00A9643B" w:rsidRPr="002B3356" w:rsidRDefault="00A9643B" w:rsidP="00A9643B">
            <w:pPr>
              <w:jc w:val="center"/>
              <w:rPr>
                <w:rFonts w:ascii="Calibri" w:hAnsi="Calibri"/>
                <w:color w:val="000000"/>
              </w:rPr>
            </w:pPr>
          </w:p>
        </w:tc>
      </w:tr>
      <w:bookmarkEnd w:id="248"/>
      <w:bookmarkEnd w:id="249"/>
    </w:tbl>
    <w:p w:rsidR="00C7592F" w:rsidRPr="00C7592F" w:rsidRDefault="00C7592F" w:rsidP="00371037">
      <w:pPr>
        <w:pStyle w:val="body2"/>
        <w:ind w:left="0"/>
      </w:pPr>
    </w:p>
    <w:sectPr w:rsidR="00C7592F" w:rsidRPr="00C7592F" w:rsidSect="00FE2AF5">
      <w:footerReference w:type="default" r:id="rId23"/>
      <w:type w:val="continuous"/>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C47" w:rsidRDefault="00A50C47">
      <w:r>
        <w:separator/>
      </w:r>
    </w:p>
  </w:endnote>
  <w:endnote w:type="continuationSeparator" w:id="0">
    <w:p w:rsidR="00A50C47" w:rsidRDefault="00A50C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8"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Pr="00400806" w:rsidRDefault="00425BF4" w:rsidP="00302001">
    <w:pPr>
      <w:pStyle w:val="table"/>
      <w:tabs>
        <w:tab w:val="right" w:pos="8460"/>
      </w:tabs>
      <w:rPr>
        <w:sz w:val="16"/>
        <w:szCs w:val="16"/>
      </w:rPr>
    </w:pPr>
    <w:r w:rsidRPr="00400806">
      <w:rPr>
        <w:rStyle w:val="PageNumber"/>
        <w:sz w:val="16"/>
        <w:szCs w:val="16"/>
      </w:rPr>
      <w:t>© 2006 Electric Reliability Council of Texas, Inc.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shd w:val="clear" w:color="auto" w:fill="35608F"/>
      <w:tblLook w:val="01E0"/>
    </w:tblPr>
    <w:tblGrid>
      <w:gridCol w:w="4788"/>
      <w:gridCol w:w="4788"/>
    </w:tblGrid>
    <w:tr w:rsidR="00425BF4" w:rsidTr="00DA730B">
      <w:tc>
        <w:tcPr>
          <w:tcW w:w="2500" w:type="pct"/>
          <w:shd w:val="clear" w:color="auto" w:fill="35608F"/>
          <w:vAlign w:val="center"/>
        </w:tcPr>
        <w:p w:rsidR="00425BF4" w:rsidRPr="00DA730B" w:rsidRDefault="00425BF4" w:rsidP="00DA730B">
          <w:pPr>
            <w:pStyle w:val="table"/>
            <w:tabs>
              <w:tab w:val="right" w:pos="8460"/>
            </w:tabs>
            <w:rPr>
              <w:i/>
              <w:iCs/>
              <w:color w:val="FFFFFF"/>
              <w:sz w:val="16"/>
              <w:szCs w:val="16"/>
            </w:rPr>
          </w:pPr>
          <w:r w:rsidRPr="00DA730B">
            <w:rPr>
              <w:rStyle w:val="PageNumber"/>
              <w:i/>
              <w:iCs/>
              <w:color w:val="FFFFFF"/>
              <w:sz w:val="16"/>
              <w:szCs w:val="16"/>
            </w:rPr>
            <w:t>© 2006 Electric Reliability Council of Texas, Inc.</w:t>
          </w:r>
        </w:p>
      </w:tc>
      <w:tc>
        <w:tcPr>
          <w:tcW w:w="2500" w:type="pct"/>
          <w:shd w:val="clear" w:color="auto" w:fill="35608F"/>
          <w:vAlign w:val="center"/>
        </w:tcPr>
        <w:p w:rsidR="00425BF4" w:rsidRPr="00DA730B" w:rsidRDefault="00425BF4" w:rsidP="00DA730B">
          <w:pPr>
            <w:spacing w:before="40" w:after="40"/>
            <w:jc w:val="right"/>
            <w:rPr>
              <w:rFonts w:ascii="Arial" w:hAnsi="Arial" w:cs="Arial"/>
              <w:i/>
              <w:iCs/>
              <w:color w:val="FFFFFF"/>
              <w:sz w:val="18"/>
            </w:rPr>
          </w:pPr>
          <w:r>
            <w:rPr>
              <w:rFonts w:ascii="Arial" w:hAnsi="Arial" w:cs="Arial"/>
              <w:i/>
              <w:iCs/>
              <w:color w:val="FFFFFF"/>
              <w:sz w:val="18"/>
            </w:rPr>
            <w:t>System Planning</w:t>
          </w:r>
        </w:p>
      </w:tc>
    </w:tr>
  </w:tbl>
  <w:p w:rsidR="00425BF4" w:rsidRDefault="00425B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Pr="001F7C8D" w:rsidRDefault="00425BF4" w:rsidP="003C5767">
    <w:pPr>
      <w:pStyle w:val="table"/>
      <w:tabs>
        <w:tab w:val="right" w:pos="9360"/>
      </w:tabs>
      <w:rPr>
        <w:sz w:val="21"/>
        <w:szCs w:val="21"/>
      </w:rPr>
    </w:pPr>
    <w:r w:rsidRPr="00400806">
      <w:rPr>
        <w:rStyle w:val="PageNumber"/>
        <w:sz w:val="16"/>
        <w:szCs w:val="16"/>
      </w:rPr>
      <w:t>© 2006 Electric Reliability Council of Texas, Inc. All rights reserved.</w:t>
    </w:r>
    <w:r>
      <w:rPr>
        <w:rStyle w:val="PageNumber"/>
        <w:rFonts w:ascii="Times New Roman" w:hAnsi="Times New Roman"/>
        <w:sz w:val="24"/>
      </w:rPr>
      <w:tab/>
    </w:r>
    <w:r w:rsidR="00442666">
      <w:rPr>
        <w:rStyle w:val="PageNumber"/>
        <w:rFonts w:ascii="Times New Roman" w:hAnsi="Times New Roman"/>
        <w:sz w:val="24"/>
      </w:rPr>
      <w:fldChar w:fldCharType="begin"/>
    </w:r>
    <w:r>
      <w:rPr>
        <w:rStyle w:val="PageNumber"/>
        <w:rFonts w:ascii="Times New Roman" w:hAnsi="Times New Roman"/>
        <w:sz w:val="24"/>
      </w:rPr>
      <w:instrText xml:space="preserve"> PAGE </w:instrText>
    </w:r>
    <w:r w:rsidR="00442666">
      <w:rPr>
        <w:rStyle w:val="PageNumber"/>
        <w:rFonts w:ascii="Times New Roman" w:hAnsi="Times New Roman"/>
        <w:sz w:val="24"/>
      </w:rPr>
      <w:fldChar w:fldCharType="separate"/>
    </w:r>
    <w:r w:rsidR="00E67E9A">
      <w:rPr>
        <w:rStyle w:val="PageNumber"/>
        <w:rFonts w:ascii="Times New Roman" w:hAnsi="Times New Roman"/>
        <w:noProof/>
        <w:sz w:val="24"/>
      </w:rPr>
      <w:t>i</w:t>
    </w:r>
    <w:r w:rsidR="00442666">
      <w:rPr>
        <w:rStyle w:val="PageNumber"/>
        <w:rFonts w:ascii="Times New Roman" w:hAnsi="Times New Roman"/>
        <w:sz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Default="00425BF4" w:rsidP="00302001">
    <w:pPr>
      <w:pStyle w:val="table"/>
      <w:tabs>
        <w:tab w:val="right" w:pos="9360"/>
      </w:tabs>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Default="00442666">
    <w:pPr>
      <w:pStyle w:val="Footer"/>
      <w:jc w:val="right"/>
    </w:pPr>
    <w:fldSimple w:instr=" PAGE   \* MERGEFORMAT ">
      <w:r w:rsidR="00E67E9A">
        <w:rPr>
          <w:noProof/>
        </w:rPr>
        <w:t>29</w:t>
      </w:r>
    </w:fldSimple>
  </w:p>
  <w:p w:rsidR="00425BF4" w:rsidRDefault="00425BF4" w:rsidP="00302001">
    <w:pPr>
      <w:pStyle w:val="table"/>
      <w:tabs>
        <w:tab w:val="right" w:pos="9360"/>
      </w:tabs>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C47" w:rsidRDefault="00A50C47">
      <w:r>
        <w:separator/>
      </w:r>
    </w:p>
  </w:footnote>
  <w:footnote w:type="continuationSeparator" w:id="0">
    <w:p w:rsidR="00A50C47" w:rsidRDefault="00A50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Pr="00400806" w:rsidRDefault="00425BF4" w:rsidP="00302001">
    <w:pPr>
      <w:pStyle w:val="Header"/>
      <w:tabs>
        <w:tab w:val="clear" w:pos="4320"/>
        <w:tab w:val="clear" w:pos="8640"/>
        <w:tab w:val="right" w:pos="9360"/>
      </w:tabs>
      <w:rPr>
        <w:rFonts w:ascii="Arial" w:hAnsi="Arial" w:cs="Arial"/>
        <w:sz w:val="16"/>
        <w:szCs w:val="16"/>
      </w:rPr>
    </w:pPr>
    <w:r>
      <w:rPr>
        <w:rFonts w:ascii="Arial" w:hAnsi="Arial" w:cs="Arial"/>
        <w:sz w:val="16"/>
        <w:szCs w:val="16"/>
      </w:rPr>
      <w:t>2010 ERCOT Target Reserve Margin Study</w:t>
    </w:r>
    <w:r w:rsidRPr="009477A7">
      <w:rPr>
        <w:rFonts w:ascii="Arial" w:hAnsi="Arial" w:cs="Arial"/>
        <w:sz w:val="16"/>
        <w:szCs w:val="16"/>
      </w:rPr>
      <w:tab/>
      <w:t>ERCOT</w:t>
    </w:r>
    <w:r>
      <w:rPr>
        <w:rFonts w:ascii="Arial" w:hAnsi="Arial" w:cs="Arial"/>
        <w:sz w:val="16"/>
        <w:szCs w:val="16"/>
      </w:rPr>
      <w:t xml:space="preserve"> Limited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shd w:val="clear" w:color="auto" w:fill="35608F"/>
      <w:tblLook w:val="01E0"/>
    </w:tblPr>
    <w:tblGrid>
      <w:gridCol w:w="4788"/>
      <w:gridCol w:w="4788"/>
    </w:tblGrid>
    <w:tr w:rsidR="00425BF4" w:rsidTr="00DA730B">
      <w:tc>
        <w:tcPr>
          <w:tcW w:w="2500" w:type="pct"/>
          <w:shd w:val="clear" w:color="auto" w:fill="35608F"/>
          <w:vAlign w:val="center"/>
        </w:tcPr>
        <w:p w:rsidR="00425BF4" w:rsidRPr="00DA730B" w:rsidRDefault="00425BF4" w:rsidP="00DA730B">
          <w:pPr>
            <w:pStyle w:val="Header"/>
            <w:spacing w:before="40" w:after="40"/>
            <w:rPr>
              <w:rFonts w:ascii="Arial" w:hAnsi="Arial" w:cs="Arial"/>
              <w:i/>
              <w:iCs/>
              <w:color w:val="FFFFFF"/>
              <w:sz w:val="16"/>
              <w:szCs w:val="16"/>
            </w:rPr>
          </w:pPr>
          <w:r>
            <w:rPr>
              <w:rFonts w:ascii="Arial" w:hAnsi="Arial" w:cs="Arial"/>
              <w:i/>
              <w:iCs/>
              <w:color w:val="FFFFFF"/>
              <w:sz w:val="16"/>
              <w:szCs w:val="16"/>
            </w:rPr>
            <w:t>ERCOT Limited</w:t>
          </w:r>
        </w:p>
      </w:tc>
      <w:tc>
        <w:tcPr>
          <w:tcW w:w="2500" w:type="pct"/>
          <w:shd w:val="clear" w:color="auto" w:fill="35608F"/>
          <w:vAlign w:val="center"/>
        </w:tcPr>
        <w:p w:rsidR="00425BF4" w:rsidRPr="00DA730B" w:rsidRDefault="00425BF4" w:rsidP="00DA730B">
          <w:pPr>
            <w:pStyle w:val="Header"/>
            <w:spacing w:before="40" w:after="40"/>
            <w:jc w:val="right"/>
            <w:rPr>
              <w:rFonts w:ascii="Arial Black" w:hAnsi="Arial Black"/>
              <w:i/>
              <w:iCs/>
              <w:color w:val="FFFFFF"/>
              <w:sz w:val="18"/>
            </w:rPr>
          </w:pPr>
        </w:p>
      </w:tc>
    </w:tr>
  </w:tbl>
  <w:p w:rsidR="00425BF4" w:rsidRDefault="00425BF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Default="00425BF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Default="00425BF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Default="00425BF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BF4" w:rsidRDefault="00425B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05pt;height:22.8pt" o:bullet="t">
        <v:imagedata r:id="rId1" o:title=""/>
      </v:shape>
    </w:pict>
  </w:numPicBullet>
  <w:numPicBullet w:numPicBulletId="1">
    <w:pict>
      <v:shape id="_x0000_i1029" type="#_x0000_t75" style="width:37.05pt;height:22.8pt" o:bullet="t">
        <v:imagedata r:id="rId2" o:title=""/>
      </v:shape>
    </w:pict>
  </w:numPicBullet>
  <w:abstractNum w:abstractNumId="0">
    <w:nsid w:val="02095386"/>
    <w:multiLevelType w:val="hybridMultilevel"/>
    <w:tmpl w:val="028C037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231873"/>
    <w:multiLevelType w:val="hybridMultilevel"/>
    <w:tmpl w:val="1766F866"/>
    <w:lvl w:ilvl="0" w:tplc="0409000B">
      <w:start w:val="1"/>
      <w:numFmt w:val="bullet"/>
      <w:lvlText w:val=""/>
      <w:lvlJc w:val="left"/>
      <w:pPr>
        <w:ind w:left="1728" w:hanging="360"/>
      </w:pPr>
      <w:rPr>
        <w:rFonts w:ascii="Wingdings" w:hAnsi="Wingdings"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
    <w:nsid w:val="15674105"/>
    <w:multiLevelType w:val="hybridMultilevel"/>
    <w:tmpl w:val="4D400EB2"/>
    <w:lvl w:ilvl="0" w:tplc="570E271E">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1474ECD6" w:tentative="1">
      <w:start w:val="1"/>
      <w:numFmt w:val="bullet"/>
      <w:lvlText w:val="–"/>
      <w:lvlJc w:val="left"/>
      <w:pPr>
        <w:tabs>
          <w:tab w:val="num" w:pos="2160"/>
        </w:tabs>
        <w:ind w:left="2160" w:hanging="360"/>
      </w:pPr>
      <w:rPr>
        <w:rFonts w:ascii="Times New Roman" w:hAnsi="Times New Roman" w:hint="default"/>
      </w:rPr>
    </w:lvl>
    <w:lvl w:ilvl="3" w:tplc="5E707FC2" w:tentative="1">
      <w:start w:val="1"/>
      <w:numFmt w:val="bullet"/>
      <w:lvlText w:val="–"/>
      <w:lvlJc w:val="left"/>
      <w:pPr>
        <w:tabs>
          <w:tab w:val="num" w:pos="2880"/>
        </w:tabs>
        <w:ind w:left="2880" w:hanging="360"/>
      </w:pPr>
      <w:rPr>
        <w:rFonts w:ascii="Times New Roman" w:hAnsi="Times New Roman" w:hint="default"/>
      </w:rPr>
    </w:lvl>
    <w:lvl w:ilvl="4" w:tplc="9F5C1F3C" w:tentative="1">
      <w:start w:val="1"/>
      <w:numFmt w:val="bullet"/>
      <w:lvlText w:val="–"/>
      <w:lvlJc w:val="left"/>
      <w:pPr>
        <w:tabs>
          <w:tab w:val="num" w:pos="3600"/>
        </w:tabs>
        <w:ind w:left="3600" w:hanging="360"/>
      </w:pPr>
      <w:rPr>
        <w:rFonts w:ascii="Times New Roman" w:hAnsi="Times New Roman" w:hint="default"/>
      </w:rPr>
    </w:lvl>
    <w:lvl w:ilvl="5" w:tplc="9DA8D40A" w:tentative="1">
      <w:start w:val="1"/>
      <w:numFmt w:val="bullet"/>
      <w:lvlText w:val="–"/>
      <w:lvlJc w:val="left"/>
      <w:pPr>
        <w:tabs>
          <w:tab w:val="num" w:pos="4320"/>
        </w:tabs>
        <w:ind w:left="4320" w:hanging="360"/>
      </w:pPr>
      <w:rPr>
        <w:rFonts w:ascii="Times New Roman" w:hAnsi="Times New Roman" w:hint="default"/>
      </w:rPr>
    </w:lvl>
    <w:lvl w:ilvl="6" w:tplc="18AE26D8" w:tentative="1">
      <w:start w:val="1"/>
      <w:numFmt w:val="bullet"/>
      <w:lvlText w:val="–"/>
      <w:lvlJc w:val="left"/>
      <w:pPr>
        <w:tabs>
          <w:tab w:val="num" w:pos="5040"/>
        </w:tabs>
        <w:ind w:left="5040" w:hanging="360"/>
      </w:pPr>
      <w:rPr>
        <w:rFonts w:ascii="Times New Roman" w:hAnsi="Times New Roman" w:hint="default"/>
      </w:rPr>
    </w:lvl>
    <w:lvl w:ilvl="7" w:tplc="B8AC473A" w:tentative="1">
      <w:start w:val="1"/>
      <w:numFmt w:val="bullet"/>
      <w:lvlText w:val="–"/>
      <w:lvlJc w:val="left"/>
      <w:pPr>
        <w:tabs>
          <w:tab w:val="num" w:pos="5760"/>
        </w:tabs>
        <w:ind w:left="5760" w:hanging="360"/>
      </w:pPr>
      <w:rPr>
        <w:rFonts w:ascii="Times New Roman" w:hAnsi="Times New Roman" w:hint="default"/>
      </w:rPr>
    </w:lvl>
    <w:lvl w:ilvl="8" w:tplc="FC2855B4"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864586"/>
    <w:multiLevelType w:val="hybridMultilevel"/>
    <w:tmpl w:val="B8BEC6E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nsid w:val="19F91FD2"/>
    <w:multiLevelType w:val="multilevel"/>
    <w:tmpl w:val="B6A2E2B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972"/>
        </w:tabs>
        <w:ind w:left="97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
    <w:nsid w:val="214B6393"/>
    <w:multiLevelType w:val="hybridMultilevel"/>
    <w:tmpl w:val="A894DB50"/>
    <w:lvl w:ilvl="0" w:tplc="4B6E3A14">
      <w:start w:val="1"/>
      <w:numFmt w:val="bullet"/>
      <w:lvlText w:val="–"/>
      <w:lvlJc w:val="left"/>
      <w:pPr>
        <w:tabs>
          <w:tab w:val="num" w:pos="720"/>
        </w:tabs>
        <w:ind w:left="720" w:hanging="360"/>
      </w:pPr>
      <w:rPr>
        <w:rFonts w:ascii="Times New Roman" w:hAnsi="Times New Roman" w:hint="default"/>
      </w:rPr>
    </w:lvl>
    <w:lvl w:ilvl="1" w:tplc="75FA73E4">
      <w:start w:val="1"/>
      <w:numFmt w:val="bullet"/>
      <w:lvlText w:val="–"/>
      <w:lvlJc w:val="left"/>
      <w:pPr>
        <w:tabs>
          <w:tab w:val="num" w:pos="1440"/>
        </w:tabs>
        <w:ind w:left="1440" w:hanging="360"/>
      </w:pPr>
      <w:rPr>
        <w:rFonts w:ascii="Times New Roman" w:hAnsi="Times New Roman" w:hint="default"/>
      </w:rPr>
    </w:lvl>
    <w:lvl w:ilvl="2" w:tplc="6B1CADE0" w:tentative="1">
      <w:start w:val="1"/>
      <w:numFmt w:val="bullet"/>
      <w:lvlText w:val="–"/>
      <w:lvlJc w:val="left"/>
      <w:pPr>
        <w:tabs>
          <w:tab w:val="num" w:pos="2160"/>
        </w:tabs>
        <w:ind w:left="2160" w:hanging="360"/>
      </w:pPr>
      <w:rPr>
        <w:rFonts w:ascii="Times New Roman" w:hAnsi="Times New Roman" w:hint="default"/>
      </w:rPr>
    </w:lvl>
    <w:lvl w:ilvl="3" w:tplc="07BC2A46" w:tentative="1">
      <w:start w:val="1"/>
      <w:numFmt w:val="bullet"/>
      <w:lvlText w:val="–"/>
      <w:lvlJc w:val="left"/>
      <w:pPr>
        <w:tabs>
          <w:tab w:val="num" w:pos="2880"/>
        </w:tabs>
        <w:ind w:left="2880" w:hanging="360"/>
      </w:pPr>
      <w:rPr>
        <w:rFonts w:ascii="Times New Roman" w:hAnsi="Times New Roman" w:hint="default"/>
      </w:rPr>
    </w:lvl>
    <w:lvl w:ilvl="4" w:tplc="13529F70" w:tentative="1">
      <w:start w:val="1"/>
      <w:numFmt w:val="bullet"/>
      <w:lvlText w:val="–"/>
      <w:lvlJc w:val="left"/>
      <w:pPr>
        <w:tabs>
          <w:tab w:val="num" w:pos="3600"/>
        </w:tabs>
        <w:ind w:left="3600" w:hanging="360"/>
      </w:pPr>
      <w:rPr>
        <w:rFonts w:ascii="Times New Roman" w:hAnsi="Times New Roman" w:hint="default"/>
      </w:rPr>
    </w:lvl>
    <w:lvl w:ilvl="5" w:tplc="34866A72" w:tentative="1">
      <w:start w:val="1"/>
      <w:numFmt w:val="bullet"/>
      <w:lvlText w:val="–"/>
      <w:lvlJc w:val="left"/>
      <w:pPr>
        <w:tabs>
          <w:tab w:val="num" w:pos="4320"/>
        </w:tabs>
        <w:ind w:left="4320" w:hanging="360"/>
      </w:pPr>
      <w:rPr>
        <w:rFonts w:ascii="Times New Roman" w:hAnsi="Times New Roman" w:hint="default"/>
      </w:rPr>
    </w:lvl>
    <w:lvl w:ilvl="6" w:tplc="EE609130" w:tentative="1">
      <w:start w:val="1"/>
      <w:numFmt w:val="bullet"/>
      <w:lvlText w:val="–"/>
      <w:lvlJc w:val="left"/>
      <w:pPr>
        <w:tabs>
          <w:tab w:val="num" w:pos="5040"/>
        </w:tabs>
        <w:ind w:left="5040" w:hanging="360"/>
      </w:pPr>
      <w:rPr>
        <w:rFonts w:ascii="Times New Roman" w:hAnsi="Times New Roman" w:hint="default"/>
      </w:rPr>
    </w:lvl>
    <w:lvl w:ilvl="7" w:tplc="62F82EBC" w:tentative="1">
      <w:start w:val="1"/>
      <w:numFmt w:val="bullet"/>
      <w:lvlText w:val="–"/>
      <w:lvlJc w:val="left"/>
      <w:pPr>
        <w:tabs>
          <w:tab w:val="num" w:pos="5760"/>
        </w:tabs>
        <w:ind w:left="5760" w:hanging="360"/>
      </w:pPr>
      <w:rPr>
        <w:rFonts w:ascii="Times New Roman" w:hAnsi="Times New Roman" w:hint="default"/>
      </w:rPr>
    </w:lvl>
    <w:lvl w:ilvl="8" w:tplc="4B546D52" w:tentative="1">
      <w:start w:val="1"/>
      <w:numFmt w:val="bullet"/>
      <w:lvlText w:val="–"/>
      <w:lvlJc w:val="left"/>
      <w:pPr>
        <w:tabs>
          <w:tab w:val="num" w:pos="6480"/>
        </w:tabs>
        <w:ind w:left="6480" w:hanging="360"/>
      </w:pPr>
      <w:rPr>
        <w:rFonts w:ascii="Times New Roman" w:hAnsi="Times New Roman" w:hint="default"/>
      </w:rPr>
    </w:lvl>
  </w:abstractNum>
  <w:abstractNum w:abstractNumId="8">
    <w:nsid w:val="310301BA"/>
    <w:multiLevelType w:val="hybridMultilevel"/>
    <w:tmpl w:val="E3F2712A"/>
    <w:lvl w:ilvl="0" w:tplc="40CC5C5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26047B"/>
    <w:multiLevelType w:val="hybridMultilevel"/>
    <w:tmpl w:val="25824A0E"/>
    <w:lvl w:ilvl="0" w:tplc="5254E01E">
      <w:start w:val="1"/>
      <w:numFmt w:val="bullet"/>
      <w:lvlText w:val="–"/>
      <w:lvlJc w:val="left"/>
      <w:pPr>
        <w:tabs>
          <w:tab w:val="num" w:pos="720"/>
        </w:tabs>
        <w:ind w:left="720" w:hanging="360"/>
      </w:pPr>
      <w:rPr>
        <w:rFonts w:ascii="Times New Roman" w:hAnsi="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4B8EEAB0" w:tentative="1">
      <w:start w:val="1"/>
      <w:numFmt w:val="bullet"/>
      <w:lvlText w:val="–"/>
      <w:lvlJc w:val="left"/>
      <w:pPr>
        <w:tabs>
          <w:tab w:val="num" w:pos="2160"/>
        </w:tabs>
        <w:ind w:left="2160" w:hanging="360"/>
      </w:pPr>
      <w:rPr>
        <w:rFonts w:ascii="Times New Roman" w:hAnsi="Times New Roman" w:hint="default"/>
      </w:rPr>
    </w:lvl>
    <w:lvl w:ilvl="3" w:tplc="FF480D1E" w:tentative="1">
      <w:start w:val="1"/>
      <w:numFmt w:val="bullet"/>
      <w:lvlText w:val="–"/>
      <w:lvlJc w:val="left"/>
      <w:pPr>
        <w:tabs>
          <w:tab w:val="num" w:pos="2880"/>
        </w:tabs>
        <w:ind w:left="2880" w:hanging="360"/>
      </w:pPr>
      <w:rPr>
        <w:rFonts w:ascii="Times New Roman" w:hAnsi="Times New Roman" w:hint="default"/>
      </w:rPr>
    </w:lvl>
    <w:lvl w:ilvl="4" w:tplc="9A5E81A4" w:tentative="1">
      <w:start w:val="1"/>
      <w:numFmt w:val="bullet"/>
      <w:lvlText w:val="–"/>
      <w:lvlJc w:val="left"/>
      <w:pPr>
        <w:tabs>
          <w:tab w:val="num" w:pos="3600"/>
        </w:tabs>
        <w:ind w:left="3600" w:hanging="360"/>
      </w:pPr>
      <w:rPr>
        <w:rFonts w:ascii="Times New Roman" w:hAnsi="Times New Roman" w:hint="default"/>
      </w:rPr>
    </w:lvl>
    <w:lvl w:ilvl="5" w:tplc="00646E94" w:tentative="1">
      <w:start w:val="1"/>
      <w:numFmt w:val="bullet"/>
      <w:lvlText w:val="–"/>
      <w:lvlJc w:val="left"/>
      <w:pPr>
        <w:tabs>
          <w:tab w:val="num" w:pos="4320"/>
        </w:tabs>
        <w:ind w:left="4320" w:hanging="360"/>
      </w:pPr>
      <w:rPr>
        <w:rFonts w:ascii="Times New Roman" w:hAnsi="Times New Roman" w:hint="default"/>
      </w:rPr>
    </w:lvl>
    <w:lvl w:ilvl="6" w:tplc="C5B07D4C" w:tentative="1">
      <w:start w:val="1"/>
      <w:numFmt w:val="bullet"/>
      <w:lvlText w:val="–"/>
      <w:lvlJc w:val="left"/>
      <w:pPr>
        <w:tabs>
          <w:tab w:val="num" w:pos="5040"/>
        </w:tabs>
        <w:ind w:left="5040" w:hanging="360"/>
      </w:pPr>
      <w:rPr>
        <w:rFonts w:ascii="Times New Roman" w:hAnsi="Times New Roman" w:hint="default"/>
      </w:rPr>
    </w:lvl>
    <w:lvl w:ilvl="7" w:tplc="3D9275CC" w:tentative="1">
      <w:start w:val="1"/>
      <w:numFmt w:val="bullet"/>
      <w:lvlText w:val="–"/>
      <w:lvlJc w:val="left"/>
      <w:pPr>
        <w:tabs>
          <w:tab w:val="num" w:pos="5760"/>
        </w:tabs>
        <w:ind w:left="5760" w:hanging="360"/>
      </w:pPr>
      <w:rPr>
        <w:rFonts w:ascii="Times New Roman" w:hAnsi="Times New Roman" w:hint="default"/>
      </w:rPr>
    </w:lvl>
    <w:lvl w:ilvl="8" w:tplc="9678DEC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0854075"/>
    <w:multiLevelType w:val="hybridMultilevel"/>
    <w:tmpl w:val="4114059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55457684"/>
    <w:multiLevelType w:val="hybridMultilevel"/>
    <w:tmpl w:val="EBEAF3A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5672099B"/>
    <w:multiLevelType w:val="hybridMultilevel"/>
    <w:tmpl w:val="30FE0E0C"/>
    <w:lvl w:ilvl="0" w:tplc="46907650">
      <w:start w:val="1"/>
      <w:numFmt w:val="bullet"/>
      <w:pStyle w:val="bulletlevel2"/>
      <w:lvlText w:val="­"/>
      <w:lvlJc w:val="left"/>
      <w:pPr>
        <w:tabs>
          <w:tab w:val="num" w:pos="1800"/>
        </w:tabs>
        <w:ind w:left="1800" w:hanging="360"/>
      </w:pPr>
      <w:rPr>
        <w:rFonts w:ascii="Courier New" w:hAnsi="Courier New" w:hint="default"/>
      </w:rPr>
    </w:lvl>
    <w:lvl w:ilvl="1" w:tplc="736ECCC8">
      <w:start w:val="1"/>
      <w:numFmt w:val="bullet"/>
      <w:lvlText w:val="o"/>
      <w:lvlJc w:val="left"/>
      <w:pPr>
        <w:tabs>
          <w:tab w:val="num" w:pos="2016"/>
        </w:tabs>
        <w:ind w:left="2016" w:hanging="360"/>
      </w:pPr>
      <w:rPr>
        <w:rFonts w:ascii="Courier New" w:hAnsi="Courier New" w:cs="Courier New" w:hint="default"/>
      </w:rPr>
    </w:lvl>
    <w:lvl w:ilvl="2" w:tplc="C08A2674" w:tentative="1">
      <w:start w:val="1"/>
      <w:numFmt w:val="bullet"/>
      <w:lvlText w:val=""/>
      <w:lvlJc w:val="left"/>
      <w:pPr>
        <w:tabs>
          <w:tab w:val="num" w:pos="2736"/>
        </w:tabs>
        <w:ind w:left="2736" w:hanging="360"/>
      </w:pPr>
      <w:rPr>
        <w:rFonts w:ascii="Wingdings" w:hAnsi="Wingdings" w:hint="default"/>
      </w:rPr>
    </w:lvl>
    <w:lvl w:ilvl="3" w:tplc="9C2E0114" w:tentative="1">
      <w:start w:val="1"/>
      <w:numFmt w:val="bullet"/>
      <w:lvlText w:val=""/>
      <w:lvlJc w:val="left"/>
      <w:pPr>
        <w:tabs>
          <w:tab w:val="num" w:pos="3456"/>
        </w:tabs>
        <w:ind w:left="3456" w:hanging="360"/>
      </w:pPr>
      <w:rPr>
        <w:rFonts w:ascii="Symbol" w:hAnsi="Symbol" w:hint="default"/>
      </w:rPr>
    </w:lvl>
    <w:lvl w:ilvl="4" w:tplc="D7D24266" w:tentative="1">
      <w:start w:val="1"/>
      <w:numFmt w:val="bullet"/>
      <w:lvlText w:val="o"/>
      <w:lvlJc w:val="left"/>
      <w:pPr>
        <w:tabs>
          <w:tab w:val="num" w:pos="4176"/>
        </w:tabs>
        <w:ind w:left="4176" w:hanging="360"/>
      </w:pPr>
      <w:rPr>
        <w:rFonts w:ascii="Courier New" w:hAnsi="Courier New" w:cs="Courier New" w:hint="default"/>
      </w:rPr>
    </w:lvl>
    <w:lvl w:ilvl="5" w:tplc="992C9C5A" w:tentative="1">
      <w:start w:val="1"/>
      <w:numFmt w:val="bullet"/>
      <w:lvlText w:val=""/>
      <w:lvlJc w:val="left"/>
      <w:pPr>
        <w:tabs>
          <w:tab w:val="num" w:pos="4896"/>
        </w:tabs>
        <w:ind w:left="4896" w:hanging="360"/>
      </w:pPr>
      <w:rPr>
        <w:rFonts w:ascii="Wingdings" w:hAnsi="Wingdings" w:hint="default"/>
      </w:rPr>
    </w:lvl>
    <w:lvl w:ilvl="6" w:tplc="BA8659BA" w:tentative="1">
      <w:start w:val="1"/>
      <w:numFmt w:val="bullet"/>
      <w:lvlText w:val=""/>
      <w:lvlJc w:val="left"/>
      <w:pPr>
        <w:tabs>
          <w:tab w:val="num" w:pos="5616"/>
        </w:tabs>
        <w:ind w:left="5616" w:hanging="360"/>
      </w:pPr>
      <w:rPr>
        <w:rFonts w:ascii="Symbol" w:hAnsi="Symbol" w:hint="default"/>
      </w:rPr>
    </w:lvl>
    <w:lvl w:ilvl="7" w:tplc="9BDA7FF4" w:tentative="1">
      <w:start w:val="1"/>
      <w:numFmt w:val="bullet"/>
      <w:lvlText w:val="o"/>
      <w:lvlJc w:val="left"/>
      <w:pPr>
        <w:tabs>
          <w:tab w:val="num" w:pos="6336"/>
        </w:tabs>
        <w:ind w:left="6336" w:hanging="360"/>
      </w:pPr>
      <w:rPr>
        <w:rFonts w:ascii="Courier New" w:hAnsi="Courier New" w:cs="Courier New" w:hint="default"/>
      </w:rPr>
    </w:lvl>
    <w:lvl w:ilvl="8" w:tplc="444C706C" w:tentative="1">
      <w:start w:val="1"/>
      <w:numFmt w:val="bullet"/>
      <w:lvlText w:val=""/>
      <w:lvlJc w:val="left"/>
      <w:pPr>
        <w:tabs>
          <w:tab w:val="num" w:pos="7056"/>
        </w:tabs>
        <w:ind w:left="7056" w:hanging="360"/>
      </w:pPr>
      <w:rPr>
        <w:rFonts w:ascii="Wingdings" w:hAnsi="Wingdings" w:hint="default"/>
      </w:rPr>
    </w:lvl>
  </w:abstractNum>
  <w:abstractNum w:abstractNumId="16">
    <w:nsid w:val="57EE08D8"/>
    <w:multiLevelType w:val="hybridMultilevel"/>
    <w:tmpl w:val="EE76CCD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7">
    <w:nsid w:val="5A5D6814"/>
    <w:multiLevelType w:val="hybridMultilevel"/>
    <w:tmpl w:val="2D9ABD1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D91DB5"/>
    <w:multiLevelType w:val="hybridMultilevel"/>
    <w:tmpl w:val="C248EF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F65655B"/>
    <w:multiLevelType w:val="hybridMultilevel"/>
    <w:tmpl w:val="06ECFBDE"/>
    <w:lvl w:ilvl="0" w:tplc="370299FA">
      <w:start w:val="1"/>
      <w:numFmt w:val="bullet"/>
      <w:lvlText w:val=""/>
      <w:lvlJc w:val="left"/>
      <w:pPr>
        <w:ind w:left="1440" w:hanging="360"/>
      </w:pPr>
      <w:rPr>
        <w:rFonts w:ascii="Wingdings" w:hAnsi="Wingding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4EE54CB"/>
    <w:multiLevelType w:val="hybridMultilevel"/>
    <w:tmpl w:val="68C4867E"/>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6"/>
  </w:num>
  <w:num w:numId="2">
    <w:abstractNumId w:val="15"/>
  </w:num>
  <w:num w:numId="3">
    <w:abstractNumId w:val="12"/>
  </w:num>
  <w:num w:numId="4">
    <w:abstractNumId w:val="14"/>
  </w:num>
  <w:num w:numId="5">
    <w:abstractNumId w:val="4"/>
  </w:num>
  <w:num w:numId="6">
    <w:abstractNumId w:val="5"/>
  </w:num>
  <w:num w:numId="7">
    <w:abstractNumId w:val="10"/>
  </w:num>
  <w:num w:numId="8">
    <w:abstractNumId w:val="0"/>
  </w:num>
  <w:num w:numId="9">
    <w:abstractNumId w:val="3"/>
  </w:num>
  <w:num w:numId="10">
    <w:abstractNumId w:val="20"/>
  </w:num>
  <w:num w:numId="11">
    <w:abstractNumId w:val="19"/>
  </w:num>
  <w:num w:numId="12">
    <w:abstractNumId w:val="1"/>
  </w:num>
  <w:num w:numId="13">
    <w:abstractNumId w:val="18"/>
  </w:num>
  <w:num w:numId="14">
    <w:abstractNumId w:val="16"/>
  </w:num>
  <w:num w:numId="15">
    <w:abstractNumId w:val="11"/>
  </w:num>
  <w:num w:numId="16">
    <w:abstractNumId w:val="13"/>
  </w:num>
  <w:num w:numId="17">
    <w:abstractNumId w:val="17"/>
  </w:num>
  <w:num w:numId="18">
    <w:abstractNumId w:val="9"/>
  </w:num>
  <w:num w:numId="19">
    <w:abstractNumId w:val="2"/>
  </w:num>
  <w:num w:numId="20">
    <w:abstractNumId w:val="7"/>
  </w:num>
  <w:num w:numId="21">
    <w:abstractNumId w:val="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attachedTemplate r:id="rId1"/>
  <w:stylePaneFormatFilter w:val="3F01"/>
  <w:defaultTabStop w:val="720"/>
  <w:noPunctuationKerning/>
  <w:characterSpacingControl w:val="doNotCompress"/>
  <w:hdrShapeDefaults>
    <o:shapedefaults v:ext="edit" spidmax="6146"/>
  </w:hdrShapeDefaults>
  <w:footnotePr>
    <w:footnote w:id="-1"/>
    <w:footnote w:id="0"/>
  </w:footnotePr>
  <w:endnotePr>
    <w:endnote w:id="-1"/>
    <w:endnote w:id="0"/>
  </w:endnotePr>
  <w:compat/>
  <w:rsids>
    <w:rsidRoot w:val="002F68F1"/>
    <w:rsid w:val="0000200C"/>
    <w:rsid w:val="00002163"/>
    <w:rsid w:val="00002ABE"/>
    <w:rsid w:val="00003986"/>
    <w:rsid w:val="00005FE3"/>
    <w:rsid w:val="00006634"/>
    <w:rsid w:val="00010A30"/>
    <w:rsid w:val="00016333"/>
    <w:rsid w:val="00017DD6"/>
    <w:rsid w:val="00021320"/>
    <w:rsid w:val="00021C9A"/>
    <w:rsid w:val="00023BF3"/>
    <w:rsid w:val="00026313"/>
    <w:rsid w:val="00026479"/>
    <w:rsid w:val="00031636"/>
    <w:rsid w:val="00033E63"/>
    <w:rsid w:val="000346A3"/>
    <w:rsid w:val="00034ACA"/>
    <w:rsid w:val="00036F6E"/>
    <w:rsid w:val="00037C30"/>
    <w:rsid w:val="0004057A"/>
    <w:rsid w:val="000419A8"/>
    <w:rsid w:val="0004665D"/>
    <w:rsid w:val="00046794"/>
    <w:rsid w:val="00050021"/>
    <w:rsid w:val="00051980"/>
    <w:rsid w:val="00051C80"/>
    <w:rsid w:val="000523C6"/>
    <w:rsid w:val="000532C9"/>
    <w:rsid w:val="00061DAF"/>
    <w:rsid w:val="00062311"/>
    <w:rsid w:val="00063F24"/>
    <w:rsid w:val="000660FD"/>
    <w:rsid w:val="0007013F"/>
    <w:rsid w:val="0007030C"/>
    <w:rsid w:val="000715D0"/>
    <w:rsid w:val="0007384F"/>
    <w:rsid w:val="00074EC8"/>
    <w:rsid w:val="00082816"/>
    <w:rsid w:val="0008593E"/>
    <w:rsid w:val="00086FAF"/>
    <w:rsid w:val="000971C8"/>
    <w:rsid w:val="00097ACC"/>
    <w:rsid w:val="000A18F3"/>
    <w:rsid w:val="000A34AF"/>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E7C83"/>
    <w:rsid w:val="000F2353"/>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0EE8"/>
    <w:rsid w:val="00151B27"/>
    <w:rsid w:val="00153446"/>
    <w:rsid w:val="001547F4"/>
    <w:rsid w:val="00155E89"/>
    <w:rsid w:val="00165001"/>
    <w:rsid w:val="0017100B"/>
    <w:rsid w:val="00172D20"/>
    <w:rsid w:val="00172F6F"/>
    <w:rsid w:val="00176A8B"/>
    <w:rsid w:val="00177778"/>
    <w:rsid w:val="00183540"/>
    <w:rsid w:val="00183D28"/>
    <w:rsid w:val="00185C59"/>
    <w:rsid w:val="00191A0B"/>
    <w:rsid w:val="001A103D"/>
    <w:rsid w:val="001A131B"/>
    <w:rsid w:val="001A1B56"/>
    <w:rsid w:val="001A3AC3"/>
    <w:rsid w:val="001A49F4"/>
    <w:rsid w:val="001B3654"/>
    <w:rsid w:val="001B6121"/>
    <w:rsid w:val="001C1B66"/>
    <w:rsid w:val="001C25FF"/>
    <w:rsid w:val="001C38D3"/>
    <w:rsid w:val="001C53C6"/>
    <w:rsid w:val="001C6428"/>
    <w:rsid w:val="001C76AB"/>
    <w:rsid w:val="001D0721"/>
    <w:rsid w:val="001D3CD4"/>
    <w:rsid w:val="001D4A2D"/>
    <w:rsid w:val="001D6AFE"/>
    <w:rsid w:val="001E376F"/>
    <w:rsid w:val="001E4652"/>
    <w:rsid w:val="001E5B7D"/>
    <w:rsid w:val="001E75E6"/>
    <w:rsid w:val="001F02CD"/>
    <w:rsid w:val="001F1640"/>
    <w:rsid w:val="001F3547"/>
    <w:rsid w:val="001F362E"/>
    <w:rsid w:val="001F36CA"/>
    <w:rsid w:val="001F3F1B"/>
    <w:rsid w:val="001F7C8D"/>
    <w:rsid w:val="00200290"/>
    <w:rsid w:val="00202D4D"/>
    <w:rsid w:val="00203190"/>
    <w:rsid w:val="00204369"/>
    <w:rsid w:val="002060D7"/>
    <w:rsid w:val="002105DD"/>
    <w:rsid w:val="002118C9"/>
    <w:rsid w:val="002129A3"/>
    <w:rsid w:val="0021708C"/>
    <w:rsid w:val="002227A5"/>
    <w:rsid w:val="00223F83"/>
    <w:rsid w:val="00224872"/>
    <w:rsid w:val="00225610"/>
    <w:rsid w:val="002261F3"/>
    <w:rsid w:val="00230AD9"/>
    <w:rsid w:val="00230C1B"/>
    <w:rsid w:val="002326F0"/>
    <w:rsid w:val="00234B7B"/>
    <w:rsid w:val="0024094C"/>
    <w:rsid w:val="00243795"/>
    <w:rsid w:val="00244B92"/>
    <w:rsid w:val="002472CF"/>
    <w:rsid w:val="0025322A"/>
    <w:rsid w:val="002535DA"/>
    <w:rsid w:val="00254584"/>
    <w:rsid w:val="00254EA7"/>
    <w:rsid w:val="0025658D"/>
    <w:rsid w:val="0025762A"/>
    <w:rsid w:val="002622DC"/>
    <w:rsid w:val="00263E95"/>
    <w:rsid w:val="0027026F"/>
    <w:rsid w:val="00272F5D"/>
    <w:rsid w:val="002740EA"/>
    <w:rsid w:val="00276D89"/>
    <w:rsid w:val="00276F60"/>
    <w:rsid w:val="002801D8"/>
    <w:rsid w:val="00281B16"/>
    <w:rsid w:val="0028233A"/>
    <w:rsid w:val="002825A6"/>
    <w:rsid w:val="00284BF4"/>
    <w:rsid w:val="00291D06"/>
    <w:rsid w:val="002928E2"/>
    <w:rsid w:val="0029293D"/>
    <w:rsid w:val="002929E6"/>
    <w:rsid w:val="002931CE"/>
    <w:rsid w:val="002972D1"/>
    <w:rsid w:val="00297D8C"/>
    <w:rsid w:val="002A1200"/>
    <w:rsid w:val="002A2B82"/>
    <w:rsid w:val="002A57A5"/>
    <w:rsid w:val="002A5964"/>
    <w:rsid w:val="002A758D"/>
    <w:rsid w:val="002A7C0F"/>
    <w:rsid w:val="002B2E41"/>
    <w:rsid w:val="002B2FE4"/>
    <w:rsid w:val="002B5182"/>
    <w:rsid w:val="002B58A6"/>
    <w:rsid w:val="002C156B"/>
    <w:rsid w:val="002C5793"/>
    <w:rsid w:val="002C7AB9"/>
    <w:rsid w:val="002D10AF"/>
    <w:rsid w:val="002D354C"/>
    <w:rsid w:val="002D498C"/>
    <w:rsid w:val="002D4D91"/>
    <w:rsid w:val="002E04E4"/>
    <w:rsid w:val="002E21FD"/>
    <w:rsid w:val="002E2AA1"/>
    <w:rsid w:val="002E2C50"/>
    <w:rsid w:val="002E55A1"/>
    <w:rsid w:val="002E605E"/>
    <w:rsid w:val="002F1CCD"/>
    <w:rsid w:val="002F268D"/>
    <w:rsid w:val="002F3EC7"/>
    <w:rsid w:val="002F56C2"/>
    <w:rsid w:val="002F58B7"/>
    <w:rsid w:val="002F68F1"/>
    <w:rsid w:val="002F6EC2"/>
    <w:rsid w:val="00300838"/>
    <w:rsid w:val="00300E27"/>
    <w:rsid w:val="00302001"/>
    <w:rsid w:val="0030207C"/>
    <w:rsid w:val="00305AC8"/>
    <w:rsid w:val="003073E6"/>
    <w:rsid w:val="003108E0"/>
    <w:rsid w:val="003119F7"/>
    <w:rsid w:val="0031213C"/>
    <w:rsid w:val="003143FB"/>
    <w:rsid w:val="003145E5"/>
    <w:rsid w:val="00315B16"/>
    <w:rsid w:val="00316161"/>
    <w:rsid w:val="00322717"/>
    <w:rsid w:val="0032342A"/>
    <w:rsid w:val="00323F72"/>
    <w:rsid w:val="00324B55"/>
    <w:rsid w:val="00331EA8"/>
    <w:rsid w:val="00332C24"/>
    <w:rsid w:val="00334865"/>
    <w:rsid w:val="003348A5"/>
    <w:rsid w:val="00335F35"/>
    <w:rsid w:val="003434F9"/>
    <w:rsid w:val="00344AC0"/>
    <w:rsid w:val="00355C0B"/>
    <w:rsid w:val="00357BD3"/>
    <w:rsid w:val="00362FC8"/>
    <w:rsid w:val="0036371D"/>
    <w:rsid w:val="00363D03"/>
    <w:rsid w:val="00364865"/>
    <w:rsid w:val="00364CEE"/>
    <w:rsid w:val="00367F33"/>
    <w:rsid w:val="00371037"/>
    <w:rsid w:val="00371AA5"/>
    <w:rsid w:val="00372A69"/>
    <w:rsid w:val="00372F2A"/>
    <w:rsid w:val="00374646"/>
    <w:rsid w:val="00375CCE"/>
    <w:rsid w:val="0037733A"/>
    <w:rsid w:val="00383EEE"/>
    <w:rsid w:val="00385204"/>
    <w:rsid w:val="00386149"/>
    <w:rsid w:val="0038636F"/>
    <w:rsid w:val="00387971"/>
    <w:rsid w:val="00390091"/>
    <w:rsid w:val="00390A89"/>
    <w:rsid w:val="00397D7C"/>
    <w:rsid w:val="00397FD4"/>
    <w:rsid w:val="003A13BB"/>
    <w:rsid w:val="003A5C3B"/>
    <w:rsid w:val="003B23AC"/>
    <w:rsid w:val="003B3438"/>
    <w:rsid w:val="003B3CD5"/>
    <w:rsid w:val="003B4577"/>
    <w:rsid w:val="003B59E6"/>
    <w:rsid w:val="003C02FD"/>
    <w:rsid w:val="003C0537"/>
    <w:rsid w:val="003C0B0E"/>
    <w:rsid w:val="003C221E"/>
    <w:rsid w:val="003C4E29"/>
    <w:rsid w:val="003C5767"/>
    <w:rsid w:val="003C6320"/>
    <w:rsid w:val="003C6D15"/>
    <w:rsid w:val="003D4462"/>
    <w:rsid w:val="003E66F4"/>
    <w:rsid w:val="003E67BA"/>
    <w:rsid w:val="003F2CB5"/>
    <w:rsid w:val="003F2E87"/>
    <w:rsid w:val="003F2FE1"/>
    <w:rsid w:val="003F3D05"/>
    <w:rsid w:val="003F6439"/>
    <w:rsid w:val="003F6BE0"/>
    <w:rsid w:val="003F7B1C"/>
    <w:rsid w:val="00400806"/>
    <w:rsid w:val="004021F0"/>
    <w:rsid w:val="0040249F"/>
    <w:rsid w:val="004027BB"/>
    <w:rsid w:val="004073DE"/>
    <w:rsid w:val="00411B1B"/>
    <w:rsid w:val="00412CFB"/>
    <w:rsid w:val="0041518E"/>
    <w:rsid w:val="0041541F"/>
    <w:rsid w:val="004170E9"/>
    <w:rsid w:val="0042112D"/>
    <w:rsid w:val="0042378B"/>
    <w:rsid w:val="0042473F"/>
    <w:rsid w:val="004247A7"/>
    <w:rsid w:val="00425BF4"/>
    <w:rsid w:val="00426B92"/>
    <w:rsid w:val="00426CE8"/>
    <w:rsid w:val="0043025C"/>
    <w:rsid w:val="00431327"/>
    <w:rsid w:val="00431329"/>
    <w:rsid w:val="00431912"/>
    <w:rsid w:val="00432FE8"/>
    <w:rsid w:val="004330A5"/>
    <w:rsid w:val="00434E97"/>
    <w:rsid w:val="0044031F"/>
    <w:rsid w:val="004406A8"/>
    <w:rsid w:val="00441AFB"/>
    <w:rsid w:val="00441D3A"/>
    <w:rsid w:val="00442666"/>
    <w:rsid w:val="0044594C"/>
    <w:rsid w:val="004472D5"/>
    <w:rsid w:val="004510CB"/>
    <w:rsid w:val="0045575E"/>
    <w:rsid w:val="00455A55"/>
    <w:rsid w:val="004573DE"/>
    <w:rsid w:val="00457BDE"/>
    <w:rsid w:val="00457E70"/>
    <w:rsid w:val="00460F6D"/>
    <w:rsid w:val="00461674"/>
    <w:rsid w:val="00461F25"/>
    <w:rsid w:val="00462073"/>
    <w:rsid w:val="00462B08"/>
    <w:rsid w:val="00462B49"/>
    <w:rsid w:val="004630C0"/>
    <w:rsid w:val="004676AC"/>
    <w:rsid w:val="00467AD6"/>
    <w:rsid w:val="00471667"/>
    <w:rsid w:val="004734CD"/>
    <w:rsid w:val="00476AF9"/>
    <w:rsid w:val="00481830"/>
    <w:rsid w:val="004822CF"/>
    <w:rsid w:val="004860E1"/>
    <w:rsid w:val="00493EB8"/>
    <w:rsid w:val="00493F86"/>
    <w:rsid w:val="0049468C"/>
    <w:rsid w:val="0049510B"/>
    <w:rsid w:val="00496D45"/>
    <w:rsid w:val="00496D90"/>
    <w:rsid w:val="00496F7B"/>
    <w:rsid w:val="00496FF6"/>
    <w:rsid w:val="00497932"/>
    <w:rsid w:val="00497D58"/>
    <w:rsid w:val="004A161D"/>
    <w:rsid w:val="004A2903"/>
    <w:rsid w:val="004A3138"/>
    <w:rsid w:val="004A5365"/>
    <w:rsid w:val="004B0F46"/>
    <w:rsid w:val="004B114F"/>
    <w:rsid w:val="004B1BDB"/>
    <w:rsid w:val="004B3F56"/>
    <w:rsid w:val="004B5B63"/>
    <w:rsid w:val="004B5C9A"/>
    <w:rsid w:val="004B7256"/>
    <w:rsid w:val="004B7B20"/>
    <w:rsid w:val="004C31F6"/>
    <w:rsid w:val="004C3A40"/>
    <w:rsid w:val="004C474C"/>
    <w:rsid w:val="004C77D1"/>
    <w:rsid w:val="004D32FD"/>
    <w:rsid w:val="004D4AD8"/>
    <w:rsid w:val="004E3C47"/>
    <w:rsid w:val="004E5B88"/>
    <w:rsid w:val="004E5C91"/>
    <w:rsid w:val="004E64CA"/>
    <w:rsid w:val="004E6C56"/>
    <w:rsid w:val="004E6DF5"/>
    <w:rsid w:val="004F3C53"/>
    <w:rsid w:val="004F58DD"/>
    <w:rsid w:val="004F607E"/>
    <w:rsid w:val="004F6F3C"/>
    <w:rsid w:val="00500B39"/>
    <w:rsid w:val="00502A7D"/>
    <w:rsid w:val="0050339C"/>
    <w:rsid w:val="00505374"/>
    <w:rsid w:val="005073B3"/>
    <w:rsid w:val="005149C7"/>
    <w:rsid w:val="00517A0D"/>
    <w:rsid w:val="0052177F"/>
    <w:rsid w:val="00522097"/>
    <w:rsid w:val="0052225C"/>
    <w:rsid w:val="00522381"/>
    <w:rsid w:val="00524EF7"/>
    <w:rsid w:val="00525CF3"/>
    <w:rsid w:val="00527443"/>
    <w:rsid w:val="00532B6A"/>
    <w:rsid w:val="00532E76"/>
    <w:rsid w:val="00533425"/>
    <w:rsid w:val="00534899"/>
    <w:rsid w:val="005418C2"/>
    <w:rsid w:val="00542C38"/>
    <w:rsid w:val="005453D8"/>
    <w:rsid w:val="00545DAC"/>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4C5D"/>
    <w:rsid w:val="005859CE"/>
    <w:rsid w:val="00586A6F"/>
    <w:rsid w:val="00594D46"/>
    <w:rsid w:val="005973B4"/>
    <w:rsid w:val="005A0CC6"/>
    <w:rsid w:val="005A0DAE"/>
    <w:rsid w:val="005A0DC3"/>
    <w:rsid w:val="005A103B"/>
    <w:rsid w:val="005A2A6D"/>
    <w:rsid w:val="005A49BC"/>
    <w:rsid w:val="005A67C6"/>
    <w:rsid w:val="005B1727"/>
    <w:rsid w:val="005B2D9C"/>
    <w:rsid w:val="005C0BD0"/>
    <w:rsid w:val="005C2DCB"/>
    <w:rsid w:val="005D1800"/>
    <w:rsid w:val="005D3DAE"/>
    <w:rsid w:val="005D7B84"/>
    <w:rsid w:val="005E0CB0"/>
    <w:rsid w:val="005E14F7"/>
    <w:rsid w:val="005E24E8"/>
    <w:rsid w:val="005E27BE"/>
    <w:rsid w:val="005E3513"/>
    <w:rsid w:val="005E444F"/>
    <w:rsid w:val="005F092C"/>
    <w:rsid w:val="005F1F38"/>
    <w:rsid w:val="005F33EB"/>
    <w:rsid w:val="005F35F0"/>
    <w:rsid w:val="005F3BD3"/>
    <w:rsid w:val="005F574D"/>
    <w:rsid w:val="005F65F3"/>
    <w:rsid w:val="00600FC2"/>
    <w:rsid w:val="00601503"/>
    <w:rsid w:val="00604D00"/>
    <w:rsid w:val="00605D4E"/>
    <w:rsid w:val="00607543"/>
    <w:rsid w:val="00610954"/>
    <w:rsid w:val="00612D8C"/>
    <w:rsid w:val="00612DC1"/>
    <w:rsid w:val="006132ED"/>
    <w:rsid w:val="00614670"/>
    <w:rsid w:val="00614765"/>
    <w:rsid w:val="0061526B"/>
    <w:rsid w:val="006158FA"/>
    <w:rsid w:val="00616E68"/>
    <w:rsid w:val="006202D6"/>
    <w:rsid w:val="00620A2A"/>
    <w:rsid w:val="0062587D"/>
    <w:rsid w:val="006324C1"/>
    <w:rsid w:val="00633A9B"/>
    <w:rsid w:val="0063524F"/>
    <w:rsid w:val="00636763"/>
    <w:rsid w:val="00636B30"/>
    <w:rsid w:val="00645D58"/>
    <w:rsid w:val="006472E5"/>
    <w:rsid w:val="0064774B"/>
    <w:rsid w:val="00647896"/>
    <w:rsid w:val="006479C4"/>
    <w:rsid w:val="006571ED"/>
    <w:rsid w:val="00660E1B"/>
    <w:rsid w:val="0066193C"/>
    <w:rsid w:val="0066232F"/>
    <w:rsid w:val="00663B3C"/>
    <w:rsid w:val="006648E0"/>
    <w:rsid w:val="006668D3"/>
    <w:rsid w:val="00666BE1"/>
    <w:rsid w:val="006700C7"/>
    <w:rsid w:val="0067545B"/>
    <w:rsid w:val="0067568B"/>
    <w:rsid w:val="00675F88"/>
    <w:rsid w:val="00675FD0"/>
    <w:rsid w:val="00682108"/>
    <w:rsid w:val="006828CB"/>
    <w:rsid w:val="00683E0B"/>
    <w:rsid w:val="00684848"/>
    <w:rsid w:val="00685E4A"/>
    <w:rsid w:val="00687DC5"/>
    <w:rsid w:val="00693C3F"/>
    <w:rsid w:val="00695628"/>
    <w:rsid w:val="006968BF"/>
    <w:rsid w:val="006972F6"/>
    <w:rsid w:val="006A0418"/>
    <w:rsid w:val="006A0759"/>
    <w:rsid w:val="006A6C5A"/>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40BC"/>
    <w:rsid w:val="007071CC"/>
    <w:rsid w:val="007108B0"/>
    <w:rsid w:val="00717235"/>
    <w:rsid w:val="00721C08"/>
    <w:rsid w:val="00721F4E"/>
    <w:rsid w:val="00722090"/>
    <w:rsid w:val="00723AE4"/>
    <w:rsid w:val="007243C4"/>
    <w:rsid w:val="007243DE"/>
    <w:rsid w:val="0072587A"/>
    <w:rsid w:val="007262C3"/>
    <w:rsid w:val="00727D39"/>
    <w:rsid w:val="0073049C"/>
    <w:rsid w:val="00732B7B"/>
    <w:rsid w:val="00733149"/>
    <w:rsid w:val="00734A0C"/>
    <w:rsid w:val="00735F97"/>
    <w:rsid w:val="00740286"/>
    <w:rsid w:val="00742854"/>
    <w:rsid w:val="00742F01"/>
    <w:rsid w:val="00743567"/>
    <w:rsid w:val="00744DF8"/>
    <w:rsid w:val="00747179"/>
    <w:rsid w:val="00752138"/>
    <w:rsid w:val="00752329"/>
    <w:rsid w:val="00753771"/>
    <w:rsid w:val="00754912"/>
    <w:rsid w:val="00755B1F"/>
    <w:rsid w:val="00755C31"/>
    <w:rsid w:val="00761E21"/>
    <w:rsid w:val="00766869"/>
    <w:rsid w:val="00766D2F"/>
    <w:rsid w:val="007701EB"/>
    <w:rsid w:val="007731ED"/>
    <w:rsid w:val="00774CD0"/>
    <w:rsid w:val="00775E85"/>
    <w:rsid w:val="007776CA"/>
    <w:rsid w:val="00780BFB"/>
    <w:rsid w:val="00780E0C"/>
    <w:rsid w:val="007810FD"/>
    <w:rsid w:val="00781901"/>
    <w:rsid w:val="007829CC"/>
    <w:rsid w:val="0078329E"/>
    <w:rsid w:val="007854A0"/>
    <w:rsid w:val="0078592D"/>
    <w:rsid w:val="00785AF4"/>
    <w:rsid w:val="00786931"/>
    <w:rsid w:val="00787B2D"/>
    <w:rsid w:val="00790223"/>
    <w:rsid w:val="00791C2D"/>
    <w:rsid w:val="00793432"/>
    <w:rsid w:val="00793D81"/>
    <w:rsid w:val="0079669F"/>
    <w:rsid w:val="00797708"/>
    <w:rsid w:val="007A2E95"/>
    <w:rsid w:val="007A3AB3"/>
    <w:rsid w:val="007A443A"/>
    <w:rsid w:val="007A4E36"/>
    <w:rsid w:val="007A5D61"/>
    <w:rsid w:val="007A653F"/>
    <w:rsid w:val="007A6EDB"/>
    <w:rsid w:val="007A70EA"/>
    <w:rsid w:val="007B1C2A"/>
    <w:rsid w:val="007B3974"/>
    <w:rsid w:val="007B4183"/>
    <w:rsid w:val="007B4C17"/>
    <w:rsid w:val="007B5775"/>
    <w:rsid w:val="007B63DE"/>
    <w:rsid w:val="007B6F3A"/>
    <w:rsid w:val="007C1281"/>
    <w:rsid w:val="007C14A1"/>
    <w:rsid w:val="007C15B3"/>
    <w:rsid w:val="007C1911"/>
    <w:rsid w:val="007C221F"/>
    <w:rsid w:val="007C6CBB"/>
    <w:rsid w:val="007D1A3B"/>
    <w:rsid w:val="007D3981"/>
    <w:rsid w:val="007D73A1"/>
    <w:rsid w:val="007D7825"/>
    <w:rsid w:val="007D7C50"/>
    <w:rsid w:val="007D7CBD"/>
    <w:rsid w:val="007E26B4"/>
    <w:rsid w:val="007E334A"/>
    <w:rsid w:val="007E4EFE"/>
    <w:rsid w:val="007E604B"/>
    <w:rsid w:val="007F0FA1"/>
    <w:rsid w:val="007F29E0"/>
    <w:rsid w:val="007F4B10"/>
    <w:rsid w:val="007F4D4A"/>
    <w:rsid w:val="007F65C0"/>
    <w:rsid w:val="0080273A"/>
    <w:rsid w:val="00802847"/>
    <w:rsid w:val="008039AA"/>
    <w:rsid w:val="00803C57"/>
    <w:rsid w:val="00804F0C"/>
    <w:rsid w:val="008112D5"/>
    <w:rsid w:val="00811871"/>
    <w:rsid w:val="008123FD"/>
    <w:rsid w:val="00814DFE"/>
    <w:rsid w:val="00817171"/>
    <w:rsid w:val="0082062E"/>
    <w:rsid w:val="00822895"/>
    <w:rsid w:val="00823868"/>
    <w:rsid w:val="00823DA8"/>
    <w:rsid w:val="00834C0F"/>
    <w:rsid w:val="00835DC9"/>
    <w:rsid w:val="008400B5"/>
    <w:rsid w:val="00840411"/>
    <w:rsid w:val="00842D70"/>
    <w:rsid w:val="0084619D"/>
    <w:rsid w:val="008471E6"/>
    <w:rsid w:val="0084767F"/>
    <w:rsid w:val="00847C44"/>
    <w:rsid w:val="008503EE"/>
    <w:rsid w:val="00851B92"/>
    <w:rsid w:val="00851EA9"/>
    <w:rsid w:val="00852ED8"/>
    <w:rsid w:val="008533B4"/>
    <w:rsid w:val="008539F0"/>
    <w:rsid w:val="00854DB5"/>
    <w:rsid w:val="00856AF6"/>
    <w:rsid w:val="008579E2"/>
    <w:rsid w:val="00857DA7"/>
    <w:rsid w:val="00857F0A"/>
    <w:rsid w:val="0086084E"/>
    <w:rsid w:val="00864129"/>
    <w:rsid w:val="0086438D"/>
    <w:rsid w:val="0086679D"/>
    <w:rsid w:val="00870546"/>
    <w:rsid w:val="00874CE8"/>
    <w:rsid w:val="008758B4"/>
    <w:rsid w:val="00880CF6"/>
    <w:rsid w:val="00882E64"/>
    <w:rsid w:val="00892FAD"/>
    <w:rsid w:val="00894517"/>
    <w:rsid w:val="00894B51"/>
    <w:rsid w:val="008964AE"/>
    <w:rsid w:val="00896F36"/>
    <w:rsid w:val="00896F5E"/>
    <w:rsid w:val="008A0DC1"/>
    <w:rsid w:val="008A110F"/>
    <w:rsid w:val="008A14BA"/>
    <w:rsid w:val="008A354A"/>
    <w:rsid w:val="008A3F9C"/>
    <w:rsid w:val="008A4CAB"/>
    <w:rsid w:val="008B52B5"/>
    <w:rsid w:val="008B6E50"/>
    <w:rsid w:val="008C17B5"/>
    <w:rsid w:val="008C36BB"/>
    <w:rsid w:val="008C46DE"/>
    <w:rsid w:val="008C4E40"/>
    <w:rsid w:val="008C6198"/>
    <w:rsid w:val="008D3283"/>
    <w:rsid w:val="008D34F7"/>
    <w:rsid w:val="008D3A6B"/>
    <w:rsid w:val="008E14EC"/>
    <w:rsid w:val="008E3AF2"/>
    <w:rsid w:val="008E5A8B"/>
    <w:rsid w:val="008E6B74"/>
    <w:rsid w:val="008F009D"/>
    <w:rsid w:val="008F0FDA"/>
    <w:rsid w:val="008F50BB"/>
    <w:rsid w:val="008F5E9F"/>
    <w:rsid w:val="008F633E"/>
    <w:rsid w:val="008F6FF2"/>
    <w:rsid w:val="008F7B26"/>
    <w:rsid w:val="009006ED"/>
    <w:rsid w:val="00901A03"/>
    <w:rsid w:val="00903D3A"/>
    <w:rsid w:val="00905AD6"/>
    <w:rsid w:val="009136F3"/>
    <w:rsid w:val="009151DA"/>
    <w:rsid w:val="00917787"/>
    <w:rsid w:val="00920733"/>
    <w:rsid w:val="009249C6"/>
    <w:rsid w:val="009260AF"/>
    <w:rsid w:val="009348FB"/>
    <w:rsid w:val="00942962"/>
    <w:rsid w:val="00944A93"/>
    <w:rsid w:val="009452F1"/>
    <w:rsid w:val="00945F3D"/>
    <w:rsid w:val="00945F70"/>
    <w:rsid w:val="009477A7"/>
    <w:rsid w:val="009504D1"/>
    <w:rsid w:val="009526DD"/>
    <w:rsid w:val="009532F9"/>
    <w:rsid w:val="00955EF9"/>
    <w:rsid w:val="009617E7"/>
    <w:rsid w:val="00961DBA"/>
    <w:rsid w:val="009653CB"/>
    <w:rsid w:val="009656AD"/>
    <w:rsid w:val="009668C0"/>
    <w:rsid w:val="00971171"/>
    <w:rsid w:val="00977590"/>
    <w:rsid w:val="00980F59"/>
    <w:rsid w:val="0098552A"/>
    <w:rsid w:val="00992261"/>
    <w:rsid w:val="0099334B"/>
    <w:rsid w:val="009955E2"/>
    <w:rsid w:val="00995D1D"/>
    <w:rsid w:val="00996272"/>
    <w:rsid w:val="00997179"/>
    <w:rsid w:val="009A4C07"/>
    <w:rsid w:val="009B293F"/>
    <w:rsid w:val="009B77D5"/>
    <w:rsid w:val="009C1C29"/>
    <w:rsid w:val="009C497F"/>
    <w:rsid w:val="009C4A64"/>
    <w:rsid w:val="009C53A5"/>
    <w:rsid w:val="009D0A09"/>
    <w:rsid w:val="009D2CFE"/>
    <w:rsid w:val="009D4372"/>
    <w:rsid w:val="009D4F76"/>
    <w:rsid w:val="009D69DB"/>
    <w:rsid w:val="009D6A58"/>
    <w:rsid w:val="009D7A25"/>
    <w:rsid w:val="009D7A83"/>
    <w:rsid w:val="009E0907"/>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5E44"/>
    <w:rsid w:val="00A07E57"/>
    <w:rsid w:val="00A113BD"/>
    <w:rsid w:val="00A11BA2"/>
    <w:rsid w:val="00A155CB"/>
    <w:rsid w:val="00A2097A"/>
    <w:rsid w:val="00A210F1"/>
    <w:rsid w:val="00A23A9A"/>
    <w:rsid w:val="00A23F7F"/>
    <w:rsid w:val="00A30187"/>
    <w:rsid w:val="00A30CB5"/>
    <w:rsid w:val="00A35882"/>
    <w:rsid w:val="00A3688C"/>
    <w:rsid w:val="00A37A36"/>
    <w:rsid w:val="00A43AB8"/>
    <w:rsid w:val="00A44FED"/>
    <w:rsid w:val="00A45C9F"/>
    <w:rsid w:val="00A47C58"/>
    <w:rsid w:val="00A50C47"/>
    <w:rsid w:val="00A512B9"/>
    <w:rsid w:val="00A51B17"/>
    <w:rsid w:val="00A53056"/>
    <w:rsid w:val="00A5447A"/>
    <w:rsid w:val="00A5686C"/>
    <w:rsid w:val="00A6401B"/>
    <w:rsid w:val="00A66F1C"/>
    <w:rsid w:val="00A72480"/>
    <w:rsid w:val="00A741CE"/>
    <w:rsid w:val="00A74652"/>
    <w:rsid w:val="00A74924"/>
    <w:rsid w:val="00A7530C"/>
    <w:rsid w:val="00A867E2"/>
    <w:rsid w:val="00A9054F"/>
    <w:rsid w:val="00A9154B"/>
    <w:rsid w:val="00A936EB"/>
    <w:rsid w:val="00A95C70"/>
    <w:rsid w:val="00A9643B"/>
    <w:rsid w:val="00AA33FA"/>
    <w:rsid w:val="00AA75EA"/>
    <w:rsid w:val="00AB20C2"/>
    <w:rsid w:val="00AB3175"/>
    <w:rsid w:val="00AB36AA"/>
    <w:rsid w:val="00AB4483"/>
    <w:rsid w:val="00AB5469"/>
    <w:rsid w:val="00AC2C75"/>
    <w:rsid w:val="00AC4F79"/>
    <w:rsid w:val="00AC544F"/>
    <w:rsid w:val="00AD152D"/>
    <w:rsid w:val="00AD257E"/>
    <w:rsid w:val="00AD3B70"/>
    <w:rsid w:val="00AD613C"/>
    <w:rsid w:val="00AD78F2"/>
    <w:rsid w:val="00AD7AF0"/>
    <w:rsid w:val="00AE0502"/>
    <w:rsid w:val="00AE178E"/>
    <w:rsid w:val="00AE5059"/>
    <w:rsid w:val="00AE5E78"/>
    <w:rsid w:val="00AE616C"/>
    <w:rsid w:val="00AE70F7"/>
    <w:rsid w:val="00AE716B"/>
    <w:rsid w:val="00AE74A3"/>
    <w:rsid w:val="00AF392D"/>
    <w:rsid w:val="00B01F0F"/>
    <w:rsid w:val="00B01F4F"/>
    <w:rsid w:val="00B065DD"/>
    <w:rsid w:val="00B0784A"/>
    <w:rsid w:val="00B12C09"/>
    <w:rsid w:val="00B133D4"/>
    <w:rsid w:val="00B13A99"/>
    <w:rsid w:val="00B20F6B"/>
    <w:rsid w:val="00B21749"/>
    <w:rsid w:val="00B22D28"/>
    <w:rsid w:val="00B25DC1"/>
    <w:rsid w:val="00B33B13"/>
    <w:rsid w:val="00B3669E"/>
    <w:rsid w:val="00B423D5"/>
    <w:rsid w:val="00B43C18"/>
    <w:rsid w:val="00B44532"/>
    <w:rsid w:val="00B4595F"/>
    <w:rsid w:val="00B468B2"/>
    <w:rsid w:val="00B50085"/>
    <w:rsid w:val="00B54C8C"/>
    <w:rsid w:val="00B56617"/>
    <w:rsid w:val="00B5730A"/>
    <w:rsid w:val="00B60911"/>
    <w:rsid w:val="00B6133D"/>
    <w:rsid w:val="00B6412E"/>
    <w:rsid w:val="00B655C7"/>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A3134"/>
    <w:rsid w:val="00BA35E0"/>
    <w:rsid w:val="00BB2CB2"/>
    <w:rsid w:val="00BB3F50"/>
    <w:rsid w:val="00BB555A"/>
    <w:rsid w:val="00BC09BE"/>
    <w:rsid w:val="00BC3DD6"/>
    <w:rsid w:val="00BC724D"/>
    <w:rsid w:val="00BD121D"/>
    <w:rsid w:val="00BD2232"/>
    <w:rsid w:val="00BD3486"/>
    <w:rsid w:val="00BD5032"/>
    <w:rsid w:val="00BE4AC3"/>
    <w:rsid w:val="00BE53BC"/>
    <w:rsid w:val="00BE6A48"/>
    <w:rsid w:val="00BF3340"/>
    <w:rsid w:val="00BF3708"/>
    <w:rsid w:val="00BF4973"/>
    <w:rsid w:val="00C00E60"/>
    <w:rsid w:val="00C03D02"/>
    <w:rsid w:val="00C07769"/>
    <w:rsid w:val="00C10665"/>
    <w:rsid w:val="00C1179A"/>
    <w:rsid w:val="00C12F9F"/>
    <w:rsid w:val="00C14165"/>
    <w:rsid w:val="00C15027"/>
    <w:rsid w:val="00C22B8F"/>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2FA0"/>
    <w:rsid w:val="00C94ED7"/>
    <w:rsid w:val="00C9681A"/>
    <w:rsid w:val="00C9705E"/>
    <w:rsid w:val="00CA00ED"/>
    <w:rsid w:val="00CA23D5"/>
    <w:rsid w:val="00CA27D3"/>
    <w:rsid w:val="00CA5ECA"/>
    <w:rsid w:val="00CB11F6"/>
    <w:rsid w:val="00CB3843"/>
    <w:rsid w:val="00CB3FCE"/>
    <w:rsid w:val="00CB603C"/>
    <w:rsid w:val="00CB65FF"/>
    <w:rsid w:val="00CB78B3"/>
    <w:rsid w:val="00CC7F18"/>
    <w:rsid w:val="00CD0090"/>
    <w:rsid w:val="00CD334E"/>
    <w:rsid w:val="00CD3601"/>
    <w:rsid w:val="00CD7B82"/>
    <w:rsid w:val="00CD7E4F"/>
    <w:rsid w:val="00CE1844"/>
    <w:rsid w:val="00CE2B0A"/>
    <w:rsid w:val="00CF0517"/>
    <w:rsid w:val="00CF116E"/>
    <w:rsid w:val="00CF4799"/>
    <w:rsid w:val="00CF4F7A"/>
    <w:rsid w:val="00CF7BD6"/>
    <w:rsid w:val="00D055CC"/>
    <w:rsid w:val="00D07E36"/>
    <w:rsid w:val="00D11CC9"/>
    <w:rsid w:val="00D122EC"/>
    <w:rsid w:val="00D147CF"/>
    <w:rsid w:val="00D15AE7"/>
    <w:rsid w:val="00D16165"/>
    <w:rsid w:val="00D3212A"/>
    <w:rsid w:val="00D33718"/>
    <w:rsid w:val="00D35B45"/>
    <w:rsid w:val="00D36B20"/>
    <w:rsid w:val="00D37141"/>
    <w:rsid w:val="00D3741E"/>
    <w:rsid w:val="00D37BB0"/>
    <w:rsid w:val="00D40722"/>
    <w:rsid w:val="00D4400C"/>
    <w:rsid w:val="00D46EAE"/>
    <w:rsid w:val="00D474CD"/>
    <w:rsid w:val="00D520C7"/>
    <w:rsid w:val="00D5426C"/>
    <w:rsid w:val="00D550F2"/>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91ADC"/>
    <w:rsid w:val="00D92509"/>
    <w:rsid w:val="00D936B0"/>
    <w:rsid w:val="00D93D63"/>
    <w:rsid w:val="00D9404B"/>
    <w:rsid w:val="00DA0633"/>
    <w:rsid w:val="00DA3798"/>
    <w:rsid w:val="00DA445F"/>
    <w:rsid w:val="00DA6B17"/>
    <w:rsid w:val="00DA6D2C"/>
    <w:rsid w:val="00DA730B"/>
    <w:rsid w:val="00DA778D"/>
    <w:rsid w:val="00DB12FA"/>
    <w:rsid w:val="00DB4A2A"/>
    <w:rsid w:val="00DB5D7A"/>
    <w:rsid w:val="00DB6C42"/>
    <w:rsid w:val="00DC0E6B"/>
    <w:rsid w:val="00DC20D9"/>
    <w:rsid w:val="00DC3E52"/>
    <w:rsid w:val="00DC5CC7"/>
    <w:rsid w:val="00DD1B42"/>
    <w:rsid w:val="00DD3EFB"/>
    <w:rsid w:val="00DD5B0E"/>
    <w:rsid w:val="00DD68C9"/>
    <w:rsid w:val="00DD6ED3"/>
    <w:rsid w:val="00DD7911"/>
    <w:rsid w:val="00DE1BB3"/>
    <w:rsid w:val="00DE3654"/>
    <w:rsid w:val="00DE7BAC"/>
    <w:rsid w:val="00DF0FA9"/>
    <w:rsid w:val="00DF3055"/>
    <w:rsid w:val="00DF3423"/>
    <w:rsid w:val="00DF500E"/>
    <w:rsid w:val="00DF5BF1"/>
    <w:rsid w:val="00DF7137"/>
    <w:rsid w:val="00DF71A5"/>
    <w:rsid w:val="00E00A21"/>
    <w:rsid w:val="00E1022D"/>
    <w:rsid w:val="00E10F05"/>
    <w:rsid w:val="00E14238"/>
    <w:rsid w:val="00E17DCB"/>
    <w:rsid w:val="00E24401"/>
    <w:rsid w:val="00E249AD"/>
    <w:rsid w:val="00E249B9"/>
    <w:rsid w:val="00E25490"/>
    <w:rsid w:val="00E30C7D"/>
    <w:rsid w:val="00E30CA3"/>
    <w:rsid w:val="00E30E79"/>
    <w:rsid w:val="00E33B32"/>
    <w:rsid w:val="00E34280"/>
    <w:rsid w:val="00E37F02"/>
    <w:rsid w:val="00E41B17"/>
    <w:rsid w:val="00E41C2B"/>
    <w:rsid w:val="00E434D5"/>
    <w:rsid w:val="00E45070"/>
    <w:rsid w:val="00E45412"/>
    <w:rsid w:val="00E47D07"/>
    <w:rsid w:val="00E5253A"/>
    <w:rsid w:val="00E529AD"/>
    <w:rsid w:val="00E52BA3"/>
    <w:rsid w:val="00E608CD"/>
    <w:rsid w:val="00E63C43"/>
    <w:rsid w:val="00E6715B"/>
    <w:rsid w:val="00E67E9A"/>
    <w:rsid w:val="00E70674"/>
    <w:rsid w:val="00E72628"/>
    <w:rsid w:val="00E728AD"/>
    <w:rsid w:val="00E72C2D"/>
    <w:rsid w:val="00E7395A"/>
    <w:rsid w:val="00E76B6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5577"/>
    <w:rsid w:val="00EA7E20"/>
    <w:rsid w:val="00EB48D2"/>
    <w:rsid w:val="00EB4C64"/>
    <w:rsid w:val="00EB7483"/>
    <w:rsid w:val="00EC0D6F"/>
    <w:rsid w:val="00EC2DCF"/>
    <w:rsid w:val="00EC380E"/>
    <w:rsid w:val="00EC4DBB"/>
    <w:rsid w:val="00EC5327"/>
    <w:rsid w:val="00EC5BE3"/>
    <w:rsid w:val="00ED126F"/>
    <w:rsid w:val="00ED53C1"/>
    <w:rsid w:val="00ED6835"/>
    <w:rsid w:val="00ED7F1C"/>
    <w:rsid w:val="00EE059E"/>
    <w:rsid w:val="00EE12C6"/>
    <w:rsid w:val="00EE1949"/>
    <w:rsid w:val="00EE3847"/>
    <w:rsid w:val="00EE569D"/>
    <w:rsid w:val="00EF1515"/>
    <w:rsid w:val="00EF2D28"/>
    <w:rsid w:val="00EF5090"/>
    <w:rsid w:val="00EF75DF"/>
    <w:rsid w:val="00EF786E"/>
    <w:rsid w:val="00EF7C10"/>
    <w:rsid w:val="00F015B8"/>
    <w:rsid w:val="00F0215B"/>
    <w:rsid w:val="00F07EF0"/>
    <w:rsid w:val="00F101CC"/>
    <w:rsid w:val="00F11072"/>
    <w:rsid w:val="00F11674"/>
    <w:rsid w:val="00F1405B"/>
    <w:rsid w:val="00F1484C"/>
    <w:rsid w:val="00F177EF"/>
    <w:rsid w:val="00F20592"/>
    <w:rsid w:val="00F20A02"/>
    <w:rsid w:val="00F230E2"/>
    <w:rsid w:val="00F233F5"/>
    <w:rsid w:val="00F2361B"/>
    <w:rsid w:val="00F25421"/>
    <w:rsid w:val="00F27C71"/>
    <w:rsid w:val="00F31483"/>
    <w:rsid w:val="00F322F9"/>
    <w:rsid w:val="00F3232D"/>
    <w:rsid w:val="00F3350F"/>
    <w:rsid w:val="00F337F2"/>
    <w:rsid w:val="00F344A1"/>
    <w:rsid w:val="00F3460F"/>
    <w:rsid w:val="00F4555B"/>
    <w:rsid w:val="00F463A9"/>
    <w:rsid w:val="00F5219B"/>
    <w:rsid w:val="00F535F8"/>
    <w:rsid w:val="00F53C38"/>
    <w:rsid w:val="00F557BF"/>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71E4"/>
    <w:rsid w:val="00F97D12"/>
    <w:rsid w:val="00FA1221"/>
    <w:rsid w:val="00FA13F3"/>
    <w:rsid w:val="00FA286C"/>
    <w:rsid w:val="00FA3ECE"/>
    <w:rsid w:val="00FA41F8"/>
    <w:rsid w:val="00FA5F02"/>
    <w:rsid w:val="00FA6A0D"/>
    <w:rsid w:val="00FA7033"/>
    <w:rsid w:val="00FA7179"/>
    <w:rsid w:val="00FB0EE9"/>
    <w:rsid w:val="00FC00A4"/>
    <w:rsid w:val="00FC3E61"/>
    <w:rsid w:val="00FC4C76"/>
    <w:rsid w:val="00FD238E"/>
    <w:rsid w:val="00FD2407"/>
    <w:rsid w:val="00FD4A2D"/>
    <w:rsid w:val="00FE064B"/>
    <w:rsid w:val="00FE1614"/>
    <w:rsid w:val="00FE233C"/>
    <w:rsid w:val="00FE2AF5"/>
    <w:rsid w:val="00FE3341"/>
    <w:rsid w:val="00FF1D11"/>
    <w:rsid w:val="00FF3C6F"/>
    <w:rsid w:val="00FF7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Document Map"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2AF5"/>
    <w:rPr>
      <w:sz w:val="24"/>
      <w:szCs w:val="24"/>
    </w:rPr>
  </w:style>
  <w:style w:type="paragraph" w:styleId="Heading1">
    <w:name w:val="heading 1"/>
    <w:basedOn w:val="Normal"/>
    <w:next w:val="Normal"/>
    <w:link w:val="Heading1Char"/>
    <w:uiPriority w:val="9"/>
    <w:qFormat/>
    <w:rsid w:val="00FE2AF5"/>
    <w:pPr>
      <w:keepNext/>
      <w:numPr>
        <w:numId w:val="6"/>
      </w:numPr>
      <w:tabs>
        <w:tab w:val="clear" w:pos="360"/>
        <w:tab w:val="num" w:pos="540"/>
      </w:tabs>
      <w:spacing w:before="320" w:after="240"/>
      <w:ind w:left="540" w:hanging="540"/>
      <w:outlineLvl w:val="0"/>
    </w:pPr>
    <w:rPr>
      <w:rFonts w:cs="Arial"/>
      <w:b/>
      <w:bCs/>
      <w:kern w:val="32"/>
      <w:sz w:val="28"/>
      <w:szCs w:val="32"/>
    </w:rPr>
  </w:style>
  <w:style w:type="paragraph" w:styleId="Heading2">
    <w:name w:val="heading 2"/>
    <w:basedOn w:val="Normal"/>
    <w:next w:val="Normal"/>
    <w:link w:val="Heading2Char"/>
    <w:qFormat/>
    <w:rsid w:val="00E249B9"/>
    <w:pPr>
      <w:keepNext/>
      <w:numPr>
        <w:ilvl w:val="1"/>
        <w:numId w:val="6"/>
      </w:numPr>
      <w:tabs>
        <w:tab w:val="clear" w:pos="972"/>
        <w:tab w:val="left" w:pos="1080"/>
      </w:tabs>
      <w:spacing w:before="160" w:after="160"/>
      <w:ind w:left="1260" w:hanging="720"/>
      <w:outlineLvl w:val="1"/>
    </w:pPr>
    <w:rPr>
      <w:rFonts w:cs="Arial"/>
      <w:b/>
      <w:bCs/>
      <w:iCs/>
      <w:sz w:val="28"/>
      <w:szCs w:val="28"/>
    </w:rPr>
  </w:style>
  <w:style w:type="paragraph" w:styleId="Heading3">
    <w:name w:val="heading 3"/>
    <w:basedOn w:val="Normal"/>
    <w:next w:val="Normal"/>
    <w:qFormat/>
    <w:rsid w:val="00532E76"/>
    <w:pPr>
      <w:keepNext/>
      <w:numPr>
        <w:ilvl w:val="2"/>
        <w:numId w:val="6"/>
      </w:numPr>
      <w:tabs>
        <w:tab w:val="clear" w:pos="3960"/>
        <w:tab w:val="num" w:pos="1980"/>
      </w:tabs>
      <w:spacing w:before="160" w:after="160"/>
      <w:ind w:left="1980"/>
      <w:outlineLvl w:val="2"/>
    </w:pPr>
    <w:rPr>
      <w:b/>
      <w:bCs/>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 w:val="22"/>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AF5"/>
    <w:rPr>
      <w:rFonts w:cs="Arial"/>
      <w:b/>
      <w:bCs/>
      <w:kern w:val="32"/>
      <w:sz w:val="28"/>
      <w:szCs w:val="32"/>
    </w:rPr>
  </w:style>
  <w:style w:type="character" w:customStyle="1" w:styleId="Heading2Char">
    <w:name w:val="Heading 2 Char"/>
    <w:basedOn w:val="DefaultParagraphFont"/>
    <w:link w:val="Heading2"/>
    <w:rsid w:val="00E249B9"/>
    <w:rPr>
      <w:rFonts w:cs="Arial"/>
      <w:b/>
      <w:bCs/>
      <w:iCs/>
      <w:sz w:val="28"/>
      <w:szCs w:val="28"/>
    </w:rPr>
  </w:style>
  <w:style w:type="character" w:styleId="Hyperlink">
    <w:name w:val="Hyperlink"/>
    <w:basedOn w:val="DefaultParagraphFont"/>
    <w:uiPriority w:val="99"/>
    <w:rsid w:val="00374646"/>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basedOn w:val="DefaultParagraphFont"/>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374646"/>
    <w:rPr>
      <w:rFonts w:ascii="Tahoma" w:hAnsi="Tahoma" w:cs="Tahoma"/>
      <w:sz w:val="16"/>
      <w:szCs w:val="16"/>
    </w:rPr>
  </w:style>
  <w:style w:type="paragraph" w:customStyle="1" w:styleId="bulletlevel1">
    <w:name w:val="bullet level 1"/>
    <w:basedOn w:val="BodyText"/>
    <w:link w:val="bulletlevel1Char1"/>
    <w:rsid w:val="00374646"/>
    <w:pPr>
      <w:numPr>
        <w:numId w:val="1"/>
      </w:numPr>
      <w:tabs>
        <w:tab w:val="left" w:pos="576"/>
      </w:tabs>
      <w:ind w:left="576" w:hanging="288"/>
    </w:pPr>
  </w:style>
  <w:style w:type="paragraph" w:styleId="BodyText">
    <w:name w:val="Body Text"/>
    <w:basedOn w:val="Normal"/>
    <w:link w:val="BodyTextChar"/>
    <w:rsid w:val="00374646"/>
    <w:pPr>
      <w:spacing w:after="120" w:line="260" w:lineRule="exact"/>
    </w:pPr>
    <w:rPr>
      <w:sz w:val="21"/>
    </w:rPr>
  </w:style>
  <w:style w:type="character" w:customStyle="1" w:styleId="BodyTextChar">
    <w:name w:val="Body Text Char"/>
    <w:basedOn w:val="DefaultParagraphFont"/>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style>
  <w:style w:type="paragraph" w:styleId="Header">
    <w:name w:val="header"/>
    <w:basedOn w:val="Normal"/>
    <w:link w:val="HeaderChar"/>
    <w:uiPriority w:val="99"/>
    <w:rsid w:val="00374646"/>
    <w:pPr>
      <w:tabs>
        <w:tab w:val="center" w:pos="4320"/>
        <w:tab w:val="right" w:pos="8640"/>
      </w:tabs>
    </w:pPr>
  </w:style>
  <w:style w:type="paragraph" w:styleId="Footer">
    <w:name w:val="footer"/>
    <w:basedOn w:val="Normal"/>
    <w:link w:val="FooterChar"/>
    <w:uiPriority w:val="99"/>
    <w:rsid w:val="00374646"/>
    <w:pPr>
      <w:tabs>
        <w:tab w:val="center" w:pos="4320"/>
        <w:tab w:val="right" w:pos="8640"/>
      </w:tabs>
    </w:pPr>
  </w:style>
  <w:style w:type="character" w:styleId="PageNumber">
    <w:name w:val="page number"/>
    <w:basedOn w:val="DefaultParagraphFont"/>
    <w:rsid w:val="00400806"/>
    <w:rPr>
      <w:rFonts w:ascii="Arial" w:hAnsi="Arial"/>
    </w:rPr>
  </w:style>
  <w:style w:type="paragraph" w:customStyle="1" w:styleId="label">
    <w:name w:val="label"/>
    <w:basedOn w:val="Normal"/>
    <w:rsid w:val="00374646"/>
    <w:pPr>
      <w:jc w:val="center"/>
    </w:pPr>
    <w:rPr>
      <w:rFonts w:ascii="Arial" w:hAnsi="Arial" w:cs="Arial"/>
      <w:sz w:val="20"/>
      <w:szCs w:val="20"/>
    </w:rPr>
  </w:style>
  <w:style w:type="table" w:styleId="TableGrid">
    <w:name w:val="Table Grid"/>
    <w:basedOn w:val="TableNormal"/>
    <w:uiPriority w:val="59"/>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A9643B"/>
    <w:pPr>
      <w:tabs>
        <w:tab w:val="left" w:pos="360"/>
        <w:tab w:val="right" w:leader="dot" w:pos="8630"/>
      </w:tabs>
    </w:pPr>
    <w:rPr>
      <w:noProof/>
      <w:szCs w:val="21"/>
    </w:r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style>
  <w:style w:type="character" w:styleId="FollowedHyperlink">
    <w:name w:val="FollowedHyperlink"/>
    <w:basedOn w:val="DefaultParagraphFont"/>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basedOn w:val="DefaultParagraphFont"/>
    <w:uiPriority w:val="99"/>
    <w:semiHidden/>
    <w:rsid w:val="00847C44"/>
    <w:rPr>
      <w:sz w:val="16"/>
    </w:rPr>
  </w:style>
  <w:style w:type="paragraph" w:styleId="CommentText">
    <w:name w:val="annotation text"/>
    <w:basedOn w:val="Normal"/>
    <w:link w:val="CommentTextChar"/>
    <w:uiPriority w:val="99"/>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Style">
    <w:name w:val="Style"/>
    <w:basedOn w:val="CommentReferenc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basedOn w:val="DefaultParagraphFont"/>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
    <w:name w:val="title"/>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Spacing">
    <w:name w:val="No Spacing"/>
    <w:link w:val="NoSpacingChar"/>
    <w:uiPriority w:val="1"/>
    <w:qFormat/>
    <w:rsid w:val="00A9643B"/>
    <w:rPr>
      <w:rFonts w:ascii="Calibri" w:hAnsi="Calibri"/>
      <w:sz w:val="22"/>
      <w:szCs w:val="22"/>
    </w:rPr>
  </w:style>
  <w:style w:type="character" w:customStyle="1" w:styleId="NoSpacingChar">
    <w:name w:val="No Spacing Char"/>
    <w:basedOn w:val="DefaultParagraphFont"/>
    <w:link w:val="NoSpacing"/>
    <w:uiPriority w:val="1"/>
    <w:rsid w:val="00A9643B"/>
    <w:rPr>
      <w:rFonts w:ascii="Calibri" w:hAnsi="Calibri"/>
      <w:sz w:val="22"/>
      <w:szCs w:val="22"/>
      <w:lang w:val="en-US" w:eastAsia="en-US" w:bidi="ar-SA"/>
    </w:rPr>
  </w:style>
  <w:style w:type="character" w:customStyle="1" w:styleId="BalloonTextChar">
    <w:name w:val="Balloon Text Char"/>
    <w:basedOn w:val="DefaultParagraphFont"/>
    <w:link w:val="BalloonText"/>
    <w:uiPriority w:val="99"/>
    <w:semiHidden/>
    <w:rsid w:val="00A9643B"/>
    <w:rPr>
      <w:rFonts w:ascii="Tahoma" w:hAnsi="Tahoma" w:cs="Tahoma"/>
      <w:sz w:val="16"/>
      <w:szCs w:val="16"/>
    </w:rPr>
  </w:style>
  <w:style w:type="character" w:customStyle="1" w:styleId="HeaderChar">
    <w:name w:val="Header Char"/>
    <w:basedOn w:val="DefaultParagraphFont"/>
    <w:link w:val="Header"/>
    <w:uiPriority w:val="99"/>
    <w:rsid w:val="00A9643B"/>
    <w:rPr>
      <w:sz w:val="24"/>
      <w:szCs w:val="24"/>
    </w:rPr>
  </w:style>
  <w:style w:type="character" w:customStyle="1" w:styleId="FooterChar">
    <w:name w:val="Footer Char"/>
    <w:basedOn w:val="DefaultParagraphFont"/>
    <w:link w:val="Footer"/>
    <w:uiPriority w:val="99"/>
    <w:rsid w:val="00A9643B"/>
    <w:rPr>
      <w:sz w:val="24"/>
      <w:szCs w:val="24"/>
    </w:rPr>
  </w:style>
  <w:style w:type="paragraph" w:styleId="ListParagraph">
    <w:name w:val="List Paragraph"/>
    <w:basedOn w:val="Normal"/>
    <w:uiPriority w:val="34"/>
    <w:qFormat/>
    <w:rsid w:val="00A9643B"/>
    <w:pPr>
      <w:spacing w:after="200" w:line="276" w:lineRule="auto"/>
      <w:ind w:left="720"/>
      <w:contextualSpacing/>
    </w:pPr>
    <w:rPr>
      <w:rFonts w:ascii="Calibri" w:eastAsia="Calibri" w:hAnsi="Calibri"/>
      <w:sz w:val="22"/>
      <w:szCs w:val="22"/>
    </w:rPr>
  </w:style>
  <w:style w:type="character" w:styleId="IntenseReference">
    <w:name w:val="Intense Reference"/>
    <w:basedOn w:val="DefaultParagraphFont"/>
    <w:uiPriority w:val="32"/>
    <w:qFormat/>
    <w:rsid w:val="00A9643B"/>
    <w:rPr>
      <w:b/>
      <w:bCs/>
      <w:smallCaps/>
      <w:color w:val="C0504D"/>
      <w:spacing w:val="5"/>
      <w:u w:val="single"/>
    </w:rPr>
  </w:style>
  <w:style w:type="paragraph" w:styleId="IntenseQuote">
    <w:name w:val="Intense Quote"/>
    <w:basedOn w:val="Normal"/>
    <w:next w:val="Normal"/>
    <w:link w:val="IntenseQuoteChar"/>
    <w:uiPriority w:val="30"/>
    <w:qFormat/>
    <w:rsid w:val="00A9643B"/>
    <w:pPr>
      <w:pBdr>
        <w:bottom w:val="single" w:sz="4" w:space="4" w:color="4F81BD"/>
      </w:pBdr>
      <w:spacing w:before="200" w:after="280" w:line="276" w:lineRule="auto"/>
      <w:ind w:left="936" w:right="936"/>
    </w:pPr>
    <w:rPr>
      <w:rFonts w:ascii="Calibri" w:eastAsia="Calibri" w:hAnsi="Calibri"/>
      <w:b/>
      <w:bCs/>
      <w:i/>
      <w:iCs/>
      <w:color w:val="4F81BD"/>
      <w:sz w:val="22"/>
      <w:szCs w:val="22"/>
    </w:rPr>
  </w:style>
  <w:style w:type="character" w:customStyle="1" w:styleId="IntenseQuoteChar">
    <w:name w:val="Intense Quote Char"/>
    <w:basedOn w:val="DefaultParagraphFont"/>
    <w:link w:val="IntenseQuote"/>
    <w:uiPriority w:val="30"/>
    <w:rsid w:val="00A9643B"/>
    <w:rPr>
      <w:rFonts w:ascii="Calibri" w:eastAsia="Calibri" w:hAnsi="Calibri" w:cs="Times New Roman"/>
      <w:b/>
      <w:bCs/>
      <w:i/>
      <w:iCs/>
      <w:color w:val="4F81BD"/>
      <w:sz w:val="22"/>
      <w:szCs w:val="22"/>
    </w:rPr>
  </w:style>
  <w:style w:type="character" w:styleId="PlaceholderText">
    <w:name w:val="Placeholder Text"/>
    <w:basedOn w:val="DefaultParagraphFont"/>
    <w:uiPriority w:val="99"/>
    <w:semiHidden/>
    <w:rsid w:val="00A9643B"/>
    <w:rPr>
      <w:color w:val="808080"/>
    </w:rPr>
  </w:style>
  <w:style w:type="paragraph" w:styleId="DocumentMap">
    <w:name w:val="Document Map"/>
    <w:basedOn w:val="Normal"/>
    <w:link w:val="DocumentMapChar"/>
    <w:uiPriority w:val="99"/>
    <w:unhideWhenUsed/>
    <w:rsid w:val="00A9643B"/>
    <w:rPr>
      <w:rFonts w:ascii="Tahoma" w:eastAsia="Calibri" w:hAnsi="Tahoma" w:cs="Tahoma"/>
      <w:sz w:val="16"/>
      <w:szCs w:val="16"/>
    </w:rPr>
  </w:style>
  <w:style w:type="character" w:customStyle="1" w:styleId="DocumentMapChar">
    <w:name w:val="Document Map Char"/>
    <w:basedOn w:val="DefaultParagraphFont"/>
    <w:link w:val="DocumentMap"/>
    <w:uiPriority w:val="99"/>
    <w:rsid w:val="00A9643B"/>
    <w:rPr>
      <w:rFonts w:ascii="Tahoma" w:eastAsia="Calibri" w:hAnsi="Tahoma" w:cs="Tahoma"/>
      <w:sz w:val="16"/>
      <w:szCs w:val="16"/>
    </w:rPr>
  </w:style>
  <w:style w:type="character" w:customStyle="1" w:styleId="CommentTextChar">
    <w:name w:val="Comment Text Char"/>
    <w:basedOn w:val="DefaultParagraphFont"/>
    <w:link w:val="CommentText"/>
    <w:uiPriority w:val="99"/>
    <w:rsid w:val="00A9643B"/>
    <w:rPr>
      <w:rFonts w:ascii="Arial" w:hAnsi="Arial"/>
      <w:sz w:val="16"/>
    </w:rPr>
  </w:style>
  <w:style w:type="character" w:customStyle="1" w:styleId="CommentSubjectChar">
    <w:name w:val="Comment Subject Char"/>
    <w:basedOn w:val="CommentTextChar"/>
    <w:link w:val="CommentSubject"/>
    <w:uiPriority w:val="99"/>
    <w:semiHidden/>
    <w:rsid w:val="00A9643B"/>
    <w:rPr>
      <w:b/>
      <w:bCs/>
    </w:rPr>
  </w:style>
  <w:style w:type="paragraph" w:styleId="Revision">
    <w:name w:val="Revision"/>
    <w:hidden/>
    <w:uiPriority w:val="99"/>
    <w:semiHidden/>
    <w:rsid w:val="00CE2B0A"/>
    <w:rPr>
      <w:sz w:val="24"/>
      <w:szCs w:val="24"/>
    </w:rPr>
  </w:style>
</w:styles>
</file>

<file path=word/webSettings.xml><?xml version="1.0" encoding="utf-8"?>
<w:webSettings xmlns:r="http://schemas.openxmlformats.org/officeDocument/2006/relationships" xmlns:w="http://schemas.openxmlformats.org/wordprocessingml/2006/main">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hart" Target="charts/chart3.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fred\Desktop\reports\loss%20of%20load%20study%20results%20all%20runs%20as%20of%20tuesday%20october%201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lfred\Desktop\reports\loss%20of%20load%20study%20results%20all%20runs%20as%20of%20tuesday%20october%201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lfred\Desktop\reports\loss%20of%20load%20study%20results%20all%20runs%20as%20of%20tuesday%20october%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Annual Loss of Load Events</a:t>
            </a:r>
          </a:p>
        </c:rich>
      </c:tx>
    </c:title>
    <c:plotArea>
      <c:layout/>
      <c:scatterChart>
        <c:scatterStyle val="smoothMarker"/>
        <c:ser>
          <c:idx val="0"/>
          <c:order val="0"/>
          <c:marker>
            <c:symbol val="none"/>
          </c:marker>
          <c:xVal>
            <c:numRef>
              <c:f>'all scenarios'!$F$5:$F$29</c:f>
              <c:numCache>
                <c:formatCode>0.00%</c:formatCode>
                <c:ptCount val="25"/>
                <c:pt idx="0">
                  <c:v>0.16502804839520796</c:v>
                </c:pt>
                <c:pt idx="1">
                  <c:v>0.15847974802544124</c:v>
                </c:pt>
                <c:pt idx="2">
                  <c:v>0.15193144765567357</c:v>
                </c:pt>
                <c:pt idx="3">
                  <c:v>0.1506217875817189</c:v>
                </c:pt>
                <c:pt idx="4">
                  <c:v>0.14931212750776637</c:v>
                </c:pt>
                <c:pt idx="5">
                  <c:v>0.14800246743381171</c:v>
                </c:pt>
                <c:pt idx="6">
                  <c:v>0.14669280735985787</c:v>
                </c:pt>
                <c:pt idx="7">
                  <c:v>0.14538314728590448</c:v>
                </c:pt>
                <c:pt idx="8">
                  <c:v>0.14407348721195098</c:v>
                </c:pt>
                <c:pt idx="9">
                  <c:v>0.14276382713799851</c:v>
                </c:pt>
                <c:pt idx="10">
                  <c:v>0.14145416706404379</c:v>
                </c:pt>
                <c:pt idx="11">
                  <c:v>0.1401445069900904</c:v>
                </c:pt>
                <c:pt idx="12">
                  <c:v>0.13883484691613684</c:v>
                </c:pt>
                <c:pt idx="13">
                  <c:v>0.13752518684218432</c:v>
                </c:pt>
                <c:pt idx="14">
                  <c:v>0.13621552676822984</c:v>
                </c:pt>
                <c:pt idx="15">
                  <c:v>0.13490586669427621</c:v>
                </c:pt>
                <c:pt idx="16">
                  <c:v>0.13359620662032343</c:v>
                </c:pt>
                <c:pt idx="17">
                  <c:v>0.13228654654636995</c:v>
                </c:pt>
                <c:pt idx="18">
                  <c:v>0.13097688647241645</c:v>
                </c:pt>
                <c:pt idx="19">
                  <c:v>0.12966722639846198</c:v>
                </c:pt>
                <c:pt idx="20">
                  <c:v>0.12835756632450729</c:v>
                </c:pt>
                <c:pt idx="21">
                  <c:v>0.12704790625055468</c:v>
                </c:pt>
                <c:pt idx="22">
                  <c:v>0.12573824617660212</c:v>
                </c:pt>
                <c:pt idx="23">
                  <c:v>0.11918994580683352</c:v>
                </c:pt>
                <c:pt idx="24">
                  <c:v>0.1126416454370656</c:v>
                </c:pt>
              </c:numCache>
            </c:numRef>
          </c:xVal>
          <c:yVal>
            <c:numRef>
              <c:f>'all scenarios'!$C$5:$C$29</c:f>
              <c:numCache>
                <c:formatCode>General</c:formatCode>
                <c:ptCount val="25"/>
                <c:pt idx="0">
                  <c:v>8.4520000000000792E-3</c:v>
                </c:pt>
                <c:pt idx="1">
                  <c:v>1.5591000000000009E-2</c:v>
                </c:pt>
                <c:pt idx="2">
                  <c:v>2.9000750000000013E-2</c:v>
                </c:pt>
                <c:pt idx="3">
                  <c:v>3.2247144508670826E-2</c:v>
                </c:pt>
                <c:pt idx="4">
                  <c:v>3.60432356687901E-2</c:v>
                </c:pt>
                <c:pt idx="5">
                  <c:v>4.0711379562043813E-2</c:v>
                </c:pt>
                <c:pt idx="6">
                  <c:v>4.5866048192771104E-2</c:v>
                </c:pt>
                <c:pt idx="7">
                  <c:v>5.21348310502288E-2</c:v>
                </c:pt>
                <c:pt idx="8">
                  <c:v>5.7881000000000085E-2</c:v>
                </c:pt>
                <c:pt idx="9">
                  <c:v>6.4303983606557438E-2</c:v>
                </c:pt>
                <c:pt idx="10">
                  <c:v>7.2902804878049218E-2</c:v>
                </c:pt>
                <c:pt idx="11">
                  <c:v>8.0720000000000264E-2</c:v>
                </c:pt>
                <c:pt idx="12">
                  <c:v>9.0237616541353441E-2</c:v>
                </c:pt>
                <c:pt idx="13">
                  <c:v>9.9427032258064707E-2</c:v>
                </c:pt>
                <c:pt idx="14">
                  <c:v>0.11006393103448289</c:v>
                </c:pt>
                <c:pt idx="15">
                  <c:v>0.12081940740740738</c:v>
                </c:pt>
                <c:pt idx="16">
                  <c:v>0.13291100000000078</c:v>
                </c:pt>
                <c:pt idx="17">
                  <c:v>0.14816985393258431</c:v>
                </c:pt>
                <c:pt idx="18">
                  <c:v>0.16428212195121955</c:v>
                </c:pt>
                <c:pt idx="19">
                  <c:v>0.18222200000000024</c:v>
                </c:pt>
                <c:pt idx="20">
                  <c:v>0.20114820289855101</c:v>
                </c:pt>
                <c:pt idx="21">
                  <c:v>0.22066852380952387</c:v>
                </c:pt>
                <c:pt idx="22">
                  <c:v>0.24099714408818357</c:v>
                </c:pt>
                <c:pt idx="23">
                  <c:v>0.38945164633441026</c:v>
                </c:pt>
                <c:pt idx="24">
                  <c:v>0.62021051851852238</c:v>
                </c:pt>
              </c:numCache>
            </c:numRef>
          </c:yVal>
          <c:smooth val="1"/>
        </c:ser>
        <c:axId val="113961984"/>
        <c:axId val="116854144"/>
      </c:scatterChart>
      <c:valAx>
        <c:axId val="113961984"/>
        <c:scaling>
          <c:orientation val="minMax"/>
          <c:max val="0.17"/>
          <c:min val="0.11000000000000004"/>
        </c:scaling>
        <c:axPos val="b"/>
        <c:title>
          <c:tx>
            <c:rich>
              <a:bodyPr/>
              <a:lstStyle/>
              <a:p>
                <a:pPr>
                  <a:defRPr/>
                </a:pPr>
                <a:r>
                  <a:rPr lang="en-US"/>
                  <a:t>Reserve Margin</a:t>
                </a:r>
              </a:p>
            </c:rich>
          </c:tx>
        </c:title>
        <c:numFmt formatCode="0%" sourceLinked="0"/>
        <c:minorTickMark val="in"/>
        <c:tickLblPos val="nextTo"/>
        <c:crossAx val="116854144"/>
        <c:crosses val="autoZero"/>
        <c:crossBetween val="midCat"/>
        <c:majorUnit val="1.0000000000000023E-2"/>
        <c:minorUnit val="1.0000000000000041E-3"/>
      </c:valAx>
      <c:valAx>
        <c:axId val="116854144"/>
        <c:scaling>
          <c:orientation val="minMax"/>
          <c:max val="0.70000000000000062"/>
          <c:min val="0"/>
        </c:scaling>
        <c:axPos val="l"/>
        <c:majorGridlines/>
        <c:title>
          <c:tx>
            <c:rich>
              <a:bodyPr rot="-5400000" vert="horz"/>
              <a:lstStyle/>
              <a:p>
                <a:pPr>
                  <a:defRPr/>
                </a:pPr>
                <a:r>
                  <a:rPr lang="en-US"/>
                  <a:t>Events</a:t>
                </a:r>
              </a:p>
            </c:rich>
          </c:tx>
        </c:title>
        <c:numFmt formatCode="General" sourceLinked="1"/>
        <c:minorTickMark val="in"/>
        <c:tickLblPos val="nextTo"/>
        <c:crossAx val="113961984"/>
        <c:crosses val="autoZero"/>
        <c:crossBetween val="midCat"/>
        <c:majorUnit val="0.1"/>
        <c:minorUnit val="2.0000000000000042E-2"/>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Annual loss</a:t>
            </a:r>
            <a:r>
              <a:rPr lang="en-US" baseline="0"/>
              <a:t> of load hours (expectation)</a:t>
            </a:r>
          </a:p>
        </c:rich>
      </c:tx>
    </c:title>
    <c:plotArea>
      <c:layout/>
      <c:scatterChart>
        <c:scatterStyle val="smoothMarker"/>
        <c:ser>
          <c:idx val="2"/>
          <c:order val="2"/>
          <c:marker>
            <c:symbol val="none"/>
          </c:marker>
          <c:xVal>
            <c:numRef>
              <c:f>'all scenarios'!$F$5:$F$29</c:f>
            </c:numRef>
          </c:xVal>
          <c:yVal>
            <c:numRef>
              <c:f>'all scenarios'!$B$5:$B$29</c:f>
            </c:numRef>
          </c:yVal>
          <c:smooth val="1"/>
        </c:ser>
        <c:ser>
          <c:idx val="1"/>
          <c:order val="1"/>
          <c:marker>
            <c:symbol val="none"/>
          </c:marker>
          <c:xVal>
            <c:numRef>
              <c:f>'all scenarios'!$F$5:$F$29</c:f>
              <c:numCache>
                <c:formatCode>0.00%</c:formatCode>
                <c:ptCount val="25"/>
                <c:pt idx="0">
                  <c:v>0.1650280483952079</c:v>
                </c:pt>
                <c:pt idx="1">
                  <c:v>0.15847974802544049</c:v>
                </c:pt>
                <c:pt idx="2">
                  <c:v>0.15193144765567287</c:v>
                </c:pt>
                <c:pt idx="3">
                  <c:v>0.1506217875817189</c:v>
                </c:pt>
                <c:pt idx="4">
                  <c:v>0.14931212750776562</c:v>
                </c:pt>
                <c:pt idx="5">
                  <c:v>0.14800246743381171</c:v>
                </c:pt>
                <c:pt idx="6">
                  <c:v>0.14669280735985787</c:v>
                </c:pt>
                <c:pt idx="7">
                  <c:v>0.14538314728590448</c:v>
                </c:pt>
                <c:pt idx="8">
                  <c:v>0.14407348721195098</c:v>
                </c:pt>
                <c:pt idx="9">
                  <c:v>0.14276382713799779</c:v>
                </c:pt>
                <c:pt idx="10">
                  <c:v>0.14145416706404379</c:v>
                </c:pt>
                <c:pt idx="11">
                  <c:v>0.1401445069900904</c:v>
                </c:pt>
                <c:pt idx="12">
                  <c:v>0.13883484691613684</c:v>
                </c:pt>
                <c:pt idx="13">
                  <c:v>0.13752518684218357</c:v>
                </c:pt>
                <c:pt idx="14">
                  <c:v>0.13621552676822984</c:v>
                </c:pt>
                <c:pt idx="15">
                  <c:v>0.13490586669427621</c:v>
                </c:pt>
                <c:pt idx="16">
                  <c:v>0.13359620662032268</c:v>
                </c:pt>
                <c:pt idx="17">
                  <c:v>0.13228654654636923</c:v>
                </c:pt>
                <c:pt idx="18">
                  <c:v>0.13097688647241573</c:v>
                </c:pt>
                <c:pt idx="19">
                  <c:v>0.12966722639846198</c:v>
                </c:pt>
                <c:pt idx="20">
                  <c:v>0.12835756632450815</c:v>
                </c:pt>
                <c:pt idx="21">
                  <c:v>0.12704790625055468</c:v>
                </c:pt>
                <c:pt idx="22">
                  <c:v>0.12573824617660151</c:v>
                </c:pt>
                <c:pt idx="23">
                  <c:v>0.11918994580683342</c:v>
                </c:pt>
                <c:pt idx="24">
                  <c:v>0.11264164543706556</c:v>
                </c:pt>
              </c:numCache>
            </c:numRef>
          </c:xVal>
          <c:yVal>
            <c:numRef>
              <c:f>'all scenarios'!$B$5:$B$29</c:f>
              <c:numCache>
                <c:formatCode>General</c:formatCode>
                <c:ptCount val="25"/>
                <c:pt idx="0">
                  <c:v>1.3765000000000017E-2</c:v>
                </c:pt>
                <c:pt idx="1">
                  <c:v>2.6359999999999998E-2</c:v>
                </c:pt>
                <c:pt idx="2">
                  <c:v>4.9502250000000088E-2</c:v>
                </c:pt>
                <c:pt idx="3">
                  <c:v>5.5173763005780301E-2</c:v>
                </c:pt>
                <c:pt idx="4">
                  <c:v>6.2251636942675326E-2</c:v>
                </c:pt>
                <c:pt idx="5">
                  <c:v>7.0113394160583903E-2</c:v>
                </c:pt>
                <c:pt idx="6">
                  <c:v>7.9374586345381595E-2</c:v>
                </c:pt>
                <c:pt idx="7">
                  <c:v>9.0418228310502308E-2</c:v>
                </c:pt>
                <c:pt idx="8">
                  <c:v>0.101079</c:v>
                </c:pt>
                <c:pt idx="9">
                  <c:v>0.1135277158469945</c:v>
                </c:pt>
                <c:pt idx="10">
                  <c:v>0.12876260975609771</c:v>
                </c:pt>
                <c:pt idx="11">
                  <c:v>0.14550500000000019</c:v>
                </c:pt>
                <c:pt idx="12">
                  <c:v>0.16356963909774422</c:v>
                </c:pt>
                <c:pt idx="13">
                  <c:v>0.18126874193548426</c:v>
                </c:pt>
                <c:pt idx="14">
                  <c:v>0.20139758620689704</c:v>
                </c:pt>
                <c:pt idx="15">
                  <c:v>0.22148000000000001</c:v>
                </c:pt>
                <c:pt idx="16">
                  <c:v>0.24485900000000022</c:v>
                </c:pt>
                <c:pt idx="17">
                  <c:v>0.27388502247191004</c:v>
                </c:pt>
                <c:pt idx="18">
                  <c:v>0.30410182926829332</c:v>
                </c:pt>
                <c:pt idx="19">
                  <c:v>0.33886866666666809</c:v>
                </c:pt>
                <c:pt idx="20">
                  <c:v>0.3773469855072471</c:v>
                </c:pt>
                <c:pt idx="21">
                  <c:v>0.41593353968254032</c:v>
                </c:pt>
                <c:pt idx="22">
                  <c:v>0.45700920526054556</c:v>
                </c:pt>
                <c:pt idx="23">
                  <c:v>0.75790350004132567</c:v>
                </c:pt>
                <c:pt idx="24">
                  <c:v>1.2426862592592598</c:v>
                </c:pt>
              </c:numCache>
            </c:numRef>
          </c:yVal>
          <c:smooth val="1"/>
        </c:ser>
        <c:ser>
          <c:idx val="0"/>
          <c:order val="0"/>
          <c:marker>
            <c:symbol val="none"/>
          </c:marker>
          <c:xVal>
            <c:numRef>
              <c:f>'all scenarios'!$F$5:$F$29</c:f>
              <c:numCache>
                <c:formatCode>0.00%</c:formatCode>
                <c:ptCount val="25"/>
                <c:pt idx="0">
                  <c:v>0.1650280483952079</c:v>
                </c:pt>
                <c:pt idx="1">
                  <c:v>0.15847974802544049</c:v>
                </c:pt>
                <c:pt idx="2">
                  <c:v>0.15193144765567287</c:v>
                </c:pt>
                <c:pt idx="3">
                  <c:v>0.1506217875817189</c:v>
                </c:pt>
                <c:pt idx="4">
                  <c:v>0.14931212750776562</c:v>
                </c:pt>
                <c:pt idx="5">
                  <c:v>0.14800246743381171</c:v>
                </c:pt>
                <c:pt idx="6">
                  <c:v>0.14669280735985787</c:v>
                </c:pt>
                <c:pt idx="7">
                  <c:v>0.14538314728590448</c:v>
                </c:pt>
                <c:pt idx="8">
                  <c:v>0.14407348721195098</c:v>
                </c:pt>
                <c:pt idx="9">
                  <c:v>0.14276382713799779</c:v>
                </c:pt>
                <c:pt idx="10">
                  <c:v>0.14145416706404379</c:v>
                </c:pt>
                <c:pt idx="11">
                  <c:v>0.1401445069900904</c:v>
                </c:pt>
                <c:pt idx="12">
                  <c:v>0.13883484691613684</c:v>
                </c:pt>
                <c:pt idx="13">
                  <c:v>0.13752518684218357</c:v>
                </c:pt>
                <c:pt idx="14">
                  <c:v>0.13621552676822984</c:v>
                </c:pt>
                <c:pt idx="15">
                  <c:v>0.13490586669427621</c:v>
                </c:pt>
                <c:pt idx="16">
                  <c:v>0.13359620662032268</c:v>
                </c:pt>
                <c:pt idx="17">
                  <c:v>0.13228654654636923</c:v>
                </c:pt>
                <c:pt idx="18">
                  <c:v>0.13097688647241573</c:v>
                </c:pt>
                <c:pt idx="19">
                  <c:v>0.12966722639846198</c:v>
                </c:pt>
                <c:pt idx="20">
                  <c:v>0.12835756632450815</c:v>
                </c:pt>
                <c:pt idx="21">
                  <c:v>0.12704790625055468</c:v>
                </c:pt>
                <c:pt idx="22">
                  <c:v>0.12573824617660151</c:v>
                </c:pt>
                <c:pt idx="23">
                  <c:v>0.11918994580683342</c:v>
                </c:pt>
                <c:pt idx="24">
                  <c:v>0.11264164543706556</c:v>
                </c:pt>
              </c:numCache>
            </c:numRef>
          </c:xVal>
          <c:yVal>
            <c:numRef>
              <c:f>'all scenarios'!$B$5:$B$29</c:f>
              <c:numCache>
                <c:formatCode>General</c:formatCode>
                <c:ptCount val="25"/>
                <c:pt idx="0">
                  <c:v>1.3765000000000017E-2</c:v>
                </c:pt>
                <c:pt idx="1">
                  <c:v>2.6359999999999998E-2</c:v>
                </c:pt>
                <c:pt idx="2">
                  <c:v>4.9502250000000088E-2</c:v>
                </c:pt>
                <c:pt idx="3">
                  <c:v>5.5173763005780301E-2</c:v>
                </c:pt>
                <c:pt idx="4">
                  <c:v>6.2251636942675326E-2</c:v>
                </c:pt>
                <c:pt idx="5">
                  <c:v>7.0113394160583903E-2</c:v>
                </c:pt>
                <c:pt idx="6">
                  <c:v>7.9374586345381595E-2</c:v>
                </c:pt>
                <c:pt idx="7">
                  <c:v>9.0418228310502308E-2</c:v>
                </c:pt>
                <c:pt idx="8">
                  <c:v>0.101079</c:v>
                </c:pt>
                <c:pt idx="9">
                  <c:v>0.1135277158469945</c:v>
                </c:pt>
                <c:pt idx="10">
                  <c:v>0.12876260975609771</c:v>
                </c:pt>
                <c:pt idx="11">
                  <c:v>0.14550500000000019</c:v>
                </c:pt>
                <c:pt idx="12">
                  <c:v>0.16356963909774422</c:v>
                </c:pt>
                <c:pt idx="13">
                  <c:v>0.18126874193548426</c:v>
                </c:pt>
                <c:pt idx="14">
                  <c:v>0.20139758620689704</c:v>
                </c:pt>
                <c:pt idx="15">
                  <c:v>0.22148000000000001</c:v>
                </c:pt>
                <c:pt idx="16">
                  <c:v>0.24485900000000022</c:v>
                </c:pt>
                <c:pt idx="17">
                  <c:v>0.27388502247191004</c:v>
                </c:pt>
                <c:pt idx="18">
                  <c:v>0.30410182926829332</c:v>
                </c:pt>
                <c:pt idx="19">
                  <c:v>0.33886866666666809</c:v>
                </c:pt>
                <c:pt idx="20">
                  <c:v>0.3773469855072471</c:v>
                </c:pt>
                <c:pt idx="21">
                  <c:v>0.41593353968254032</c:v>
                </c:pt>
                <c:pt idx="22">
                  <c:v>0.45700920526054556</c:v>
                </c:pt>
                <c:pt idx="23">
                  <c:v>0.75790350004132567</c:v>
                </c:pt>
                <c:pt idx="24">
                  <c:v>1.2426862592592598</c:v>
                </c:pt>
              </c:numCache>
            </c:numRef>
          </c:yVal>
          <c:smooth val="1"/>
        </c:ser>
        <c:axId val="126931712"/>
        <c:axId val="126933632"/>
      </c:scatterChart>
      <c:valAx>
        <c:axId val="126931712"/>
        <c:scaling>
          <c:orientation val="minMax"/>
          <c:max val="0.17"/>
          <c:min val="0.11"/>
        </c:scaling>
        <c:axPos val="b"/>
        <c:title>
          <c:tx>
            <c:rich>
              <a:bodyPr/>
              <a:lstStyle/>
              <a:p>
                <a:pPr>
                  <a:defRPr/>
                </a:pPr>
                <a:r>
                  <a:rPr lang="en-US"/>
                  <a:t>reserve</a:t>
                </a:r>
                <a:r>
                  <a:rPr lang="en-US" baseline="0"/>
                  <a:t> margin</a:t>
                </a:r>
                <a:endParaRPr lang="en-US"/>
              </a:p>
            </c:rich>
          </c:tx>
        </c:title>
        <c:numFmt formatCode="0%" sourceLinked="0"/>
        <c:minorTickMark val="in"/>
        <c:tickLblPos val="nextTo"/>
        <c:crossAx val="126933632"/>
        <c:crosses val="autoZero"/>
        <c:crossBetween val="midCat"/>
        <c:majorUnit val="1.0000000000000005E-2"/>
        <c:minorUnit val="1.0000000000000041E-3"/>
      </c:valAx>
      <c:valAx>
        <c:axId val="126933632"/>
        <c:scaling>
          <c:orientation val="minMax"/>
          <c:max val="1.4"/>
          <c:min val="0"/>
        </c:scaling>
        <c:axPos val="l"/>
        <c:majorGridlines/>
        <c:title>
          <c:tx>
            <c:rich>
              <a:bodyPr rot="-5400000" vert="horz"/>
              <a:lstStyle/>
              <a:p>
                <a:pPr>
                  <a:defRPr/>
                </a:pPr>
                <a:r>
                  <a:rPr lang="en-US"/>
                  <a:t>(hrs)</a:t>
                </a:r>
              </a:p>
            </c:rich>
          </c:tx>
        </c:title>
        <c:numFmt formatCode="General" sourceLinked="1"/>
        <c:minorTickMark val="in"/>
        <c:tickLblPos val="nextTo"/>
        <c:crossAx val="126931712"/>
        <c:crosses val="autoZero"/>
        <c:crossBetween val="midCat"/>
        <c:majorUnit val="0.2"/>
        <c:minorUnit val="4.0000000000000022E-2"/>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Annual Expected</a:t>
            </a:r>
            <a:r>
              <a:rPr lang="en-US" baseline="0"/>
              <a:t> Unserved Energy</a:t>
            </a:r>
            <a:endParaRPr lang="en-US"/>
          </a:p>
        </c:rich>
      </c:tx>
    </c:title>
    <c:plotArea>
      <c:layout/>
      <c:scatterChart>
        <c:scatterStyle val="smoothMarker"/>
        <c:ser>
          <c:idx val="0"/>
          <c:order val="0"/>
          <c:marker>
            <c:symbol val="none"/>
          </c:marker>
          <c:xVal>
            <c:numRef>
              <c:f>'all scenarios'!$F$5:$F$29</c:f>
              <c:numCache>
                <c:formatCode>0.00%</c:formatCode>
                <c:ptCount val="25"/>
                <c:pt idx="0">
                  <c:v>0.1650280483952079</c:v>
                </c:pt>
                <c:pt idx="1">
                  <c:v>0.15847974802544124</c:v>
                </c:pt>
                <c:pt idx="2">
                  <c:v>0.15193144765567357</c:v>
                </c:pt>
                <c:pt idx="3">
                  <c:v>0.1506217875817189</c:v>
                </c:pt>
                <c:pt idx="4">
                  <c:v>0.14931212750776637</c:v>
                </c:pt>
                <c:pt idx="5">
                  <c:v>0.14800246743381171</c:v>
                </c:pt>
                <c:pt idx="6">
                  <c:v>0.14669280735985787</c:v>
                </c:pt>
                <c:pt idx="7">
                  <c:v>0.14538314728590448</c:v>
                </c:pt>
                <c:pt idx="8">
                  <c:v>0.14407348721195098</c:v>
                </c:pt>
                <c:pt idx="9">
                  <c:v>0.14276382713799851</c:v>
                </c:pt>
                <c:pt idx="10">
                  <c:v>0.14145416706404379</c:v>
                </c:pt>
                <c:pt idx="11">
                  <c:v>0.1401445069900904</c:v>
                </c:pt>
                <c:pt idx="12">
                  <c:v>0.13883484691613684</c:v>
                </c:pt>
                <c:pt idx="13">
                  <c:v>0.13752518684218432</c:v>
                </c:pt>
                <c:pt idx="14">
                  <c:v>0.13621552676822984</c:v>
                </c:pt>
                <c:pt idx="15">
                  <c:v>0.13490586669427621</c:v>
                </c:pt>
                <c:pt idx="16">
                  <c:v>0.13359620662032343</c:v>
                </c:pt>
                <c:pt idx="17">
                  <c:v>0.13228654654636995</c:v>
                </c:pt>
                <c:pt idx="18">
                  <c:v>0.13097688647241645</c:v>
                </c:pt>
                <c:pt idx="19">
                  <c:v>0.12966722639846198</c:v>
                </c:pt>
                <c:pt idx="20">
                  <c:v>0.12835756632450729</c:v>
                </c:pt>
                <c:pt idx="21">
                  <c:v>0.12704790625055468</c:v>
                </c:pt>
                <c:pt idx="22">
                  <c:v>0.12573824617660212</c:v>
                </c:pt>
                <c:pt idx="23">
                  <c:v>0.11918994580683342</c:v>
                </c:pt>
                <c:pt idx="24">
                  <c:v>0.11264164543706556</c:v>
                </c:pt>
              </c:numCache>
            </c:numRef>
          </c:xVal>
          <c:yVal>
            <c:numRef>
              <c:f>'all scenarios'!$E$5:$E$29</c:f>
              <c:numCache>
                <c:formatCode>General</c:formatCode>
                <c:ptCount val="25"/>
                <c:pt idx="0">
                  <c:v>7.0844688476562245</c:v>
                </c:pt>
                <c:pt idx="1">
                  <c:v>14.491513050781252</c:v>
                </c:pt>
                <c:pt idx="2">
                  <c:v>28.519438873697929</c:v>
                </c:pt>
                <c:pt idx="3">
                  <c:v>32.166673894215151</c:v>
                </c:pt>
                <c:pt idx="4">
                  <c:v>36.434870470665651</c:v>
                </c:pt>
                <c:pt idx="5">
                  <c:v>41.546329521669705</c:v>
                </c:pt>
                <c:pt idx="6">
                  <c:v>47.593663367893242</c:v>
                </c:pt>
                <c:pt idx="7">
                  <c:v>54.500679521154396</c:v>
                </c:pt>
                <c:pt idx="8">
                  <c:v>60.767150988281465</c:v>
                </c:pt>
                <c:pt idx="9">
                  <c:v>68.567807640005967</c:v>
                </c:pt>
                <c:pt idx="10">
                  <c:v>77.880555718749989</c:v>
                </c:pt>
                <c:pt idx="11">
                  <c:v>89.304073138020385</c:v>
                </c:pt>
                <c:pt idx="12">
                  <c:v>103.05078354534807</c:v>
                </c:pt>
                <c:pt idx="13">
                  <c:v>115.02056521118951</c:v>
                </c:pt>
                <c:pt idx="14">
                  <c:v>129.40113422817819</c:v>
                </c:pt>
                <c:pt idx="15">
                  <c:v>144.6062125023148</c:v>
                </c:pt>
                <c:pt idx="16">
                  <c:v>161.65371949218752</c:v>
                </c:pt>
                <c:pt idx="17">
                  <c:v>180.32638060718125</c:v>
                </c:pt>
                <c:pt idx="18">
                  <c:v>201.55632425781261</c:v>
                </c:pt>
                <c:pt idx="19">
                  <c:v>227.48412118750076</c:v>
                </c:pt>
                <c:pt idx="20">
                  <c:v>255.86470299954601</c:v>
                </c:pt>
                <c:pt idx="21">
                  <c:v>284.2851650711786</c:v>
                </c:pt>
                <c:pt idx="22">
                  <c:v>315.14688340373255</c:v>
                </c:pt>
                <c:pt idx="23">
                  <c:v>546.75189590163154</c:v>
                </c:pt>
                <c:pt idx="24">
                  <c:v>936.49500568721044</c:v>
                </c:pt>
              </c:numCache>
            </c:numRef>
          </c:yVal>
          <c:smooth val="1"/>
        </c:ser>
        <c:axId val="127670528"/>
        <c:axId val="127676800"/>
      </c:scatterChart>
      <c:valAx>
        <c:axId val="127670528"/>
        <c:scaling>
          <c:orientation val="minMax"/>
          <c:max val="0.17"/>
          <c:min val="0.11"/>
        </c:scaling>
        <c:axPos val="b"/>
        <c:title>
          <c:tx>
            <c:rich>
              <a:bodyPr/>
              <a:lstStyle/>
              <a:p>
                <a:pPr>
                  <a:defRPr/>
                </a:pPr>
                <a:r>
                  <a:rPr lang="en-US"/>
                  <a:t>Reserve Margin</a:t>
                </a:r>
              </a:p>
            </c:rich>
          </c:tx>
        </c:title>
        <c:numFmt formatCode="0%" sourceLinked="0"/>
        <c:minorTickMark val="in"/>
        <c:tickLblPos val="nextTo"/>
        <c:crossAx val="127676800"/>
        <c:crosses val="autoZero"/>
        <c:crossBetween val="midCat"/>
        <c:majorUnit val="1.0000000000000005E-2"/>
        <c:minorUnit val="1.0000000000000041E-3"/>
      </c:valAx>
      <c:valAx>
        <c:axId val="127676800"/>
        <c:scaling>
          <c:orientation val="minMax"/>
          <c:max val="1000"/>
          <c:min val="0"/>
        </c:scaling>
        <c:axPos val="l"/>
        <c:majorGridlines/>
        <c:title>
          <c:tx>
            <c:rich>
              <a:bodyPr rot="-5400000" vert="horz"/>
              <a:lstStyle/>
              <a:p>
                <a:pPr>
                  <a:defRPr/>
                </a:pPr>
                <a:r>
                  <a:rPr lang="en-US"/>
                  <a:t>(MWh)</a:t>
                </a:r>
              </a:p>
            </c:rich>
          </c:tx>
        </c:title>
        <c:numFmt formatCode="General" sourceLinked="1"/>
        <c:minorTickMark val="in"/>
        <c:tickLblPos val="nextTo"/>
        <c:crossAx val="127670528"/>
        <c:crosses val="autoZero"/>
        <c:crossBetween val="midCat"/>
        <c:majorUnit val="100"/>
        <c:minorUnit val="20"/>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3BE54-DEF6-4083-88CF-C6F2D1A74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TotalTime>
  <Pages>32</Pages>
  <Words>6390</Words>
  <Characters>36429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42734</CharactersWithSpaces>
  <SharedDoc>false</SharedDoc>
  <HLinks>
    <vt:vector size="138" baseType="variant">
      <vt:variant>
        <vt:i4>1048634</vt:i4>
      </vt:variant>
      <vt:variant>
        <vt:i4>134</vt:i4>
      </vt:variant>
      <vt:variant>
        <vt:i4>0</vt:i4>
      </vt:variant>
      <vt:variant>
        <vt:i4>5</vt:i4>
      </vt:variant>
      <vt:variant>
        <vt:lpwstr/>
      </vt:variant>
      <vt:variant>
        <vt:lpwstr>_Toc276373901</vt:lpwstr>
      </vt:variant>
      <vt:variant>
        <vt:i4>1048634</vt:i4>
      </vt:variant>
      <vt:variant>
        <vt:i4>128</vt:i4>
      </vt:variant>
      <vt:variant>
        <vt:i4>0</vt:i4>
      </vt:variant>
      <vt:variant>
        <vt:i4>5</vt:i4>
      </vt:variant>
      <vt:variant>
        <vt:lpwstr/>
      </vt:variant>
      <vt:variant>
        <vt:lpwstr>_Toc276373900</vt:lpwstr>
      </vt:variant>
      <vt:variant>
        <vt:i4>1638459</vt:i4>
      </vt:variant>
      <vt:variant>
        <vt:i4>122</vt:i4>
      </vt:variant>
      <vt:variant>
        <vt:i4>0</vt:i4>
      </vt:variant>
      <vt:variant>
        <vt:i4>5</vt:i4>
      </vt:variant>
      <vt:variant>
        <vt:lpwstr/>
      </vt:variant>
      <vt:variant>
        <vt:lpwstr>_Toc276373899</vt:lpwstr>
      </vt:variant>
      <vt:variant>
        <vt:i4>1638459</vt:i4>
      </vt:variant>
      <vt:variant>
        <vt:i4>116</vt:i4>
      </vt:variant>
      <vt:variant>
        <vt:i4>0</vt:i4>
      </vt:variant>
      <vt:variant>
        <vt:i4>5</vt:i4>
      </vt:variant>
      <vt:variant>
        <vt:lpwstr/>
      </vt:variant>
      <vt:variant>
        <vt:lpwstr>_Toc276373898</vt:lpwstr>
      </vt:variant>
      <vt:variant>
        <vt:i4>1638459</vt:i4>
      </vt:variant>
      <vt:variant>
        <vt:i4>110</vt:i4>
      </vt:variant>
      <vt:variant>
        <vt:i4>0</vt:i4>
      </vt:variant>
      <vt:variant>
        <vt:i4>5</vt:i4>
      </vt:variant>
      <vt:variant>
        <vt:lpwstr/>
      </vt:variant>
      <vt:variant>
        <vt:lpwstr>_Toc276373897</vt:lpwstr>
      </vt:variant>
      <vt:variant>
        <vt:i4>1638459</vt:i4>
      </vt:variant>
      <vt:variant>
        <vt:i4>104</vt:i4>
      </vt:variant>
      <vt:variant>
        <vt:i4>0</vt:i4>
      </vt:variant>
      <vt:variant>
        <vt:i4>5</vt:i4>
      </vt:variant>
      <vt:variant>
        <vt:lpwstr/>
      </vt:variant>
      <vt:variant>
        <vt:lpwstr>_Toc276373896</vt:lpwstr>
      </vt:variant>
      <vt:variant>
        <vt:i4>1638459</vt:i4>
      </vt:variant>
      <vt:variant>
        <vt:i4>98</vt:i4>
      </vt:variant>
      <vt:variant>
        <vt:i4>0</vt:i4>
      </vt:variant>
      <vt:variant>
        <vt:i4>5</vt:i4>
      </vt:variant>
      <vt:variant>
        <vt:lpwstr/>
      </vt:variant>
      <vt:variant>
        <vt:lpwstr>_Toc276373895</vt:lpwstr>
      </vt:variant>
      <vt:variant>
        <vt:i4>1638459</vt:i4>
      </vt:variant>
      <vt:variant>
        <vt:i4>92</vt:i4>
      </vt:variant>
      <vt:variant>
        <vt:i4>0</vt:i4>
      </vt:variant>
      <vt:variant>
        <vt:i4>5</vt:i4>
      </vt:variant>
      <vt:variant>
        <vt:lpwstr/>
      </vt:variant>
      <vt:variant>
        <vt:lpwstr>_Toc276373894</vt:lpwstr>
      </vt:variant>
      <vt:variant>
        <vt:i4>1638459</vt:i4>
      </vt:variant>
      <vt:variant>
        <vt:i4>86</vt:i4>
      </vt:variant>
      <vt:variant>
        <vt:i4>0</vt:i4>
      </vt:variant>
      <vt:variant>
        <vt:i4>5</vt:i4>
      </vt:variant>
      <vt:variant>
        <vt:lpwstr/>
      </vt:variant>
      <vt:variant>
        <vt:lpwstr>_Toc276373893</vt:lpwstr>
      </vt:variant>
      <vt:variant>
        <vt:i4>1638459</vt:i4>
      </vt:variant>
      <vt:variant>
        <vt:i4>80</vt:i4>
      </vt:variant>
      <vt:variant>
        <vt:i4>0</vt:i4>
      </vt:variant>
      <vt:variant>
        <vt:i4>5</vt:i4>
      </vt:variant>
      <vt:variant>
        <vt:lpwstr/>
      </vt:variant>
      <vt:variant>
        <vt:lpwstr>_Toc276373892</vt:lpwstr>
      </vt:variant>
      <vt:variant>
        <vt:i4>1638459</vt:i4>
      </vt:variant>
      <vt:variant>
        <vt:i4>74</vt:i4>
      </vt:variant>
      <vt:variant>
        <vt:i4>0</vt:i4>
      </vt:variant>
      <vt:variant>
        <vt:i4>5</vt:i4>
      </vt:variant>
      <vt:variant>
        <vt:lpwstr/>
      </vt:variant>
      <vt:variant>
        <vt:lpwstr>_Toc276373891</vt:lpwstr>
      </vt:variant>
      <vt:variant>
        <vt:i4>1638459</vt:i4>
      </vt:variant>
      <vt:variant>
        <vt:i4>68</vt:i4>
      </vt:variant>
      <vt:variant>
        <vt:i4>0</vt:i4>
      </vt:variant>
      <vt:variant>
        <vt:i4>5</vt:i4>
      </vt:variant>
      <vt:variant>
        <vt:lpwstr/>
      </vt:variant>
      <vt:variant>
        <vt:lpwstr>_Toc276373890</vt:lpwstr>
      </vt:variant>
      <vt:variant>
        <vt:i4>1572923</vt:i4>
      </vt:variant>
      <vt:variant>
        <vt:i4>62</vt:i4>
      </vt:variant>
      <vt:variant>
        <vt:i4>0</vt:i4>
      </vt:variant>
      <vt:variant>
        <vt:i4>5</vt:i4>
      </vt:variant>
      <vt:variant>
        <vt:lpwstr/>
      </vt:variant>
      <vt:variant>
        <vt:lpwstr>_Toc276373889</vt:lpwstr>
      </vt:variant>
      <vt:variant>
        <vt:i4>1572923</vt:i4>
      </vt:variant>
      <vt:variant>
        <vt:i4>56</vt:i4>
      </vt:variant>
      <vt:variant>
        <vt:i4>0</vt:i4>
      </vt:variant>
      <vt:variant>
        <vt:i4>5</vt:i4>
      </vt:variant>
      <vt:variant>
        <vt:lpwstr/>
      </vt:variant>
      <vt:variant>
        <vt:lpwstr>_Toc276373888</vt:lpwstr>
      </vt:variant>
      <vt:variant>
        <vt:i4>1572923</vt:i4>
      </vt:variant>
      <vt:variant>
        <vt:i4>50</vt:i4>
      </vt:variant>
      <vt:variant>
        <vt:i4>0</vt:i4>
      </vt:variant>
      <vt:variant>
        <vt:i4>5</vt:i4>
      </vt:variant>
      <vt:variant>
        <vt:lpwstr/>
      </vt:variant>
      <vt:variant>
        <vt:lpwstr>_Toc276373887</vt:lpwstr>
      </vt:variant>
      <vt:variant>
        <vt:i4>1572923</vt:i4>
      </vt:variant>
      <vt:variant>
        <vt:i4>44</vt:i4>
      </vt:variant>
      <vt:variant>
        <vt:i4>0</vt:i4>
      </vt:variant>
      <vt:variant>
        <vt:i4>5</vt:i4>
      </vt:variant>
      <vt:variant>
        <vt:lpwstr/>
      </vt:variant>
      <vt:variant>
        <vt:lpwstr>_Toc276373886</vt:lpwstr>
      </vt:variant>
      <vt:variant>
        <vt:i4>1572923</vt:i4>
      </vt:variant>
      <vt:variant>
        <vt:i4>38</vt:i4>
      </vt:variant>
      <vt:variant>
        <vt:i4>0</vt:i4>
      </vt:variant>
      <vt:variant>
        <vt:i4>5</vt:i4>
      </vt:variant>
      <vt:variant>
        <vt:lpwstr/>
      </vt:variant>
      <vt:variant>
        <vt:lpwstr>_Toc276373885</vt:lpwstr>
      </vt:variant>
      <vt:variant>
        <vt:i4>1572923</vt:i4>
      </vt:variant>
      <vt:variant>
        <vt:i4>32</vt:i4>
      </vt:variant>
      <vt:variant>
        <vt:i4>0</vt:i4>
      </vt:variant>
      <vt:variant>
        <vt:i4>5</vt:i4>
      </vt:variant>
      <vt:variant>
        <vt:lpwstr/>
      </vt:variant>
      <vt:variant>
        <vt:lpwstr>_Toc276373884</vt:lpwstr>
      </vt:variant>
      <vt:variant>
        <vt:i4>1572923</vt:i4>
      </vt:variant>
      <vt:variant>
        <vt:i4>26</vt:i4>
      </vt:variant>
      <vt:variant>
        <vt:i4>0</vt:i4>
      </vt:variant>
      <vt:variant>
        <vt:i4>5</vt:i4>
      </vt:variant>
      <vt:variant>
        <vt:lpwstr/>
      </vt:variant>
      <vt:variant>
        <vt:lpwstr>_Toc276373883</vt:lpwstr>
      </vt:variant>
      <vt:variant>
        <vt:i4>1572923</vt:i4>
      </vt:variant>
      <vt:variant>
        <vt:i4>20</vt:i4>
      </vt:variant>
      <vt:variant>
        <vt:i4>0</vt:i4>
      </vt:variant>
      <vt:variant>
        <vt:i4>5</vt:i4>
      </vt:variant>
      <vt:variant>
        <vt:lpwstr/>
      </vt:variant>
      <vt:variant>
        <vt:lpwstr>_Toc276373882</vt:lpwstr>
      </vt:variant>
      <vt:variant>
        <vt:i4>1572923</vt:i4>
      </vt:variant>
      <vt:variant>
        <vt:i4>14</vt:i4>
      </vt:variant>
      <vt:variant>
        <vt:i4>0</vt:i4>
      </vt:variant>
      <vt:variant>
        <vt:i4>5</vt:i4>
      </vt:variant>
      <vt:variant>
        <vt:lpwstr/>
      </vt:variant>
      <vt:variant>
        <vt:lpwstr>_Toc276373881</vt:lpwstr>
      </vt:variant>
      <vt:variant>
        <vt:i4>1572923</vt:i4>
      </vt:variant>
      <vt:variant>
        <vt:i4>8</vt:i4>
      </vt:variant>
      <vt:variant>
        <vt:i4>0</vt:i4>
      </vt:variant>
      <vt:variant>
        <vt:i4>5</vt:i4>
      </vt:variant>
      <vt:variant>
        <vt:lpwstr/>
      </vt:variant>
      <vt:variant>
        <vt:lpwstr>_Toc276373880</vt:lpwstr>
      </vt:variant>
      <vt:variant>
        <vt:i4>1507387</vt:i4>
      </vt:variant>
      <vt:variant>
        <vt:i4>2</vt:i4>
      </vt:variant>
      <vt:variant>
        <vt:i4>0</vt:i4>
      </vt:variant>
      <vt:variant>
        <vt:i4>5</vt:i4>
      </vt:variant>
      <vt:variant>
        <vt:lpwstr/>
      </vt:variant>
      <vt:variant>
        <vt:lpwstr>_Toc276373879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khorne</dc:creator>
  <cp:keywords/>
  <cp:lastModifiedBy>Dan Woodfin</cp:lastModifiedBy>
  <cp:revision>2</cp:revision>
  <cp:lastPrinted>2010-07-21T23:56:00Z</cp:lastPrinted>
  <dcterms:created xsi:type="dcterms:W3CDTF">2010-11-02T16:09:00Z</dcterms:created>
  <dcterms:modified xsi:type="dcterms:W3CDTF">2010-11-02T16:09:00Z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Information Classification">
    <vt:lpwstr>ERCOT Limited</vt:lpwstr>
  </property>
</Properties>
</file>