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3308" w:rsidRPr="00CF3308" w:rsidRDefault="00CF3308" w:rsidP="00CF3308">
      <w:pPr>
        <w:spacing w:line="240" w:lineRule="auto"/>
        <w:jc w:val="center"/>
        <w:rPr>
          <w:rFonts w:ascii="Arial" w:hAnsi="Arial" w:cs="Arial"/>
          <w:b/>
          <w:sz w:val="24"/>
          <w:szCs w:val="24"/>
        </w:rPr>
      </w:pPr>
      <w:r w:rsidRPr="00CF3308">
        <w:rPr>
          <w:rFonts w:ascii="Arial" w:hAnsi="Arial" w:cs="Arial"/>
          <w:b/>
          <w:sz w:val="24"/>
          <w:szCs w:val="24"/>
        </w:rPr>
        <w:t>Comments of the Lower Colorado River Authority on the Technical Advisory Committee Proposed Structural and Procedural Review</w:t>
      </w:r>
    </w:p>
    <w:p w:rsidR="005D6995" w:rsidRPr="00844E27" w:rsidRDefault="0096458E" w:rsidP="00CF3308">
      <w:pPr>
        <w:spacing w:line="240" w:lineRule="auto"/>
        <w:rPr>
          <w:rFonts w:ascii="Arial" w:hAnsi="Arial" w:cs="Arial"/>
          <w:sz w:val="24"/>
          <w:szCs w:val="24"/>
        </w:rPr>
      </w:pPr>
      <w:r w:rsidRPr="00844E27">
        <w:rPr>
          <w:rFonts w:ascii="Arial" w:hAnsi="Arial" w:cs="Arial"/>
          <w:sz w:val="24"/>
          <w:szCs w:val="24"/>
        </w:rPr>
        <w:t>The Lower Colorado River Authority (LCRA) appreciates the opportunity to comment on the proposed Technical Advisory Committee (TAC) 2010 Structural and Procedural Review.  LCRA supports the ongoing effort of the TAC to review its procedures and subcommittee structure</w:t>
      </w:r>
      <w:r w:rsidR="00283FAD">
        <w:rPr>
          <w:rFonts w:ascii="Arial" w:hAnsi="Arial" w:cs="Arial"/>
          <w:sz w:val="24"/>
          <w:szCs w:val="24"/>
        </w:rPr>
        <w:t>.</w:t>
      </w:r>
      <w:r w:rsidRPr="00844E27">
        <w:rPr>
          <w:rFonts w:ascii="Arial" w:hAnsi="Arial" w:cs="Arial"/>
          <w:sz w:val="24"/>
          <w:szCs w:val="24"/>
        </w:rPr>
        <w:t xml:space="preserve"> </w:t>
      </w:r>
      <w:r w:rsidR="00283FAD">
        <w:rPr>
          <w:rFonts w:ascii="Arial" w:hAnsi="Arial" w:cs="Arial"/>
          <w:sz w:val="24"/>
          <w:szCs w:val="24"/>
        </w:rPr>
        <w:t>T</w:t>
      </w:r>
      <w:r w:rsidRPr="00844E27">
        <w:rPr>
          <w:rFonts w:ascii="Arial" w:hAnsi="Arial" w:cs="Arial"/>
          <w:sz w:val="24"/>
          <w:szCs w:val="24"/>
        </w:rPr>
        <w:t>he process described in the review document is an appropriate and efficient method to conduct that review.</w:t>
      </w:r>
    </w:p>
    <w:p w:rsidR="0096458E" w:rsidRPr="00844E27" w:rsidRDefault="0096458E" w:rsidP="00CF3308">
      <w:pPr>
        <w:spacing w:line="240" w:lineRule="auto"/>
        <w:rPr>
          <w:rFonts w:ascii="Arial" w:hAnsi="Arial" w:cs="Arial"/>
          <w:sz w:val="24"/>
          <w:szCs w:val="24"/>
        </w:rPr>
      </w:pPr>
      <w:r w:rsidRPr="00844E27">
        <w:rPr>
          <w:rFonts w:ascii="Arial" w:hAnsi="Arial" w:cs="Arial"/>
          <w:sz w:val="24"/>
          <w:szCs w:val="24"/>
        </w:rPr>
        <w:t xml:space="preserve">LCRA supports the proposed TAC recommendation to maintain the Protocol Revision Subcommittee.  LCRA also supports the various work group and task force consolidations and retirements.  However, it does not support the </w:t>
      </w:r>
      <w:r w:rsidR="00283FAD">
        <w:rPr>
          <w:rFonts w:ascii="Arial" w:hAnsi="Arial" w:cs="Arial"/>
          <w:sz w:val="24"/>
          <w:szCs w:val="24"/>
        </w:rPr>
        <w:t>trans</w:t>
      </w:r>
      <w:r w:rsidRPr="00844E27">
        <w:rPr>
          <w:rFonts w:ascii="Arial" w:hAnsi="Arial" w:cs="Arial"/>
          <w:sz w:val="24"/>
          <w:szCs w:val="24"/>
        </w:rPr>
        <w:t>formation of the Commercial Operations Subcommittee</w:t>
      </w:r>
      <w:r w:rsidR="0059727A">
        <w:rPr>
          <w:rFonts w:ascii="Arial" w:hAnsi="Arial" w:cs="Arial"/>
          <w:sz w:val="24"/>
          <w:szCs w:val="24"/>
        </w:rPr>
        <w:t xml:space="preserve"> (COPS)</w:t>
      </w:r>
      <w:r w:rsidRPr="00844E27">
        <w:rPr>
          <w:rFonts w:ascii="Arial" w:hAnsi="Arial" w:cs="Arial"/>
          <w:sz w:val="24"/>
          <w:szCs w:val="24"/>
        </w:rPr>
        <w:t xml:space="preserve"> into a working group at this time.  Given the importance of the settlement process in the market, and with the implementation of the Nodal Market, LCRA believes keeping COPS functional for the first year of the Nodal Market is critical.  As stated above, LCRA supports the ongoing effort of TAC to review its structure every year and finds that it is appropriate to consider the retirement of its subcommittees on an annual basis.</w:t>
      </w:r>
    </w:p>
    <w:p w:rsidR="00844E27" w:rsidRPr="00844E27" w:rsidRDefault="00283FAD" w:rsidP="00CF3308">
      <w:pPr>
        <w:pStyle w:val="NormalWeb"/>
        <w:rPr>
          <w:rFonts w:ascii="Arial" w:hAnsi="Arial" w:cs="Arial"/>
        </w:rPr>
      </w:pPr>
      <w:r>
        <w:rPr>
          <w:rFonts w:ascii="Arial" w:hAnsi="Arial" w:cs="Arial"/>
        </w:rPr>
        <w:t>T</w:t>
      </w:r>
      <w:r w:rsidR="0096458E" w:rsidRPr="00844E27">
        <w:rPr>
          <w:rFonts w:ascii="Arial" w:hAnsi="Arial" w:cs="Arial"/>
        </w:rPr>
        <w:t xml:space="preserve">he proposed 2010 Structural and Procedural Review </w:t>
      </w:r>
      <w:r w:rsidR="00CF3308" w:rsidRPr="00844E27">
        <w:rPr>
          <w:rFonts w:ascii="Arial" w:hAnsi="Arial" w:cs="Arial"/>
        </w:rPr>
        <w:t>document</w:t>
      </w:r>
      <w:r w:rsidR="0096458E" w:rsidRPr="00844E27">
        <w:rPr>
          <w:rFonts w:ascii="Arial" w:hAnsi="Arial" w:cs="Arial"/>
        </w:rPr>
        <w:t xml:space="preserve"> </w:t>
      </w:r>
      <w:r w:rsidR="00844E27" w:rsidRPr="00844E27">
        <w:rPr>
          <w:rFonts w:ascii="Arial" w:hAnsi="Arial" w:cs="Arial"/>
        </w:rPr>
        <w:t xml:space="preserve">specifies several criteria for review:  </w:t>
      </w:r>
    </w:p>
    <w:p w:rsidR="00844E27" w:rsidRPr="00844E27" w:rsidRDefault="00844E27" w:rsidP="00CF3308">
      <w:pPr>
        <w:pStyle w:val="NormalWeb"/>
        <w:rPr>
          <w:rFonts w:ascii="Arial" w:hAnsi="Arial" w:cs="Arial"/>
        </w:rPr>
      </w:pPr>
      <w:r w:rsidRPr="00844E27">
        <w:rPr>
          <w:rFonts w:ascii="Arial" w:hAnsi="Arial" w:cs="Arial"/>
        </w:rPr>
        <w:t>1. Effectiveness;</w:t>
      </w:r>
    </w:p>
    <w:p w:rsidR="00844E27" w:rsidRPr="00844E27" w:rsidRDefault="00844E27" w:rsidP="00CF3308">
      <w:pPr>
        <w:pStyle w:val="NormalWeb"/>
        <w:rPr>
          <w:rFonts w:ascii="Arial" w:hAnsi="Arial" w:cs="Arial"/>
        </w:rPr>
      </w:pPr>
      <w:r w:rsidRPr="00844E27">
        <w:rPr>
          <w:rFonts w:ascii="Arial" w:hAnsi="Arial" w:cs="Arial"/>
        </w:rPr>
        <w:t>2. Efficiency;</w:t>
      </w:r>
    </w:p>
    <w:p w:rsidR="00844E27" w:rsidRPr="00844E27" w:rsidRDefault="00844E27" w:rsidP="00CF3308">
      <w:pPr>
        <w:pStyle w:val="NormalWeb"/>
        <w:rPr>
          <w:rFonts w:ascii="Arial" w:hAnsi="Arial" w:cs="Arial"/>
        </w:rPr>
      </w:pPr>
      <w:r w:rsidRPr="00844E27">
        <w:rPr>
          <w:rFonts w:ascii="Arial" w:hAnsi="Arial" w:cs="Arial"/>
        </w:rPr>
        <w:t>3. Transparency; and</w:t>
      </w:r>
    </w:p>
    <w:p w:rsidR="00844E27" w:rsidRPr="00844E27" w:rsidRDefault="00844E27" w:rsidP="00CF3308">
      <w:pPr>
        <w:pStyle w:val="NormalWeb"/>
        <w:rPr>
          <w:rFonts w:ascii="Arial" w:hAnsi="Arial" w:cs="Arial"/>
        </w:rPr>
      </w:pPr>
      <w:r w:rsidRPr="00844E27">
        <w:rPr>
          <w:rFonts w:ascii="Arial" w:hAnsi="Arial" w:cs="Arial"/>
        </w:rPr>
        <w:t>4. Fairness</w:t>
      </w:r>
    </w:p>
    <w:p w:rsidR="0096458E" w:rsidRDefault="00844E27" w:rsidP="00CF3308">
      <w:pPr>
        <w:spacing w:line="240" w:lineRule="auto"/>
        <w:rPr>
          <w:rFonts w:ascii="Arial" w:hAnsi="Arial" w:cs="Arial"/>
          <w:sz w:val="24"/>
          <w:szCs w:val="24"/>
        </w:rPr>
      </w:pPr>
      <w:r>
        <w:rPr>
          <w:rFonts w:ascii="Arial" w:hAnsi="Arial" w:cs="Arial"/>
          <w:sz w:val="24"/>
          <w:szCs w:val="24"/>
        </w:rPr>
        <w:t xml:space="preserve">LCRA structured its comments (see attached) based on these four criteria.  </w:t>
      </w:r>
    </w:p>
    <w:p w:rsidR="00CF3308" w:rsidRDefault="00CF3308" w:rsidP="00CF3308">
      <w:pPr>
        <w:spacing w:line="240" w:lineRule="auto"/>
        <w:rPr>
          <w:rFonts w:ascii="Arial" w:hAnsi="Arial" w:cs="Arial"/>
          <w:sz w:val="24"/>
          <w:szCs w:val="24"/>
        </w:rPr>
      </w:pPr>
      <w:r>
        <w:rPr>
          <w:rFonts w:ascii="Arial" w:hAnsi="Arial" w:cs="Arial"/>
          <w:sz w:val="24"/>
          <w:szCs w:val="24"/>
        </w:rPr>
        <w:t>LCRA also supports alterations to the meeting schedule that allow for WMS to provide comments to PRS a week in advance of the PRS meeting.</w:t>
      </w:r>
    </w:p>
    <w:p w:rsidR="00844E27" w:rsidRDefault="00844E27" w:rsidP="00CF3308">
      <w:pPr>
        <w:spacing w:line="240" w:lineRule="auto"/>
        <w:rPr>
          <w:rFonts w:ascii="Arial" w:hAnsi="Arial" w:cs="Arial"/>
          <w:sz w:val="24"/>
          <w:szCs w:val="24"/>
        </w:rPr>
      </w:pPr>
      <w:r>
        <w:rPr>
          <w:rFonts w:ascii="Arial" w:hAnsi="Arial" w:cs="Arial"/>
          <w:sz w:val="24"/>
          <w:szCs w:val="24"/>
        </w:rPr>
        <w:t>In addition, LCRA reviewed the Nodal Protocol Revision Requests (NPRR) filed since the inception of the Nodal Protocols and found the following:</w:t>
      </w:r>
      <w:r w:rsidR="00355726">
        <w:rPr>
          <w:rStyle w:val="EndnoteReference"/>
          <w:rFonts w:ascii="Arial" w:hAnsi="Arial" w:cs="Arial"/>
          <w:sz w:val="24"/>
          <w:szCs w:val="24"/>
        </w:rPr>
        <w:endnoteReference w:id="1"/>
      </w:r>
    </w:p>
    <w:tbl>
      <w:tblPr>
        <w:tblStyle w:val="TableGrid"/>
        <w:tblW w:w="0" w:type="auto"/>
        <w:tblLook w:val="04A0"/>
      </w:tblPr>
      <w:tblGrid>
        <w:gridCol w:w="4428"/>
        <w:gridCol w:w="3330"/>
      </w:tblGrid>
      <w:tr w:rsidR="00355726" w:rsidRPr="00355726" w:rsidTr="00355726">
        <w:tc>
          <w:tcPr>
            <w:tcW w:w="4428" w:type="dxa"/>
          </w:tcPr>
          <w:p w:rsidR="00355726" w:rsidRPr="00355726" w:rsidRDefault="00355726">
            <w:pPr>
              <w:rPr>
                <w:rFonts w:ascii="Arial" w:hAnsi="Arial" w:cs="Arial"/>
                <w:b/>
                <w:sz w:val="24"/>
                <w:szCs w:val="24"/>
              </w:rPr>
            </w:pPr>
            <w:r w:rsidRPr="00355726">
              <w:rPr>
                <w:rFonts w:ascii="Arial" w:hAnsi="Arial" w:cs="Arial"/>
                <w:b/>
                <w:sz w:val="24"/>
                <w:szCs w:val="24"/>
              </w:rPr>
              <w:t>NPRR Sponsor</w:t>
            </w:r>
          </w:p>
        </w:tc>
        <w:tc>
          <w:tcPr>
            <w:tcW w:w="3330" w:type="dxa"/>
          </w:tcPr>
          <w:p w:rsidR="00355726" w:rsidRPr="00355726" w:rsidRDefault="00355726">
            <w:pPr>
              <w:rPr>
                <w:rFonts w:ascii="Arial" w:hAnsi="Arial" w:cs="Arial"/>
                <w:b/>
                <w:sz w:val="24"/>
                <w:szCs w:val="24"/>
              </w:rPr>
            </w:pPr>
            <w:r w:rsidRPr="00355726">
              <w:rPr>
                <w:rFonts w:ascii="Arial" w:hAnsi="Arial" w:cs="Arial"/>
                <w:b/>
                <w:sz w:val="24"/>
                <w:szCs w:val="24"/>
              </w:rPr>
              <w:t>Percentage of NPRRs</w:t>
            </w:r>
          </w:p>
        </w:tc>
      </w:tr>
      <w:tr w:rsidR="00355726" w:rsidTr="00355726">
        <w:tc>
          <w:tcPr>
            <w:tcW w:w="4428" w:type="dxa"/>
          </w:tcPr>
          <w:p w:rsidR="00355726" w:rsidRDefault="00355726">
            <w:pPr>
              <w:rPr>
                <w:rFonts w:ascii="Arial" w:hAnsi="Arial" w:cs="Arial"/>
                <w:sz w:val="24"/>
                <w:szCs w:val="24"/>
              </w:rPr>
            </w:pPr>
            <w:r>
              <w:rPr>
                <w:rFonts w:ascii="Arial" w:hAnsi="Arial" w:cs="Arial"/>
                <w:sz w:val="24"/>
                <w:szCs w:val="24"/>
              </w:rPr>
              <w:t>ERCOT</w:t>
            </w:r>
          </w:p>
        </w:tc>
        <w:tc>
          <w:tcPr>
            <w:tcW w:w="3330" w:type="dxa"/>
          </w:tcPr>
          <w:p w:rsidR="00355726" w:rsidRDefault="00355726">
            <w:pPr>
              <w:rPr>
                <w:rFonts w:ascii="Arial" w:hAnsi="Arial" w:cs="Arial"/>
                <w:sz w:val="24"/>
                <w:szCs w:val="24"/>
              </w:rPr>
            </w:pPr>
            <w:r>
              <w:rPr>
                <w:rFonts w:ascii="Arial" w:hAnsi="Arial" w:cs="Arial"/>
                <w:sz w:val="24"/>
                <w:szCs w:val="24"/>
              </w:rPr>
              <w:t>48%</w:t>
            </w:r>
          </w:p>
        </w:tc>
      </w:tr>
      <w:tr w:rsidR="00355726" w:rsidTr="00355726">
        <w:tc>
          <w:tcPr>
            <w:tcW w:w="4428" w:type="dxa"/>
          </w:tcPr>
          <w:p w:rsidR="00355726" w:rsidRDefault="00355726">
            <w:pPr>
              <w:rPr>
                <w:rFonts w:ascii="Arial" w:hAnsi="Arial" w:cs="Arial"/>
                <w:sz w:val="24"/>
                <w:szCs w:val="24"/>
              </w:rPr>
            </w:pPr>
            <w:r>
              <w:rPr>
                <w:rFonts w:ascii="Arial" w:hAnsi="Arial" w:cs="Arial"/>
                <w:sz w:val="24"/>
                <w:szCs w:val="24"/>
              </w:rPr>
              <w:t>Stakeholder Groups</w:t>
            </w:r>
          </w:p>
        </w:tc>
        <w:tc>
          <w:tcPr>
            <w:tcW w:w="3330" w:type="dxa"/>
          </w:tcPr>
          <w:p w:rsidR="00355726" w:rsidRDefault="00355726">
            <w:pPr>
              <w:rPr>
                <w:rFonts w:ascii="Arial" w:hAnsi="Arial" w:cs="Arial"/>
                <w:sz w:val="24"/>
                <w:szCs w:val="24"/>
              </w:rPr>
            </w:pPr>
            <w:r>
              <w:rPr>
                <w:rFonts w:ascii="Arial" w:hAnsi="Arial" w:cs="Arial"/>
                <w:sz w:val="24"/>
                <w:szCs w:val="24"/>
              </w:rPr>
              <w:t>39%</w:t>
            </w:r>
          </w:p>
        </w:tc>
      </w:tr>
      <w:tr w:rsidR="00355726" w:rsidTr="00355726">
        <w:tc>
          <w:tcPr>
            <w:tcW w:w="4428" w:type="dxa"/>
          </w:tcPr>
          <w:p w:rsidR="00355726" w:rsidRDefault="00355726">
            <w:pPr>
              <w:rPr>
                <w:rFonts w:ascii="Arial" w:hAnsi="Arial" w:cs="Arial"/>
                <w:sz w:val="24"/>
                <w:szCs w:val="24"/>
              </w:rPr>
            </w:pPr>
            <w:r>
              <w:rPr>
                <w:rFonts w:ascii="Arial" w:hAnsi="Arial" w:cs="Arial"/>
                <w:sz w:val="24"/>
                <w:szCs w:val="24"/>
              </w:rPr>
              <w:t>Individual Market Participants</w:t>
            </w:r>
          </w:p>
        </w:tc>
        <w:tc>
          <w:tcPr>
            <w:tcW w:w="3330" w:type="dxa"/>
          </w:tcPr>
          <w:p w:rsidR="00355726" w:rsidRDefault="00355726">
            <w:pPr>
              <w:rPr>
                <w:rFonts w:ascii="Arial" w:hAnsi="Arial" w:cs="Arial"/>
                <w:sz w:val="24"/>
                <w:szCs w:val="24"/>
              </w:rPr>
            </w:pPr>
            <w:r>
              <w:rPr>
                <w:rFonts w:ascii="Arial" w:hAnsi="Arial" w:cs="Arial"/>
                <w:sz w:val="24"/>
                <w:szCs w:val="24"/>
              </w:rPr>
              <w:t>13%</w:t>
            </w:r>
          </w:p>
        </w:tc>
      </w:tr>
    </w:tbl>
    <w:p w:rsidR="00844E27" w:rsidRDefault="00844E27">
      <w:pPr>
        <w:rPr>
          <w:rFonts w:ascii="Arial" w:hAnsi="Arial" w:cs="Arial"/>
          <w:sz w:val="24"/>
          <w:szCs w:val="24"/>
        </w:rPr>
      </w:pPr>
    </w:p>
    <w:p w:rsidR="00844E27" w:rsidRDefault="00CF3308">
      <w:pPr>
        <w:rPr>
          <w:rFonts w:ascii="Arial" w:hAnsi="Arial" w:cs="Arial"/>
          <w:sz w:val="24"/>
          <w:szCs w:val="24"/>
        </w:rPr>
      </w:pPr>
      <w:r>
        <w:rPr>
          <w:rFonts w:ascii="Arial" w:hAnsi="Arial" w:cs="Arial"/>
          <w:sz w:val="24"/>
          <w:szCs w:val="24"/>
        </w:rPr>
        <w:t>Thank you for your consideration of the LCRA comments.</w:t>
      </w:r>
    </w:p>
    <w:p w:rsidR="00CF3308" w:rsidRDefault="00CF3308" w:rsidP="00CF3308">
      <w:pPr>
        <w:spacing w:line="240" w:lineRule="auto"/>
        <w:rPr>
          <w:rFonts w:ascii="Arial" w:hAnsi="Arial" w:cs="Arial"/>
          <w:sz w:val="24"/>
          <w:szCs w:val="24"/>
        </w:rPr>
      </w:pPr>
      <w:r>
        <w:rPr>
          <w:rFonts w:ascii="Arial" w:hAnsi="Arial" w:cs="Arial"/>
          <w:sz w:val="24"/>
          <w:szCs w:val="24"/>
        </w:rPr>
        <w:t>Sandra L. Morris</w:t>
      </w:r>
    </w:p>
    <w:p w:rsidR="00CF3308" w:rsidRDefault="00CF3308" w:rsidP="00CF3308">
      <w:pPr>
        <w:spacing w:line="240" w:lineRule="auto"/>
        <w:rPr>
          <w:rFonts w:ascii="Arial" w:hAnsi="Arial" w:cs="Arial"/>
          <w:sz w:val="24"/>
          <w:szCs w:val="24"/>
        </w:rPr>
      </w:pPr>
      <w:r>
        <w:rPr>
          <w:rFonts w:ascii="Arial" w:hAnsi="Arial" w:cs="Arial"/>
          <w:sz w:val="24"/>
          <w:szCs w:val="24"/>
        </w:rPr>
        <w:lastRenderedPageBreak/>
        <w:t>Manager, Electric Market Policy</w:t>
      </w:r>
    </w:p>
    <w:p w:rsidR="00CF3308" w:rsidRDefault="00CF3308" w:rsidP="00CF3308">
      <w:pPr>
        <w:spacing w:line="240" w:lineRule="auto"/>
        <w:rPr>
          <w:rFonts w:ascii="Arial" w:hAnsi="Arial" w:cs="Arial"/>
          <w:sz w:val="24"/>
          <w:szCs w:val="24"/>
        </w:rPr>
      </w:pPr>
      <w:r>
        <w:rPr>
          <w:rFonts w:ascii="Arial" w:hAnsi="Arial" w:cs="Arial"/>
          <w:sz w:val="24"/>
          <w:szCs w:val="24"/>
        </w:rPr>
        <w:t>Lower Colorado River Authority</w:t>
      </w:r>
    </w:p>
    <w:p w:rsidR="00CF3308" w:rsidRDefault="00CF3308" w:rsidP="00CF3308">
      <w:pPr>
        <w:spacing w:line="240" w:lineRule="auto"/>
        <w:rPr>
          <w:rFonts w:ascii="Arial" w:hAnsi="Arial" w:cs="Arial"/>
          <w:sz w:val="24"/>
          <w:szCs w:val="24"/>
        </w:rPr>
      </w:pPr>
      <w:r>
        <w:rPr>
          <w:rFonts w:ascii="Arial" w:hAnsi="Arial" w:cs="Arial"/>
          <w:sz w:val="24"/>
          <w:szCs w:val="24"/>
        </w:rPr>
        <w:t>512-473-3594</w:t>
      </w:r>
    </w:p>
    <w:p w:rsidR="00CF3308" w:rsidRDefault="00CF3308" w:rsidP="00CF3308">
      <w:pPr>
        <w:spacing w:line="240" w:lineRule="auto"/>
        <w:rPr>
          <w:rFonts w:ascii="Arial" w:hAnsi="Arial" w:cs="Arial"/>
          <w:sz w:val="24"/>
          <w:szCs w:val="24"/>
        </w:rPr>
      </w:pPr>
      <w:r>
        <w:rPr>
          <w:rFonts w:ascii="Arial" w:hAnsi="Arial" w:cs="Arial"/>
          <w:sz w:val="24"/>
          <w:szCs w:val="24"/>
        </w:rPr>
        <w:t>512-289-2505</w:t>
      </w:r>
    </w:p>
    <w:p w:rsidR="00CF3308" w:rsidRDefault="00CF3308" w:rsidP="00CF3308">
      <w:pPr>
        <w:spacing w:line="240" w:lineRule="auto"/>
        <w:rPr>
          <w:rFonts w:ascii="Arial" w:hAnsi="Arial" w:cs="Arial"/>
          <w:sz w:val="24"/>
          <w:szCs w:val="24"/>
        </w:rPr>
      </w:pPr>
      <w:hyperlink r:id="rId7" w:history="1">
        <w:r w:rsidRPr="007B1CCD">
          <w:rPr>
            <w:rStyle w:val="Hyperlink"/>
            <w:rFonts w:ascii="Arial" w:hAnsi="Arial" w:cs="Arial"/>
            <w:sz w:val="24"/>
            <w:szCs w:val="24"/>
          </w:rPr>
          <w:t>smorris@lcra.org</w:t>
        </w:r>
      </w:hyperlink>
    </w:p>
    <w:p w:rsidR="00CF3308" w:rsidRDefault="00CF3308" w:rsidP="00CF3308">
      <w:pPr>
        <w:spacing w:line="240" w:lineRule="auto"/>
        <w:rPr>
          <w:rFonts w:ascii="Arial" w:hAnsi="Arial" w:cs="Arial"/>
          <w:sz w:val="24"/>
          <w:szCs w:val="24"/>
        </w:rPr>
      </w:pPr>
    </w:p>
    <w:p w:rsidR="00CF3308" w:rsidRPr="00844E27" w:rsidRDefault="00CF3308" w:rsidP="00CF3308">
      <w:pPr>
        <w:spacing w:line="240" w:lineRule="auto"/>
        <w:rPr>
          <w:rFonts w:ascii="Arial" w:hAnsi="Arial" w:cs="Arial"/>
          <w:sz w:val="24"/>
          <w:szCs w:val="24"/>
        </w:rPr>
      </w:pPr>
    </w:p>
    <w:sectPr w:rsidR="00CF3308" w:rsidRPr="00844E27" w:rsidSect="005D699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79A5" w:rsidRDefault="005079A5" w:rsidP="00355726">
      <w:pPr>
        <w:spacing w:after="0" w:line="240" w:lineRule="auto"/>
      </w:pPr>
      <w:r>
        <w:separator/>
      </w:r>
    </w:p>
  </w:endnote>
  <w:endnote w:type="continuationSeparator" w:id="0">
    <w:p w:rsidR="005079A5" w:rsidRDefault="005079A5" w:rsidP="00355726">
      <w:pPr>
        <w:spacing w:after="0" w:line="240" w:lineRule="auto"/>
      </w:pPr>
      <w:r>
        <w:continuationSeparator/>
      </w:r>
    </w:p>
  </w:endnote>
  <w:endnote w:id="1">
    <w:p w:rsidR="006A0E3D" w:rsidRDefault="006A0E3D">
      <w:pPr>
        <w:pStyle w:val="EndnoteText"/>
      </w:pPr>
      <w:r>
        <w:rPr>
          <w:rStyle w:val="EndnoteReference"/>
        </w:rPr>
        <w:endnoteRef/>
      </w:r>
      <w:r>
        <w:t xml:space="preserve"> Present count of NPRRs filed for this analysis was 279</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79A5" w:rsidRDefault="005079A5" w:rsidP="00355726">
      <w:pPr>
        <w:spacing w:after="0" w:line="240" w:lineRule="auto"/>
      </w:pPr>
      <w:r>
        <w:separator/>
      </w:r>
    </w:p>
  </w:footnote>
  <w:footnote w:type="continuationSeparator" w:id="0">
    <w:p w:rsidR="005079A5" w:rsidRDefault="005079A5" w:rsidP="0035572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footnotePr>
    <w:footnote w:id="-1"/>
    <w:footnote w:id="0"/>
  </w:footnotePr>
  <w:endnotePr>
    <w:endnote w:id="-1"/>
    <w:endnote w:id="0"/>
  </w:endnotePr>
  <w:compat/>
  <w:rsids>
    <w:rsidRoot w:val="0096458E"/>
    <w:rsid w:val="000171A5"/>
    <w:rsid w:val="00283FAD"/>
    <w:rsid w:val="00355726"/>
    <w:rsid w:val="00363005"/>
    <w:rsid w:val="003D220C"/>
    <w:rsid w:val="005079A5"/>
    <w:rsid w:val="0059727A"/>
    <w:rsid w:val="005D6995"/>
    <w:rsid w:val="006A0E3D"/>
    <w:rsid w:val="00844E27"/>
    <w:rsid w:val="0096458E"/>
    <w:rsid w:val="009D3E20"/>
    <w:rsid w:val="00A33344"/>
    <w:rsid w:val="00A605FE"/>
    <w:rsid w:val="00B23EFB"/>
    <w:rsid w:val="00BF4A03"/>
    <w:rsid w:val="00CB1C6B"/>
    <w:rsid w:val="00CF3308"/>
    <w:rsid w:val="00D27700"/>
    <w:rsid w:val="00DF1B03"/>
    <w:rsid w:val="00E073A3"/>
    <w:rsid w:val="00E93805"/>
    <w:rsid w:val="00EC50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69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44E2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44E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35572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55726"/>
    <w:rPr>
      <w:sz w:val="20"/>
      <w:szCs w:val="20"/>
    </w:rPr>
  </w:style>
  <w:style w:type="character" w:styleId="EndnoteReference">
    <w:name w:val="endnote reference"/>
    <w:basedOn w:val="DefaultParagraphFont"/>
    <w:uiPriority w:val="99"/>
    <w:semiHidden/>
    <w:unhideWhenUsed/>
    <w:rsid w:val="00355726"/>
    <w:rPr>
      <w:vertAlign w:val="superscript"/>
    </w:rPr>
  </w:style>
  <w:style w:type="character" w:styleId="Hyperlink">
    <w:name w:val="Hyperlink"/>
    <w:basedOn w:val="DefaultParagraphFont"/>
    <w:uiPriority w:val="99"/>
    <w:unhideWhenUsed/>
    <w:rsid w:val="00CF330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morris@lcra.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4F4E1-FBB6-4A00-B5A8-052136D0D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308</Words>
  <Characters>1761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2065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LCRA 2</dc:creator>
  <cp:keywords/>
  <dc:description/>
  <cp:lastModifiedBy>LCRA 2</cp:lastModifiedBy>
  <cp:revision>2</cp:revision>
  <dcterms:created xsi:type="dcterms:W3CDTF">2010-09-30T20:20:00Z</dcterms:created>
  <dcterms:modified xsi:type="dcterms:W3CDTF">2010-09-30T20:20:00Z</dcterms:modified>
</cp:coreProperties>
</file>