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1FF" w:rsidRDefault="00A611FF" w:rsidP="00A64159">
      <w:pPr>
        <w:ind w:left="-720"/>
      </w:pPr>
    </w:p>
    <w:p w:rsidR="000F4991" w:rsidRPr="001202B2" w:rsidRDefault="000F4991" w:rsidP="000F4991">
      <w:pPr>
        <w:jc w:val="right"/>
        <w:rPr>
          <w:rFonts w:ascii="Arial" w:hAnsi="Arial" w:cs="Arial"/>
          <w:b/>
          <w:sz w:val="20"/>
          <w:szCs w:val="20"/>
        </w:rPr>
      </w:pPr>
      <w:r>
        <w:rPr>
          <w:rFonts w:ascii="Arial" w:hAnsi="Arial" w:cs="Arial"/>
          <w:b/>
          <w:noProof/>
          <w:sz w:val="20"/>
          <w:szCs w:val="20"/>
        </w:rPr>
        <w:t>2705 West Lake Drive</w:t>
      </w:r>
    </w:p>
    <w:p w:rsidR="000F4991" w:rsidRPr="001202B2" w:rsidRDefault="000F4991" w:rsidP="000F4991">
      <w:pPr>
        <w:jc w:val="right"/>
        <w:rPr>
          <w:rFonts w:ascii="Arial" w:hAnsi="Arial" w:cs="Arial"/>
          <w:b/>
          <w:sz w:val="20"/>
          <w:szCs w:val="20"/>
        </w:rPr>
      </w:pPr>
      <w:smartTag w:uri="urn:schemas-microsoft-com:office:smarttags" w:element="place">
        <w:smartTag w:uri="urn:schemas-microsoft-com:office:smarttags" w:element="City">
          <w:r>
            <w:rPr>
              <w:rFonts w:ascii="Arial" w:hAnsi="Arial" w:cs="Arial"/>
              <w:b/>
              <w:sz w:val="20"/>
              <w:szCs w:val="20"/>
            </w:rPr>
            <w:t>Taylor</w:t>
          </w:r>
        </w:smartTag>
        <w:r>
          <w:rPr>
            <w:rFonts w:ascii="Arial" w:hAnsi="Arial" w:cs="Arial"/>
            <w:b/>
            <w:sz w:val="20"/>
            <w:szCs w:val="20"/>
          </w:rPr>
          <w:t xml:space="preserve">, </w:t>
        </w:r>
        <w:smartTag w:uri="urn:schemas-microsoft-com:office:smarttags" w:element="State">
          <w:r>
            <w:rPr>
              <w:rFonts w:ascii="Arial" w:hAnsi="Arial" w:cs="Arial"/>
              <w:b/>
              <w:sz w:val="20"/>
              <w:szCs w:val="20"/>
            </w:rPr>
            <w:t>Texas</w:t>
          </w:r>
        </w:smartTag>
        <w:r>
          <w:rPr>
            <w:rFonts w:ascii="Arial" w:hAnsi="Arial" w:cs="Arial"/>
            <w:b/>
            <w:sz w:val="20"/>
            <w:szCs w:val="20"/>
          </w:rPr>
          <w:t xml:space="preserve"> </w:t>
        </w:r>
        <w:smartTag w:uri="urn:schemas-microsoft-com:office:smarttags" w:element="PostalCode">
          <w:r>
            <w:rPr>
              <w:rFonts w:ascii="Arial" w:hAnsi="Arial" w:cs="Arial"/>
              <w:b/>
              <w:sz w:val="20"/>
              <w:szCs w:val="20"/>
            </w:rPr>
            <w:t>76574</w:t>
          </w:r>
        </w:smartTag>
      </w:smartTag>
    </w:p>
    <w:p w:rsidR="000F4991" w:rsidRDefault="000F4991" w:rsidP="000F4991">
      <w:pPr>
        <w:jc w:val="right"/>
      </w:pPr>
    </w:p>
    <w:p w:rsidR="00026AFE" w:rsidRDefault="00026AFE" w:rsidP="000F4991">
      <w:pPr>
        <w:jc w:val="right"/>
      </w:pPr>
    </w:p>
    <w:p w:rsidR="008E044E" w:rsidRDefault="00631E83">
      <w:pPr>
        <w:rPr>
          <w:sz w:val="44"/>
          <w:szCs w:val="44"/>
        </w:rPr>
      </w:pPr>
      <w:r w:rsidRPr="00631E83">
        <w:rPr>
          <w:b/>
          <w:sz w:val="44"/>
          <w:szCs w:val="44"/>
        </w:rPr>
        <w:t>ERCOT Network Model Data Submission</w:t>
      </w:r>
    </w:p>
    <w:p w:rsidR="008E044E" w:rsidRDefault="00631E83">
      <w:pPr>
        <w:rPr>
          <w:sz w:val="44"/>
          <w:szCs w:val="44"/>
        </w:rPr>
      </w:pPr>
      <w:r w:rsidRPr="00631E83">
        <w:rPr>
          <w:b/>
          <w:sz w:val="44"/>
          <w:szCs w:val="44"/>
        </w:rPr>
        <w:t>Transition from Zonal to Nodal</w:t>
      </w:r>
    </w:p>
    <w:p w:rsidR="000F4991" w:rsidRDefault="000F4991" w:rsidP="000F4991">
      <w:pPr>
        <w:jc w:val="right"/>
      </w:pPr>
    </w:p>
    <w:p w:rsidR="000F4991" w:rsidRPr="00394FF4" w:rsidRDefault="00126EEC" w:rsidP="00026AFE">
      <w:pPr>
        <w:rPr>
          <w:rFonts w:ascii="Arial" w:hAnsi="Arial"/>
          <w:sz w:val="20"/>
        </w:rPr>
      </w:pPr>
      <w:r>
        <w:rPr>
          <w:rFonts w:ascii="Arial" w:hAnsi="Arial"/>
          <w:sz w:val="20"/>
        </w:rPr>
        <w:t>Version 1.0</w:t>
      </w: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i/>
          <w:color w:val="3366FF"/>
          <w:sz w:val="20"/>
        </w:rPr>
      </w:pPr>
    </w:p>
    <w:p w:rsidR="000F4991" w:rsidRDefault="000F4991" w:rsidP="000F4991">
      <w:pPr>
        <w:jc w:val="right"/>
        <w:rPr>
          <w:rFonts w:ascii="Arial" w:hAnsi="Arial" w:cs="Arial"/>
          <w:i/>
          <w:sz w:val="28"/>
          <w:szCs w:val="28"/>
        </w:rPr>
      </w:pPr>
      <w:r>
        <w:rPr>
          <w:rFonts w:ascii="Arial" w:hAnsi="Arial" w:cs="Arial"/>
          <w:i/>
          <w:sz w:val="28"/>
          <w:szCs w:val="28"/>
        </w:rPr>
        <w:t>D.W. Rickerson</w:t>
      </w:r>
    </w:p>
    <w:p w:rsidR="000F4991" w:rsidRDefault="000F4991" w:rsidP="000F4991">
      <w:pPr>
        <w:jc w:val="right"/>
        <w:rPr>
          <w:rFonts w:ascii="Arial" w:hAnsi="Arial" w:cs="Arial"/>
          <w:i/>
          <w:sz w:val="28"/>
          <w:szCs w:val="28"/>
        </w:rPr>
      </w:pPr>
      <w:r>
        <w:rPr>
          <w:rFonts w:ascii="Arial" w:hAnsi="Arial" w:cs="Arial"/>
          <w:i/>
          <w:sz w:val="28"/>
          <w:szCs w:val="28"/>
        </w:rPr>
        <w:t>05/</w:t>
      </w:r>
      <w:r w:rsidR="009A4BA2">
        <w:rPr>
          <w:rFonts w:ascii="Arial" w:hAnsi="Arial" w:cs="Arial"/>
          <w:i/>
          <w:sz w:val="28"/>
          <w:szCs w:val="28"/>
        </w:rPr>
        <w:t>2</w:t>
      </w:r>
      <w:r w:rsidR="00126EEC">
        <w:rPr>
          <w:rFonts w:ascii="Arial" w:hAnsi="Arial" w:cs="Arial"/>
          <w:i/>
          <w:sz w:val="28"/>
          <w:szCs w:val="28"/>
        </w:rPr>
        <w:t>8</w:t>
      </w:r>
      <w:r>
        <w:rPr>
          <w:rFonts w:ascii="Arial" w:hAnsi="Arial" w:cs="Arial"/>
          <w:i/>
          <w:sz w:val="28"/>
          <w:szCs w:val="28"/>
        </w:rPr>
        <w:t>/2010</w:t>
      </w:r>
    </w:p>
    <w:p w:rsidR="000F4991" w:rsidRDefault="000F4991" w:rsidP="000F4991">
      <w:pPr>
        <w:jc w:val="right"/>
        <w:rPr>
          <w:rFonts w:ascii="Arial" w:hAnsi="Arial" w:cs="Arial"/>
          <w:i/>
          <w:sz w:val="28"/>
          <w:szCs w:val="28"/>
        </w:rPr>
      </w:pPr>
    </w:p>
    <w:p w:rsidR="000F4991" w:rsidRDefault="000F4991" w:rsidP="000F4991">
      <w:pPr>
        <w:rPr>
          <w:rFonts w:ascii="Arial" w:hAnsi="Arial" w:cs="Arial"/>
          <w:sz w:val="28"/>
          <w:szCs w:val="28"/>
        </w:rPr>
        <w:sectPr w:rsidR="000F4991" w:rsidSect="000F4991">
          <w:headerReference w:type="default" r:id="rId8"/>
          <w:footerReference w:type="default" r:id="rId9"/>
          <w:headerReference w:type="first" r:id="rId10"/>
          <w:footerReference w:type="first" r:id="rId11"/>
          <w:pgSz w:w="12240" w:h="15840"/>
          <w:pgMar w:top="1440" w:right="1800" w:bottom="1440" w:left="1800" w:header="288" w:footer="288" w:gutter="0"/>
          <w:pgBorders w:offsetFrom="page">
            <w:top w:val="single" w:sz="8" w:space="24" w:color="auto"/>
            <w:left w:val="single" w:sz="8" w:space="24" w:color="auto"/>
            <w:bottom w:val="single" w:sz="8" w:space="24" w:color="auto"/>
            <w:right w:val="single" w:sz="8" w:space="24" w:color="auto"/>
          </w:pgBorders>
          <w:cols w:space="720"/>
          <w:titlePg/>
          <w:docGrid w:linePitch="360"/>
        </w:sectPr>
      </w:pPr>
    </w:p>
    <w:p w:rsidR="000F4991" w:rsidRDefault="000F4991" w:rsidP="000F4991">
      <w:pPr>
        <w:pStyle w:val="Title1"/>
      </w:pPr>
      <w:r>
        <w:lastRenderedPageBreak/>
        <w:t>Revision History</w:t>
      </w:r>
    </w:p>
    <w:p w:rsidR="000F4991" w:rsidRDefault="000F4991" w:rsidP="000F4991">
      <w:pPr>
        <w:pStyle w:val="Title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8"/>
        <w:gridCol w:w="3655"/>
        <w:gridCol w:w="1505"/>
        <w:gridCol w:w="1677"/>
      </w:tblGrid>
      <w:tr w:rsidR="000F4991" w:rsidTr="000F4991">
        <w:tc>
          <w:tcPr>
            <w:tcW w:w="1158"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Revision</w:t>
            </w:r>
          </w:p>
        </w:tc>
        <w:tc>
          <w:tcPr>
            <w:tcW w:w="3655"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Comments</w:t>
            </w:r>
          </w:p>
        </w:tc>
        <w:tc>
          <w:tcPr>
            <w:tcW w:w="1505"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Date</w:t>
            </w:r>
          </w:p>
        </w:tc>
        <w:tc>
          <w:tcPr>
            <w:tcW w:w="1677" w:type="dxa"/>
            <w:tcBorders>
              <w:top w:val="single" w:sz="4" w:space="0" w:color="auto"/>
              <w:left w:val="single" w:sz="4" w:space="0" w:color="auto"/>
              <w:bottom w:val="single" w:sz="4" w:space="0" w:color="auto"/>
              <w:right w:val="single" w:sz="4" w:space="0" w:color="auto"/>
            </w:tcBorders>
            <w:shd w:val="clear" w:color="auto" w:fill="C0C0C0"/>
          </w:tcPr>
          <w:p w:rsidR="000F4991" w:rsidRPr="007415E6" w:rsidRDefault="000F4991" w:rsidP="000F4991">
            <w:pPr>
              <w:rPr>
                <w:rFonts w:ascii="Arial" w:hAnsi="Arial" w:cs="Arial"/>
                <w:b/>
                <w:sz w:val="20"/>
                <w:szCs w:val="20"/>
              </w:rPr>
            </w:pPr>
            <w:r w:rsidRPr="007415E6">
              <w:rPr>
                <w:rFonts w:ascii="Arial" w:hAnsi="Arial" w:cs="Arial"/>
                <w:b/>
                <w:sz w:val="20"/>
                <w:szCs w:val="20"/>
              </w:rPr>
              <w:t>Author</w:t>
            </w:r>
          </w:p>
        </w:tc>
      </w:tr>
      <w:tr w:rsidR="000F4991" w:rsidTr="000F4991">
        <w:tc>
          <w:tcPr>
            <w:tcW w:w="1158" w:type="dxa"/>
            <w:tcBorders>
              <w:top w:val="single" w:sz="4" w:space="0" w:color="auto"/>
              <w:left w:val="single" w:sz="4" w:space="0" w:color="auto"/>
              <w:bottom w:val="single" w:sz="4" w:space="0" w:color="auto"/>
              <w:right w:val="single" w:sz="4" w:space="0" w:color="auto"/>
            </w:tcBorders>
          </w:tcPr>
          <w:p w:rsidR="000F4991" w:rsidRPr="007415E6" w:rsidRDefault="00587258" w:rsidP="000F4991">
            <w:pPr>
              <w:rPr>
                <w:rFonts w:ascii="Arial" w:hAnsi="Arial" w:cs="Arial"/>
                <w:sz w:val="20"/>
                <w:szCs w:val="20"/>
              </w:rPr>
            </w:pPr>
            <w:r>
              <w:rPr>
                <w:rFonts w:ascii="Arial" w:hAnsi="Arial" w:cs="Arial"/>
                <w:sz w:val="20"/>
                <w:szCs w:val="20"/>
              </w:rPr>
              <w:t>0.1</w:t>
            </w:r>
          </w:p>
        </w:tc>
        <w:tc>
          <w:tcPr>
            <w:tcW w:w="3655"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sidRPr="007415E6">
              <w:rPr>
                <w:rFonts w:ascii="Arial" w:hAnsi="Arial" w:cs="Arial"/>
                <w:sz w:val="20"/>
                <w:szCs w:val="20"/>
              </w:rPr>
              <w:t xml:space="preserve">Initial </w:t>
            </w:r>
            <w:r w:rsidR="00587258">
              <w:rPr>
                <w:rFonts w:ascii="Arial" w:hAnsi="Arial" w:cs="Arial"/>
                <w:sz w:val="20"/>
                <w:szCs w:val="20"/>
              </w:rPr>
              <w:t xml:space="preserve">Draft </w:t>
            </w:r>
            <w:r w:rsidRPr="007415E6">
              <w:rPr>
                <w:rFonts w:ascii="Arial" w:hAnsi="Arial" w:cs="Arial"/>
                <w:sz w:val="20"/>
                <w:szCs w:val="20"/>
              </w:rPr>
              <w:t>Version</w:t>
            </w:r>
          </w:p>
        </w:tc>
        <w:tc>
          <w:tcPr>
            <w:tcW w:w="1505" w:type="dxa"/>
            <w:tcBorders>
              <w:top w:val="single" w:sz="4" w:space="0" w:color="auto"/>
              <w:left w:val="single" w:sz="4" w:space="0" w:color="auto"/>
              <w:bottom w:val="single" w:sz="4" w:space="0" w:color="auto"/>
              <w:right w:val="single" w:sz="4" w:space="0" w:color="auto"/>
            </w:tcBorders>
          </w:tcPr>
          <w:p w:rsidR="000F4991" w:rsidRPr="007415E6" w:rsidRDefault="000F4991" w:rsidP="009A4BA2">
            <w:pPr>
              <w:rPr>
                <w:rFonts w:ascii="Arial" w:hAnsi="Arial" w:cs="Arial"/>
                <w:sz w:val="20"/>
                <w:szCs w:val="20"/>
              </w:rPr>
            </w:pPr>
            <w:r>
              <w:rPr>
                <w:rFonts w:ascii="Arial" w:hAnsi="Arial" w:cs="Arial"/>
                <w:sz w:val="20"/>
                <w:szCs w:val="20"/>
              </w:rPr>
              <w:t>5/</w:t>
            </w:r>
            <w:r w:rsidR="009A4BA2">
              <w:rPr>
                <w:rFonts w:ascii="Arial" w:hAnsi="Arial" w:cs="Arial"/>
                <w:sz w:val="20"/>
                <w:szCs w:val="20"/>
              </w:rPr>
              <w:t>20</w:t>
            </w:r>
            <w:r>
              <w:rPr>
                <w:rFonts w:ascii="Arial" w:hAnsi="Arial" w:cs="Arial"/>
                <w:sz w:val="20"/>
                <w:szCs w:val="20"/>
              </w:rPr>
              <w:t>/2010</w:t>
            </w:r>
          </w:p>
        </w:tc>
        <w:tc>
          <w:tcPr>
            <w:tcW w:w="1677" w:type="dxa"/>
            <w:tcBorders>
              <w:top w:val="single" w:sz="4" w:space="0" w:color="auto"/>
              <w:left w:val="single" w:sz="4" w:space="0" w:color="auto"/>
              <w:bottom w:val="single" w:sz="4" w:space="0" w:color="auto"/>
              <w:right w:val="single" w:sz="4" w:space="0" w:color="auto"/>
            </w:tcBorders>
          </w:tcPr>
          <w:p w:rsidR="000F4991" w:rsidRPr="007415E6" w:rsidRDefault="000F4991" w:rsidP="000F4991">
            <w:pPr>
              <w:rPr>
                <w:rFonts w:ascii="Arial" w:hAnsi="Arial" w:cs="Arial"/>
                <w:sz w:val="20"/>
                <w:szCs w:val="20"/>
              </w:rPr>
            </w:pPr>
            <w:r>
              <w:rPr>
                <w:rFonts w:ascii="Arial" w:hAnsi="Arial" w:cs="Arial"/>
                <w:sz w:val="20"/>
                <w:szCs w:val="20"/>
              </w:rPr>
              <w:t>D.W. Rickerson</w:t>
            </w:r>
          </w:p>
        </w:tc>
      </w:tr>
      <w:tr w:rsidR="000F4991" w:rsidTr="000F4991">
        <w:tc>
          <w:tcPr>
            <w:tcW w:w="1158" w:type="dxa"/>
            <w:tcBorders>
              <w:top w:val="single" w:sz="4" w:space="0" w:color="auto"/>
              <w:left w:val="single" w:sz="4" w:space="0" w:color="auto"/>
              <w:bottom w:val="single" w:sz="4" w:space="0" w:color="auto"/>
              <w:right w:val="single" w:sz="4" w:space="0" w:color="auto"/>
            </w:tcBorders>
          </w:tcPr>
          <w:p w:rsidR="000F4991" w:rsidRPr="007415E6" w:rsidRDefault="00EB6F50" w:rsidP="000F4991">
            <w:pPr>
              <w:rPr>
                <w:rFonts w:ascii="Arial" w:hAnsi="Arial" w:cs="Arial"/>
                <w:sz w:val="20"/>
                <w:szCs w:val="20"/>
              </w:rPr>
            </w:pPr>
            <w:r>
              <w:rPr>
                <w:rFonts w:ascii="Arial" w:hAnsi="Arial" w:cs="Arial"/>
                <w:sz w:val="20"/>
                <w:szCs w:val="20"/>
              </w:rPr>
              <w:t>0.2</w:t>
            </w:r>
          </w:p>
        </w:tc>
        <w:tc>
          <w:tcPr>
            <w:tcW w:w="3655" w:type="dxa"/>
            <w:tcBorders>
              <w:top w:val="single" w:sz="4" w:space="0" w:color="auto"/>
              <w:left w:val="single" w:sz="4" w:space="0" w:color="auto"/>
              <w:bottom w:val="single" w:sz="4" w:space="0" w:color="auto"/>
              <w:right w:val="single" w:sz="4" w:space="0" w:color="auto"/>
            </w:tcBorders>
          </w:tcPr>
          <w:p w:rsidR="000F4991" w:rsidRPr="007415E6" w:rsidRDefault="00EB6F50" w:rsidP="000F4991">
            <w:pPr>
              <w:rPr>
                <w:rFonts w:ascii="Arial" w:hAnsi="Arial" w:cs="Arial"/>
                <w:sz w:val="20"/>
                <w:szCs w:val="20"/>
              </w:rPr>
            </w:pPr>
            <w:r>
              <w:rPr>
                <w:rFonts w:ascii="Arial" w:hAnsi="Arial" w:cs="Arial"/>
                <w:sz w:val="20"/>
                <w:szCs w:val="20"/>
              </w:rPr>
              <w:t>Edits Added</w:t>
            </w:r>
          </w:p>
        </w:tc>
        <w:tc>
          <w:tcPr>
            <w:tcW w:w="1505" w:type="dxa"/>
            <w:tcBorders>
              <w:top w:val="single" w:sz="4" w:space="0" w:color="auto"/>
              <w:left w:val="single" w:sz="4" w:space="0" w:color="auto"/>
              <w:bottom w:val="single" w:sz="4" w:space="0" w:color="auto"/>
              <w:right w:val="single" w:sz="4" w:space="0" w:color="auto"/>
            </w:tcBorders>
          </w:tcPr>
          <w:p w:rsidR="000F4991" w:rsidRPr="007415E6" w:rsidRDefault="00EB6F50" w:rsidP="000F4991">
            <w:pPr>
              <w:rPr>
                <w:rFonts w:ascii="Arial" w:hAnsi="Arial" w:cs="Arial"/>
                <w:sz w:val="20"/>
                <w:szCs w:val="20"/>
              </w:rPr>
            </w:pPr>
            <w:r>
              <w:rPr>
                <w:rFonts w:ascii="Arial" w:hAnsi="Arial" w:cs="Arial"/>
                <w:sz w:val="20"/>
                <w:szCs w:val="20"/>
              </w:rPr>
              <w:t>5/21/2010</w:t>
            </w:r>
          </w:p>
        </w:tc>
        <w:tc>
          <w:tcPr>
            <w:tcW w:w="1677" w:type="dxa"/>
            <w:tcBorders>
              <w:top w:val="single" w:sz="4" w:space="0" w:color="auto"/>
              <w:left w:val="single" w:sz="4" w:space="0" w:color="auto"/>
              <w:bottom w:val="single" w:sz="4" w:space="0" w:color="auto"/>
              <w:right w:val="single" w:sz="4" w:space="0" w:color="auto"/>
            </w:tcBorders>
          </w:tcPr>
          <w:p w:rsidR="000F4991" w:rsidRPr="00EB6F50" w:rsidRDefault="00EB6F50" w:rsidP="00EB6F50">
            <w:pPr>
              <w:rPr>
                <w:rFonts w:ascii="Arial" w:hAnsi="Arial" w:cs="Arial"/>
                <w:sz w:val="20"/>
                <w:szCs w:val="20"/>
              </w:rPr>
            </w:pPr>
            <w:r w:rsidRPr="00EB6F50">
              <w:rPr>
                <w:rFonts w:ascii="Arial" w:hAnsi="Arial" w:cs="Arial"/>
                <w:sz w:val="20"/>
                <w:szCs w:val="20"/>
              </w:rPr>
              <w:t>A.</w:t>
            </w:r>
            <w:r>
              <w:rPr>
                <w:rFonts w:ascii="Arial" w:hAnsi="Arial" w:cs="Arial"/>
                <w:sz w:val="20"/>
                <w:szCs w:val="20"/>
              </w:rPr>
              <w:t xml:space="preserve"> </w:t>
            </w:r>
            <w:r w:rsidR="00631E83" w:rsidRPr="00631E83">
              <w:rPr>
                <w:rFonts w:ascii="Arial" w:hAnsi="Arial" w:cs="Arial"/>
                <w:sz w:val="20"/>
                <w:szCs w:val="20"/>
              </w:rPr>
              <w:t>Natoli</w:t>
            </w:r>
          </w:p>
        </w:tc>
      </w:tr>
      <w:tr w:rsidR="000F4991" w:rsidTr="000F4991">
        <w:tc>
          <w:tcPr>
            <w:tcW w:w="1158" w:type="dxa"/>
            <w:tcBorders>
              <w:top w:val="single" w:sz="4" w:space="0" w:color="auto"/>
              <w:left w:val="single" w:sz="4" w:space="0" w:color="auto"/>
              <w:bottom w:val="single" w:sz="4" w:space="0" w:color="auto"/>
              <w:right w:val="single" w:sz="4" w:space="0" w:color="auto"/>
            </w:tcBorders>
          </w:tcPr>
          <w:p w:rsidR="000F4991" w:rsidRPr="007415E6" w:rsidRDefault="00F628B9" w:rsidP="000F4991">
            <w:pPr>
              <w:rPr>
                <w:rFonts w:ascii="Arial" w:hAnsi="Arial" w:cs="Arial"/>
                <w:sz w:val="20"/>
                <w:szCs w:val="20"/>
              </w:rPr>
            </w:pPr>
            <w:r>
              <w:rPr>
                <w:rFonts w:ascii="Arial" w:hAnsi="Arial" w:cs="Arial"/>
                <w:sz w:val="20"/>
                <w:szCs w:val="20"/>
              </w:rPr>
              <w:t>0.3</w:t>
            </w:r>
          </w:p>
        </w:tc>
        <w:tc>
          <w:tcPr>
            <w:tcW w:w="3655" w:type="dxa"/>
            <w:tcBorders>
              <w:top w:val="single" w:sz="4" w:space="0" w:color="auto"/>
              <w:left w:val="single" w:sz="4" w:space="0" w:color="auto"/>
              <w:bottom w:val="single" w:sz="4" w:space="0" w:color="auto"/>
              <w:right w:val="single" w:sz="4" w:space="0" w:color="auto"/>
            </w:tcBorders>
          </w:tcPr>
          <w:p w:rsidR="000F4991" w:rsidRPr="007415E6" w:rsidRDefault="00F628B9" w:rsidP="000F4991">
            <w:pPr>
              <w:rPr>
                <w:rFonts w:ascii="Arial" w:hAnsi="Arial" w:cs="Arial"/>
                <w:sz w:val="20"/>
                <w:szCs w:val="20"/>
              </w:rPr>
            </w:pPr>
            <w:r>
              <w:rPr>
                <w:rFonts w:ascii="Arial" w:hAnsi="Arial" w:cs="Arial"/>
                <w:sz w:val="20"/>
                <w:szCs w:val="20"/>
              </w:rPr>
              <w:t xml:space="preserve">Interim update language added, </w:t>
            </w:r>
          </w:p>
        </w:tc>
        <w:tc>
          <w:tcPr>
            <w:tcW w:w="1505" w:type="dxa"/>
            <w:tcBorders>
              <w:top w:val="single" w:sz="4" w:space="0" w:color="auto"/>
              <w:left w:val="single" w:sz="4" w:space="0" w:color="auto"/>
              <w:bottom w:val="single" w:sz="4" w:space="0" w:color="auto"/>
              <w:right w:val="single" w:sz="4" w:space="0" w:color="auto"/>
            </w:tcBorders>
          </w:tcPr>
          <w:p w:rsidR="000F4991" w:rsidRPr="007415E6" w:rsidRDefault="002B3508" w:rsidP="000F4991">
            <w:pPr>
              <w:rPr>
                <w:rFonts w:ascii="Arial" w:hAnsi="Arial" w:cs="Arial"/>
                <w:sz w:val="20"/>
                <w:szCs w:val="20"/>
              </w:rPr>
            </w:pPr>
            <w:r>
              <w:rPr>
                <w:rFonts w:ascii="Arial" w:hAnsi="Arial" w:cs="Arial"/>
                <w:sz w:val="20"/>
                <w:szCs w:val="20"/>
              </w:rPr>
              <w:t>5/26/2010</w:t>
            </w:r>
          </w:p>
        </w:tc>
        <w:tc>
          <w:tcPr>
            <w:tcW w:w="1677" w:type="dxa"/>
            <w:tcBorders>
              <w:top w:val="single" w:sz="4" w:space="0" w:color="auto"/>
              <w:left w:val="single" w:sz="4" w:space="0" w:color="auto"/>
              <w:bottom w:val="single" w:sz="4" w:space="0" w:color="auto"/>
              <w:right w:val="single" w:sz="4" w:space="0" w:color="auto"/>
            </w:tcBorders>
          </w:tcPr>
          <w:p w:rsidR="000F4991" w:rsidRPr="007415E6" w:rsidRDefault="002B3508" w:rsidP="000F4991">
            <w:pPr>
              <w:rPr>
                <w:rFonts w:ascii="Arial" w:hAnsi="Arial" w:cs="Arial"/>
                <w:sz w:val="20"/>
                <w:szCs w:val="20"/>
              </w:rPr>
            </w:pPr>
            <w:r>
              <w:rPr>
                <w:rFonts w:ascii="Arial" w:hAnsi="Arial" w:cs="Arial"/>
                <w:sz w:val="20"/>
                <w:szCs w:val="20"/>
              </w:rPr>
              <w:t>D.W. Rickerson</w:t>
            </w:r>
          </w:p>
        </w:tc>
      </w:tr>
      <w:tr w:rsidR="000F4991" w:rsidTr="000F4991">
        <w:tc>
          <w:tcPr>
            <w:tcW w:w="1158" w:type="dxa"/>
            <w:tcBorders>
              <w:top w:val="single" w:sz="4" w:space="0" w:color="auto"/>
              <w:left w:val="single" w:sz="4" w:space="0" w:color="auto"/>
              <w:bottom w:val="single" w:sz="4" w:space="0" w:color="auto"/>
              <w:right w:val="single" w:sz="4" w:space="0" w:color="auto"/>
            </w:tcBorders>
          </w:tcPr>
          <w:p w:rsidR="000F4991" w:rsidRPr="007415E6" w:rsidRDefault="001D1B30" w:rsidP="000F4991">
            <w:pPr>
              <w:rPr>
                <w:rFonts w:ascii="Arial" w:hAnsi="Arial" w:cs="Arial"/>
                <w:sz w:val="20"/>
                <w:szCs w:val="20"/>
              </w:rPr>
            </w:pPr>
            <w:r>
              <w:rPr>
                <w:rFonts w:ascii="Arial" w:hAnsi="Arial" w:cs="Arial"/>
                <w:sz w:val="20"/>
                <w:szCs w:val="20"/>
              </w:rPr>
              <w:t>0.4</w:t>
            </w:r>
          </w:p>
        </w:tc>
        <w:tc>
          <w:tcPr>
            <w:tcW w:w="3655" w:type="dxa"/>
            <w:tcBorders>
              <w:top w:val="single" w:sz="4" w:space="0" w:color="auto"/>
              <w:left w:val="single" w:sz="4" w:space="0" w:color="auto"/>
              <w:bottom w:val="single" w:sz="4" w:space="0" w:color="auto"/>
              <w:right w:val="single" w:sz="4" w:space="0" w:color="auto"/>
            </w:tcBorders>
          </w:tcPr>
          <w:p w:rsidR="000F4991" w:rsidRPr="007415E6" w:rsidRDefault="001D1B30" w:rsidP="000F4991">
            <w:pPr>
              <w:rPr>
                <w:rFonts w:ascii="Arial" w:hAnsi="Arial" w:cs="Arial"/>
                <w:sz w:val="20"/>
                <w:szCs w:val="20"/>
              </w:rPr>
            </w:pPr>
            <w:r>
              <w:rPr>
                <w:rFonts w:ascii="Arial" w:hAnsi="Arial" w:cs="Arial"/>
                <w:sz w:val="20"/>
                <w:szCs w:val="20"/>
              </w:rPr>
              <w:t>Revisions to Interim Updates and Appendix B</w:t>
            </w:r>
          </w:p>
        </w:tc>
        <w:tc>
          <w:tcPr>
            <w:tcW w:w="1505" w:type="dxa"/>
            <w:tcBorders>
              <w:top w:val="single" w:sz="4" w:space="0" w:color="auto"/>
              <w:left w:val="single" w:sz="4" w:space="0" w:color="auto"/>
              <w:bottom w:val="single" w:sz="4" w:space="0" w:color="auto"/>
              <w:right w:val="single" w:sz="4" w:space="0" w:color="auto"/>
            </w:tcBorders>
          </w:tcPr>
          <w:p w:rsidR="000F4991" w:rsidRPr="007415E6" w:rsidRDefault="001D1B30" w:rsidP="000F4991">
            <w:pPr>
              <w:rPr>
                <w:rFonts w:ascii="Arial" w:hAnsi="Arial" w:cs="Arial"/>
                <w:sz w:val="20"/>
                <w:szCs w:val="20"/>
              </w:rPr>
            </w:pPr>
            <w:r>
              <w:rPr>
                <w:rFonts w:ascii="Arial" w:hAnsi="Arial" w:cs="Arial"/>
                <w:sz w:val="20"/>
                <w:szCs w:val="20"/>
              </w:rPr>
              <w:t>5/27/2010</w:t>
            </w:r>
          </w:p>
        </w:tc>
        <w:tc>
          <w:tcPr>
            <w:tcW w:w="1677" w:type="dxa"/>
            <w:tcBorders>
              <w:top w:val="single" w:sz="4" w:space="0" w:color="auto"/>
              <w:left w:val="single" w:sz="4" w:space="0" w:color="auto"/>
              <w:bottom w:val="single" w:sz="4" w:space="0" w:color="auto"/>
              <w:right w:val="single" w:sz="4" w:space="0" w:color="auto"/>
            </w:tcBorders>
          </w:tcPr>
          <w:p w:rsidR="000F4991" w:rsidRPr="007415E6" w:rsidRDefault="001D1B30" w:rsidP="000F4991">
            <w:pPr>
              <w:rPr>
                <w:rFonts w:ascii="Arial" w:hAnsi="Arial" w:cs="Arial"/>
                <w:sz w:val="20"/>
                <w:szCs w:val="20"/>
              </w:rPr>
            </w:pPr>
            <w:r>
              <w:rPr>
                <w:rFonts w:ascii="Arial" w:hAnsi="Arial" w:cs="Arial"/>
                <w:sz w:val="20"/>
                <w:szCs w:val="20"/>
              </w:rPr>
              <w:t>D.W. Rickerson</w:t>
            </w:r>
          </w:p>
        </w:tc>
      </w:tr>
      <w:tr w:rsidR="00126EEC" w:rsidTr="000F4991">
        <w:tc>
          <w:tcPr>
            <w:tcW w:w="1158" w:type="dxa"/>
            <w:tcBorders>
              <w:top w:val="single" w:sz="4" w:space="0" w:color="auto"/>
              <w:left w:val="single" w:sz="4" w:space="0" w:color="auto"/>
              <w:bottom w:val="single" w:sz="4" w:space="0" w:color="auto"/>
              <w:right w:val="single" w:sz="4" w:space="0" w:color="auto"/>
            </w:tcBorders>
          </w:tcPr>
          <w:p w:rsidR="00126EEC" w:rsidRDefault="00126EEC" w:rsidP="000F4991">
            <w:pPr>
              <w:rPr>
                <w:rFonts w:ascii="Arial" w:hAnsi="Arial" w:cs="Arial"/>
                <w:sz w:val="20"/>
                <w:szCs w:val="20"/>
              </w:rPr>
            </w:pPr>
            <w:r>
              <w:rPr>
                <w:rFonts w:ascii="Arial" w:hAnsi="Arial" w:cs="Arial"/>
                <w:sz w:val="20"/>
                <w:szCs w:val="20"/>
              </w:rPr>
              <w:t>1.0</w:t>
            </w:r>
          </w:p>
        </w:tc>
        <w:tc>
          <w:tcPr>
            <w:tcW w:w="3655" w:type="dxa"/>
            <w:tcBorders>
              <w:top w:val="single" w:sz="4" w:space="0" w:color="auto"/>
              <w:left w:val="single" w:sz="4" w:space="0" w:color="auto"/>
              <w:bottom w:val="single" w:sz="4" w:space="0" w:color="auto"/>
              <w:right w:val="single" w:sz="4" w:space="0" w:color="auto"/>
            </w:tcBorders>
          </w:tcPr>
          <w:p w:rsidR="00126EEC" w:rsidRDefault="00126EEC" w:rsidP="000F4991">
            <w:pPr>
              <w:rPr>
                <w:rFonts w:ascii="Arial" w:hAnsi="Arial" w:cs="Arial"/>
                <w:sz w:val="20"/>
                <w:szCs w:val="20"/>
              </w:rPr>
            </w:pPr>
            <w:r>
              <w:rPr>
                <w:rFonts w:ascii="Arial" w:hAnsi="Arial" w:cs="Arial"/>
                <w:sz w:val="20"/>
                <w:szCs w:val="20"/>
              </w:rPr>
              <w:t>Final Revisions</w:t>
            </w:r>
          </w:p>
        </w:tc>
        <w:tc>
          <w:tcPr>
            <w:tcW w:w="1505" w:type="dxa"/>
            <w:tcBorders>
              <w:top w:val="single" w:sz="4" w:space="0" w:color="auto"/>
              <w:left w:val="single" w:sz="4" w:space="0" w:color="auto"/>
              <w:bottom w:val="single" w:sz="4" w:space="0" w:color="auto"/>
              <w:right w:val="single" w:sz="4" w:space="0" w:color="auto"/>
            </w:tcBorders>
          </w:tcPr>
          <w:p w:rsidR="00126EEC" w:rsidRDefault="00126EEC" w:rsidP="000F4991">
            <w:pPr>
              <w:rPr>
                <w:rFonts w:ascii="Arial" w:hAnsi="Arial" w:cs="Arial"/>
                <w:sz w:val="20"/>
                <w:szCs w:val="20"/>
              </w:rPr>
            </w:pPr>
            <w:r>
              <w:rPr>
                <w:rFonts w:ascii="Arial" w:hAnsi="Arial" w:cs="Arial"/>
                <w:sz w:val="20"/>
                <w:szCs w:val="20"/>
              </w:rPr>
              <w:t>5/28/2010</w:t>
            </w:r>
          </w:p>
        </w:tc>
        <w:tc>
          <w:tcPr>
            <w:tcW w:w="1677" w:type="dxa"/>
            <w:tcBorders>
              <w:top w:val="single" w:sz="4" w:space="0" w:color="auto"/>
              <w:left w:val="single" w:sz="4" w:space="0" w:color="auto"/>
              <w:bottom w:val="single" w:sz="4" w:space="0" w:color="auto"/>
              <w:right w:val="single" w:sz="4" w:space="0" w:color="auto"/>
            </w:tcBorders>
          </w:tcPr>
          <w:p w:rsidR="00126EEC" w:rsidRDefault="00126EEC" w:rsidP="000F4991">
            <w:pPr>
              <w:rPr>
                <w:rFonts w:ascii="Arial" w:hAnsi="Arial" w:cs="Arial"/>
                <w:sz w:val="20"/>
                <w:szCs w:val="20"/>
              </w:rPr>
            </w:pPr>
            <w:r>
              <w:rPr>
                <w:rFonts w:ascii="Arial" w:hAnsi="Arial" w:cs="Arial"/>
                <w:sz w:val="20"/>
                <w:szCs w:val="20"/>
              </w:rPr>
              <w:t>D.W. Rickerson</w:t>
            </w:r>
          </w:p>
        </w:tc>
      </w:tr>
    </w:tbl>
    <w:p w:rsidR="000F4991" w:rsidRDefault="000F4991" w:rsidP="000F4991"/>
    <w:p w:rsidR="000F4991" w:rsidRDefault="000F4991">
      <w:r>
        <w:br w:type="page"/>
      </w:r>
    </w:p>
    <w:p w:rsidR="000F4991" w:rsidRPr="000F4991" w:rsidRDefault="000F4991" w:rsidP="000F4991"/>
    <w:sdt>
      <w:sdtPr>
        <w:rPr>
          <w:rFonts w:asciiTheme="minorHAnsi" w:eastAsiaTheme="minorHAnsi" w:hAnsiTheme="minorHAnsi" w:cstheme="minorBidi"/>
          <w:b w:val="0"/>
          <w:bCs w:val="0"/>
          <w:color w:val="auto"/>
          <w:sz w:val="22"/>
          <w:szCs w:val="22"/>
        </w:rPr>
        <w:id w:val="19931001"/>
        <w:docPartObj>
          <w:docPartGallery w:val="Table of Contents"/>
          <w:docPartUnique/>
        </w:docPartObj>
      </w:sdtPr>
      <w:sdtContent>
        <w:p w:rsidR="000F4991" w:rsidRDefault="000F4991">
          <w:pPr>
            <w:pStyle w:val="TOCHeading"/>
          </w:pPr>
          <w:r w:rsidRPr="00EF2D51">
            <w:rPr>
              <w:rFonts w:asciiTheme="minorHAnsi" w:hAnsiTheme="minorHAnsi"/>
              <w:color w:val="auto"/>
              <w:sz w:val="36"/>
              <w:szCs w:val="36"/>
            </w:rPr>
            <w:t>Contents</w:t>
          </w:r>
        </w:p>
        <w:p w:rsidR="00126EEC" w:rsidRDefault="00631E83">
          <w:pPr>
            <w:pStyle w:val="TOC1"/>
            <w:tabs>
              <w:tab w:val="left" w:pos="440"/>
              <w:tab w:val="right" w:leader="dot" w:pos="9350"/>
            </w:tabs>
            <w:rPr>
              <w:rFonts w:eastAsiaTheme="minorEastAsia"/>
              <w:noProof/>
            </w:rPr>
          </w:pPr>
          <w:r>
            <w:fldChar w:fldCharType="begin"/>
          </w:r>
          <w:r w:rsidR="000F4991">
            <w:instrText xml:space="preserve"> TOC \o "1-3" \h \z \u </w:instrText>
          </w:r>
          <w:r>
            <w:fldChar w:fldCharType="separate"/>
          </w:r>
          <w:hyperlink w:anchor="_Toc262741609" w:history="1">
            <w:r w:rsidR="00126EEC" w:rsidRPr="00716300">
              <w:rPr>
                <w:rStyle w:val="Hyperlink"/>
                <w:rFonts w:ascii="Calibri" w:hAnsi="Calibri"/>
                <w:noProof/>
              </w:rPr>
              <w:t>I.</w:t>
            </w:r>
            <w:r w:rsidR="00126EEC">
              <w:rPr>
                <w:rFonts w:eastAsiaTheme="minorEastAsia"/>
                <w:noProof/>
              </w:rPr>
              <w:tab/>
            </w:r>
            <w:r w:rsidR="00126EEC" w:rsidRPr="00716300">
              <w:rPr>
                <w:rStyle w:val="Hyperlink"/>
                <w:noProof/>
              </w:rPr>
              <w:t>Overview</w:t>
            </w:r>
            <w:r w:rsidR="00126EEC">
              <w:rPr>
                <w:noProof/>
                <w:webHidden/>
              </w:rPr>
              <w:tab/>
            </w:r>
            <w:r w:rsidR="00126EEC">
              <w:rPr>
                <w:noProof/>
                <w:webHidden/>
              </w:rPr>
              <w:fldChar w:fldCharType="begin"/>
            </w:r>
            <w:r w:rsidR="00126EEC">
              <w:rPr>
                <w:noProof/>
                <w:webHidden/>
              </w:rPr>
              <w:instrText xml:space="preserve"> PAGEREF _Toc262741609 \h </w:instrText>
            </w:r>
            <w:r w:rsidR="00126EEC">
              <w:rPr>
                <w:noProof/>
                <w:webHidden/>
              </w:rPr>
            </w:r>
            <w:r w:rsidR="00126EEC">
              <w:rPr>
                <w:noProof/>
                <w:webHidden/>
              </w:rPr>
              <w:fldChar w:fldCharType="separate"/>
            </w:r>
            <w:r w:rsidR="00126EEC">
              <w:rPr>
                <w:noProof/>
                <w:webHidden/>
              </w:rPr>
              <w:t>4</w:t>
            </w:r>
            <w:r w:rsidR="00126EEC">
              <w:rPr>
                <w:noProof/>
                <w:webHidden/>
              </w:rPr>
              <w:fldChar w:fldCharType="end"/>
            </w:r>
          </w:hyperlink>
        </w:p>
        <w:p w:rsidR="00126EEC" w:rsidRDefault="00126EEC">
          <w:pPr>
            <w:pStyle w:val="TOC1"/>
            <w:tabs>
              <w:tab w:val="left" w:pos="440"/>
              <w:tab w:val="right" w:leader="dot" w:pos="9350"/>
            </w:tabs>
            <w:rPr>
              <w:rFonts w:eastAsiaTheme="minorEastAsia"/>
              <w:noProof/>
            </w:rPr>
          </w:pPr>
          <w:hyperlink w:anchor="_Toc262741610" w:history="1">
            <w:r w:rsidRPr="00716300">
              <w:rPr>
                <w:rStyle w:val="Hyperlink"/>
                <w:rFonts w:ascii="Calibri" w:hAnsi="Calibri"/>
                <w:noProof/>
              </w:rPr>
              <w:t>II.</w:t>
            </w:r>
            <w:r>
              <w:rPr>
                <w:rFonts w:eastAsiaTheme="minorEastAsia"/>
                <w:noProof/>
              </w:rPr>
              <w:tab/>
            </w:r>
            <w:r w:rsidRPr="00716300">
              <w:rPr>
                <w:rStyle w:val="Hyperlink"/>
                <w:noProof/>
              </w:rPr>
              <w:t>Zonal Timeline for Data Submission</w:t>
            </w:r>
            <w:r>
              <w:rPr>
                <w:noProof/>
                <w:webHidden/>
              </w:rPr>
              <w:tab/>
            </w:r>
            <w:r>
              <w:rPr>
                <w:noProof/>
                <w:webHidden/>
              </w:rPr>
              <w:fldChar w:fldCharType="begin"/>
            </w:r>
            <w:r>
              <w:rPr>
                <w:noProof/>
                <w:webHidden/>
              </w:rPr>
              <w:instrText xml:space="preserve"> PAGEREF _Toc262741610 \h </w:instrText>
            </w:r>
            <w:r>
              <w:rPr>
                <w:noProof/>
                <w:webHidden/>
              </w:rPr>
            </w:r>
            <w:r>
              <w:rPr>
                <w:noProof/>
                <w:webHidden/>
              </w:rPr>
              <w:fldChar w:fldCharType="separate"/>
            </w:r>
            <w:r>
              <w:rPr>
                <w:noProof/>
                <w:webHidden/>
              </w:rPr>
              <w:t>4</w:t>
            </w:r>
            <w:r>
              <w:rPr>
                <w:noProof/>
                <w:webHidden/>
              </w:rPr>
              <w:fldChar w:fldCharType="end"/>
            </w:r>
          </w:hyperlink>
        </w:p>
        <w:p w:rsidR="00126EEC" w:rsidRDefault="00126EEC">
          <w:pPr>
            <w:pStyle w:val="TOC1"/>
            <w:tabs>
              <w:tab w:val="left" w:pos="660"/>
              <w:tab w:val="right" w:leader="dot" w:pos="9350"/>
            </w:tabs>
            <w:rPr>
              <w:rFonts w:eastAsiaTheme="minorEastAsia"/>
              <w:noProof/>
            </w:rPr>
          </w:pPr>
          <w:hyperlink w:anchor="_Toc262741611" w:history="1">
            <w:r w:rsidRPr="00716300">
              <w:rPr>
                <w:rStyle w:val="Hyperlink"/>
                <w:rFonts w:ascii="Calibri" w:hAnsi="Calibri"/>
                <w:noProof/>
              </w:rPr>
              <w:t>III.</w:t>
            </w:r>
            <w:r>
              <w:rPr>
                <w:rStyle w:val="Hyperlink"/>
                <w:rFonts w:ascii="Calibri" w:hAnsi="Calibri"/>
                <w:noProof/>
              </w:rPr>
              <w:t xml:space="preserve">    </w:t>
            </w:r>
            <w:r w:rsidRPr="00716300">
              <w:rPr>
                <w:rStyle w:val="Hyperlink"/>
                <w:noProof/>
              </w:rPr>
              <w:t>Nodal Timeline for Data Submission</w:t>
            </w:r>
            <w:r>
              <w:rPr>
                <w:noProof/>
                <w:webHidden/>
              </w:rPr>
              <w:tab/>
            </w:r>
            <w:r>
              <w:rPr>
                <w:noProof/>
                <w:webHidden/>
              </w:rPr>
              <w:fldChar w:fldCharType="begin"/>
            </w:r>
            <w:r>
              <w:rPr>
                <w:noProof/>
                <w:webHidden/>
              </w:rPr>
              <w:instrText xml:space="preserve"> PAGEREF _Toc262741611 \h </w:instrText>
            </w:r>
            <w:r>
              <w:rPr>
                <w:noProof/>
                <w:webHidden/>
              </w:rPr>
            </w:r>
            <w:r>
              <w:rPr>
                <w:noProof/>
                <w:webHidden/>
              </w:rPr>
              <w:fldChar w:fldCharType="separate"/>
            </w:r>
            <w:r>
              <w:rPr>
                <w:noProof/>
                <w:webHidden/>
              </w:rPr>
              <w:t>4</w:t>
            </w:r>
            <w:r>
              <w:rPr>
                <w:noProof/>
                <w:webHidden/>
              </w:rPr>
              <w:fldChar w:fldCharType="end"/>
            </w:r>
          </w:hyperlink>
        </w:p>
        <w:p w:rsidR="00126EEC" w:rsidRDefault="00126EEC">
          <w:pPr>
            <w:pStyle w:val="TOC1"/>
            <w:tabs>
              <w:tab w:val="left" w:pos="660"/>
              <w:tab w:val="right" w:leader="dot" w:pos="9350"/>
            </w:tabs>
            <w:rPr>
              <w:rFonts w:eastAsiaTheme="minorEastAsia"/>
              <w:noProof/>
            </w:rPr>
          </w:pPr>
          <w:hyperlink w:anchor="_Toc262741612" w:history="1">
            <w:r w:rsidRPr="00716300">
              <w:rPr>
                <w:rStyle w:val="Hyperlink"/>
                <w:rFonts w:ascii="Calibri" w:hAnsi="Calibri"/>
                <w:noProof/>
              </w:rPr>
              <w:t>IV.</w:t>
            </w:r>
            <w:r>
              <w:rPr>
                <w:rStyle w:val="Hyperlink"/>
                <w:rFonts w:ascii="Calibri" w:hAnsi="Calibri"/>
                <w:noProof/>
              </w:rPr>
              <w:t xml:space="preserve">   </w:t>
            </w:r>
            <w:r w:rsidRPr="00716300">
              <w:rPr>
                <w:rStyle w:val="Hyperlink"/>
                <w:noProof/>
              </w:rPr>
              <w:t>Transition Plan for Data Submittals</w:t>
            </w:r>
            <w:r>
              <w:rPr>
                <w:noProof/>
                <w:webHidden/>
              </w:rPr>
              <w:tab/>
            </w:r>
            <w:r>
              <w:rPr>
                <w:noProof/>
                <w:webHidden/>
              </w:rPr>
              <w:fldChar w:fldCharType="begin"/>
            </w:r>
            <w:r>
              <w:rPr>
                <w:noProof/>
                <w:webHidden/>
              </w:rPr>
              <w:instrText xml:space="preserve"> PAGEREF _Toc262741612 \h </w:instrText>
            </w:r>
            <w:r>
              <w:rPr>
                <w:noProof/>
                <w:webHidden/>
              </w:rPr>
            </w:r>
            <w:r>
              <w:rPr>
                <w:noProof/>
                <w:webHidden/>
              </w:rPr>
              <w:fldChar w:fldCharType="separate"/>
            </w:r>
            <w:r>
              <w:rPr>
                <w:noProof/>
                <w:webHidden/>
              </w:rPr>
              <w:t>6</w:t>
            </w:r>
            <w:r>
              <w:rPr>
                <w:noProof/>
                <w:webHidden/>
              </w:rPr>
              <w:fldChar w:fldCharType="end"/>
            </w:r>
          </w:hyperlink>
        </w:p>
        <w:p w:rsidR="00126EEC" w:rsidRDefault="00126EEC">
          <w:pPr>
            <w:pStyle w:val="TOC2"/>
            <w:tabs>
              <w:tab w:val="left" w:pos="660"/>
              <w:tab w:val="right" w:leader="dot" w:pos="9350"/>
            </w:tabs>
            <w:rPr>
              <w:rFonts w:eastAsiaTheme="minorEastAsia"/>
              <w:noProof/>
            </w:rPr>
          </w:pPr>
          <w:hyperlink w:anchor="_Toc262741613" w:history="1">
            <w:r w:rsidRPr="00716300">
              <w:rPr>
                <w:rStyle w:val="Hyperlink"/>
                <w:noProof/>
              </w:rPr>
              <w:t>A.</w:t>
            </w:r>
            <w:r>
              <w:rPr>
                <w:rFonts w:eastAsiaTheme="minorEastAsia"/>
                <w:noProof/>
              </w:rPr>
              <w:tab/>
            </w:r>
            <w:r w:rsidRPr="00716300">
              <w:rPr>
                <w:rStyle w:val="Hyperlink"/>
                <w:noProof/>
              </w:rPr>
              <w:t>Single Entry Model (SEM)</w:t>
            </w:r>
            <w:r>
              <w:rPr>
                <w:noProof/>
                <w:webHidden/>
              </w:rPr>
              <w:tab/>
            </w:r>
            <w:r>
              <w:rPr>
                <w:noProof/>
                <w:webHidden/>
              </w:rPr>
              <w:fldChar w:fldCharType="begin"/>
            </w:r>
            <w:r>
              <w:rPr>
                <w:noProof/>
                <w:webHidden/>
              </w:rPr>
              <w:instrText xml:space="preserve"> PAGEREF _Toc262741613 \h </w:instrText>
            </w:r>
            <w:r>
              <w:rPr>
                <w:noProof/>
                <w:webHidden/>
              </w:rPr>
            </w:r>
            <w:r>
              <w:rPr>
                <w:noProof/>
                <w:webHidden/>
              </w:rPr>
              <w:fldChar w:fldCharType="separate"/>
            </w:r>
            <w:r>
              <w:rPr>
                <w:noProof/>
                <w:webHidden/>
              </w:rPr>
              <w:t>6</w:t>
            </w:r>
            <w:r>
              <w:rPr>
                <w:noProof/>
                <w:webHidden/>
              </w:rPr>
              <w:fldChar w:fldCharType="end"/>
            </w:r>
          </w:hyperlink>
        </w:p>
        <w:p w:rsidR="00126EEC" w:rsidRDefault="00126EEC">
          <w:pPr>
            <w:pStyle w:val="TOC2"/>
            <w:tabs>
              <w:tab w:val="left" w:pos="660"/>
              <w:tab w:val="right" w:leader="dot" w:pos="9350"/>
            </w:tabs>
            <w:rPr>
              <w:rFonts w:eastAsiaTheme="minorEastAsia"/>
              <w:noProof/>
            </w:rPr>
          </w:pPr>
          <w:hyperlink w:anchor="_Toc262741614" w:history="1">
            <w:r w:rsidRPr="00716300">
              <w:rPr>
                <w:rStyle w:val="Hyperlink"/>
                <w:noProof/>
              </w:rPr>
              <w:t>B.</w:t>
            </w:r>
            <w:r>
              <w:rPr>
                <w:rFonts w:eastAsiaTheme="minorEastAsia"/>
                <w:noProof/>
              </w:rPr>
              <w:tab/>
            </w:r>
            <w:r w:rsidRPr="00716300">
              <w:rPr>
                <w:rStyle w:val="Hyperlink"/>
                <w:noProof/>
              </w:rPr>
              <w:t>Model Validation Timeline</w:t>
            </w:r>
            <w:r>
              <w:rPr>
                <w:noProof/>
                <w:webHidden/>
              </w:rPr>
              <w:tab/>
            </w:r>
            <w:r>
              <w:rPr>
                <w:noProof/>
                <w:webHidden/>
              </w:rPr>
              <w:fldChar w:fldCharType="begin"/>
            </w:r>
            <w:r>
              <w:rPr>
                <w:noProof/>
                <w:webHidden/>
              </w:rPr>
              <w:instrText xml:space="preserve"> PAGEREF _Toc262741614 \h </w:instrText>
            </w:r>
            <w:r>
              <w:rPr>
                <w:noProof/>
                <w:webHidden/>
              </w:rPr>
            </w:r>
            <w:r>
              <w:rPr>
                <w:noProof/>
                <w:webHidden/>
              </w:rPr>
              <w:fldChar w:fldCharType="separate"/>
            </w:r>
            <w:r>
              <w:rPr>
                <w:noProof/>
                <w:webHidden/>
              </w:rPr>
              <w:t>7</w:t>
            </w:r>
            <w:r>
              <w:rPr>
                <w:noProof/>
                <w:webHidden/>
              </w:rPr>
              <w:fldChar w:fldCharType="end"/>
            </w:r>
          </w:hyperlink>
        </w:p>
        <w:p w:rsidR="00126EEC" w:rsidRDefault="00126EEC">
          <w:pPr>
            <w:pStyle w:val="TOC2"/>
            <w:tabs>
              <w:tab w:val="left" w:pos="660"/>
              <w:tab w:val="right" w:leader="dot" w:pos="9350"/>
            </w:tabs>
            <w:rPr>
              <w:rFonts w:eastAsiaTheme="minorEastAsia"/>
              <w:noProof/>
            </w:rPr>
          </w:pPr>
          <w:hyperlink w:anchor="_Toc262741615" w:history="1">
            <w:r w:rsidRPr="00716300">
              <w:rPr>
                <w:rStyle w:val="Hyperlink"/>
                <w:noProof/>
              </w:rPr>
              <w:t>C.</w:t>
            </w:r>
            <w:r>
              <w:rPr>
                <w:rFonts w:eastAsiaTheme="minorEastAsia"/>
                <w:noProof/>
              </w:rPr>
              <w:tab/>
            </w:r>
            <w:r w:rsidRPr="00716300">
              <w:rPr>
                <w:rStyle w:val="Hyperlink"/>
                <w:noProof/>
              </w:rPr>
              <w:t>Cumulative Nature of Temporal modeling in Nodal</w:t>
            </w:r>
            <w:r>
              <w:rPr>
                <w:noProof/>
                <w:webHidden/>
              </w:rPr>
              <w:tab/>
            </w:r>
            <w:r>
              <w:rPr>
                <w:noProof/>
                <w:webHidden/>
              </w:rPr>
              <w:fldChar w:fldCharType="begin"/>
            </w:r>
            <w:r>
              <w:rPr>
                <w:noProof/>
                <w:webHidden/>
              </w:rPr>
              <w:instrText xml:space="preserve"> PAGEREF _Toc262741615 \h </w:instrText>
            </w:r>
            <w:r>
              <w:rPr>
                <w:noProof/>
                <w:webHidden/>
              </w:rPr>
            </w:r>
            <w:r>
              <w:rPr>
                <w:noProof/>
                <w:webHidden/>
              </w:rPr>
              <w:fldChar w:fldCharType="separate"/>
            </w:r>
            <w:r>
              <w:rPr>
                <w:noProof/>
                <w:webHidden/>
              </w:rPr>
              <w:t>7</w:t>
            </w:r>
            <w:r>
              <w:rPr>
                <w:noProof/>
                <w:webHidden/>
              </w:rPr>
              <w:fldChar w:fldCharType="end"/>
            </w:r>
          </w:hyperlink>
        </w:p>
        <w:p w:rsidR="00126EEC" w:rsidRDefault="00126EEC">
          <w:pPr>
            <w:pStyle w:val="TOC2"/>
            <w:tabs>
              <w:tab w:val="left" w:pos="660"/>
              <w:tab w:val="right" w:leader="dot" w:pos="9350"/>
            </w:tabs>
            <w:rPr>
              <w:rFonts w:eastAsiaTheme="minorEastAsia"/>
              <w:noProof/>
            </w:rPr>
          </w:pPr>
          <w:hyperlink w:anchor="_Toc262741616" w:history="1">
            <w:r w:rsidRPr="00716300">
              <w:rPr>
                <w:rStyle w:val="Hyperlink"/>
                <w:noProof/>
              </w:rPr>
              <w:t>D.</w:t>
            </w:r>
            <w:r>
              <w:rPr>
                <w:rFonts w:eastAsiaTheme="minorEastAsia"/>
                <w:noProof/>
              </w:rPr>
              <w:tab/>
            </w:r>
            <w:r w:rsidRPr="00716300">
              <w:rPr>
                <w:rStyle w:val="Hyperlink"/>
                <w:noProof/>
              </w:rPr>
              <w:t>Graduated Approach to the Nodal Timeline</w:t>
            </w:r>
            <w:r>
              <w:rPr>
                <w:noProof/>
                <w:webHidden/>
              </w:rPr>
              <w:tab/>
            </w:r>
            <w:r>
              <w:rPr>
                <w:noProof/>
                <w:webHidden/>
              </w:rPr>
              <w:fldChar w:fldCharType="begin"/>
            </w:r>
            <w:r>
              <w:rPr>
                <w:noProof/>
                <w:webHidden/>
              </w:rPr>
              <w:instrText xml:space="preserve"> PAGEREF _Toc262741616 \h </w:instrText>
            </w:r>
            <w:r>
              <w:rPr>
                <w:noProof/>
                <w:webHidden/>
              </w:rPr>
            </w:r>
            <w:r>
              <w:rPr>
                <w:noProof/>
                <w:webHidden/>
              </w:rPr>
              <w:fldChar w:fldCharType="separate"/>
            </w:r>
            <w:r>
              <w:rPr>
                <w:noProof/>
                <w:webHidden/>
              </w:rPr>
              <w:t>8</w:t>
            </w:r>
            <w:r>
              <w:rPr>
                <w:noProof/>
                <w:webHidden/>
              </w:rPr>
              <w:fldChar w:fldCharType="end"/>
            </w:r>
          </w:hyperlink>
        </w:p>
        <w:p w:rsidR="00126EEC" w:rsidRDefault="00126EEC">
          <w:pPr>
            <w:pStyle w:val="TOC2"/>
            <w:tabs>
              <w:tab w:val="left" w:pos="660"/>
              <w:tab w:val="right" w:leader="dot" w:pos="9350"/>
            </w:tabs>
            <w:rPr>
              <w:rFonts w:eastAsiaTheme="minorEastAsia"/>
              <w:noProof/>
            </w:rPr>
          </w:pPr>
          <w:hyperlink w:anchor="_Toc262741617" w:history="1">
            <w:r w:rsidRPr="00716300">
              <w:rPr>
                <w:rStyle w:val="Hyperlink"/>
                <w:rFonts w:ascii="Calibri" w:hAnsi="Calibri"/>
                <w:noProof/>
              </w:rPr>
              <w:t>E.</w:t>
            </w:r>
            <w:r>
              <w:rPr>
                <w:rFonts w:eastAsiaTheme="minorEastAsia"/>
                <w:noProof/>
              </w:rPr>
              <w:tab/>
            </w:r>
            <w:r w:rsidRPr="00716300">
              <w:rPr>
                <w:rStyle w:val="Hyperlink"/>
                <w:rFonts w:ascii="Calibri" w:hAnsi="Calibri"/>
                <w:noProof/>
              </w:rPr>
              <w:t>Interim Updates during the Transition</w:t>
            </w:r>
            <w:r>
              <w:rPr>
                <w:noProof/>
                <w:webHidden/>
              </w:rPr>
              <w:tab/>
            </w:r>
            <w:r>
              <w:rPr>
                <w:noProof/>
                <w:webHidden/>
              </w:rPr>
              <w:fldChar w:fldCharType="begin"/>
            </w:r>
            <w:r>
              <w:rPr>
                <w:noProof/>
                <w:webHidden/>
              </w:rPr>
              <w:instrText xml:space="preserve"> PAGEREF _Toc262741617 \h </w:instrText>
            </w:r>
            <w:r>
              <w:rPr>
                <w:noProof/>
                <w:webHidden/>
              </w:rPr>
            </w:r>
            <w:r>
              <w:rPr>
                <w:noProof/>
                <w:webHidden/>
              </w:rPr>
              <w:fldChar w:fldCharType="separate"/>
            </w:r>
            <w:r>
              <w:rPr>
                <w:noProof/>
                <w:webHidden/>
              </w:rPr>
              <w:t>9</w:t>
            </w:r>
            <w:r>
              <w:rPr>
                <w:noProof/>
                <w:webHidden/>
              </w:rPr>
              <w:fldChar w:fldCharType="end"/>
            </w:r>
          </w:hyperlink>
        </w:p>
        <w:p w:rsidR="00126EEC" w:rsidRDefault="00126EEC">
          <w:pPr>
            <w:pStyle w:val="TOC1"/>
            <w:tabs>
              <w:tab w:val="left" w:pos="440"/>
              <w:tab w:val="right" w:leader="dot" w:pos="9350"/>
            </w:tabs>
            <w:rPr>
              <w:rFonts w:eastAsiaTheme="minorEastAsia"/>
              <w:noProof/>
            </w:rPr>
          </w:pPr>
          <w:hyperlink w:anchor="_Toc262741618" w:history="1">
            <w:r w:rsidRPr="00716300">
              <w:rPr>
                <w:rStyle w:val="Hyperlink"/>
                <w:rFonts w:ascii="Calibri" w:hAnsi="Calibri"/>
                <w:noProof/>
              </w:rPr>
              <w:t>V.</w:t>
            </w:r>
            <w:r>
              <w:rPr>
                <w:rFonts w:eastAsiaTheme="minorEastAsia"/>
                <w:noProof/>
              </w:rPr>
              <w:tab/>
            </w:r>
            <w:r w:rsidRPr="00716300">
              <w:rPr>
                <w:rStyle w:val="Hyperlink"/>
                <w:noProof/>
              </w:rPr>
              <w:t>Appendix A</w:t>
            </w:r>
            <w:r>
              <w:rPr>
                <w:noProof/>
                <w:webHidden/>
              </w:rPr>
              <w:tab/>
            </w:r>
            <w:r>
              <w:rPr>
                <w:noProof/>
                <w:webHidden/>
              </w:rPr>
              <w:fldChar w:fldCharType="begin"/>
            </w:r>
            <w:r>
              <w:rPr>
                <w:noProof/>
                <w:webHidden/>
              </w:rPr>
              <w:instrText xml:space="preserve"> PAGEREF _Toc262741618 \h </w:instrText>
            </w:r>
            <w:r>
              <w:rPr>
                <w:noProof/>
                <w:webHidden/>
              </w:rPr>
            </w:r>
            <w:r>
              <w:rPr>
                <w:noProof/>
                <w:webHidden/>
              </w:rPr>
              <w:fldChar w:fldCharType="separate"/>
            </w:r>
            <w:r>
              <w:rPr>
                <w:noProof/>
                <w:webHidden/>
              </w:rPr>
              <w:t>10</w:t>
            </w:r>
            <w:r>
              <w:rPr>
                <w:noProof/>
                <w:webHidden/>
              </w:rPr>
              <w:fldChar w:fldCharType="end"/>
            </w:r>
          </w:hyperlink>
        </w:p>
        <w:p w:rsidR="00126EEC" w:rsidRDefault="00126EEC">
          <w:pPr>
            <w:pStyle w:val="TOC1"/>
            <w:tabs>
              <w:tab w:val="left" w:pos="660"/>
              <w:tab w:val="right" w:leader="dot" w:pos="9350"/>
            </w:tabs>
            <w:rPr>
              <w:rFonts w:eastAsiaTheme="minorEastAsia"/>
              <w:noProof/>
            </w:rPr>
          </w:pPr>
          <w:hyperlink w:anchor="_Toc262741619" w:history="1">
            <w:r w:rsidRPr="00716300">
              <w:rPr>
                <w:rStyle w:val="Hyperlink"/>
                <w:rFonts w:ascii="Calibri" w:hAnsi="Calibri"/>
                <w:noProof/>
              </w:rPr>
              <w:t>VI.</w:t>
            </w:r>
            <w:r>
              <w:rPr>
                <w:rStyle w:val="Hyperlink"/>
                <w:rFonts w:ascii="Calibri" w:hAnsi="Calibri"/>
                <w:noProof/>
              </w:rPr>
              <w:t xml:space="preserve">    </w:t>
            </w:r>
            <w:r w:rsidRPr="00716300">
              <w:rPr>
                <w:rStyle w:val="Hyperlink"/>
                <w:noProof/>
              </w:rPr>
              <w:t>Appendix B</w:t>
            </w:r>
            <w:r>
              <w:rPr>
                <w:noProof/>
                <w:webHidden/>
              </w:rPr>
              <w:tab/>
            </w:r>
            <w:r>
              <w:rPr>
                <w:noProof/>
                <w:webHidden/>
              </w:rPr>
              <w:fldChar w:fldCharType="begin"/>
            </w:r>
            <w:r>
              <w:rPr>
                <w:noProof/>
                <w:webHidden/>
              </w:rPr>
              <w:instrText xml:space="preserve"> PAGEREF _Toc262741619 \h </w:instrText>
            </w:r>
            <w:r>
              <w:rPr>
                <w:noProof/>
                <w:webHidden/>
              </w:rPr>
            </w:r>
            <w:r>
              <w:rPr>
                <w:noProof/>
                <w:webHidden/>
              </w:rPr>
              <w:fldChar w:fldCharType="separate"/>
            </w:r>
            <w:r>
              <w:rPr>
                <w:noProof/>
                <w:webHidden/>
              </w:rPr>
              <w:t>11</w:t>
            </w:r>
            <w:r>
              <w:rPr>
                <w:noProof/>
                <w:webHidden/>
              </w:rPr>
              <w:fldChar w:fldCharType="end"/>
            </w:r>
          </w:hyperlink>
        </w:p>
        <w:p w:rsidR="00960E3A" w:rsidRDefault="00631E83">
          <w:pPr>
            <w:sectPr w:rsidR="00960E3A" w:rsidSect="0024055A">
              <w:footerReference w:type="default" r:id="rId12"/>
              <w:pgSz w:w="12240" w:h="15840"/>
              <w:pgMar w:top="1440" w:right="1440" w:bottom="1440" w:left="1440" w:header="720" w:footer="720" w:gutter="0"/>
              <w:cols w:space="720"/>
              <w:docGrid w:linePitch="360"/>
            </w:sectPr>
          </w:pPr>
          <w:r>
            <w:fldChar w:fldCharType="end"/>
          </w:r>
        </w:p>
      </w:sdtContent>
    </w:sdt>
    <w:p w:rsidR="002A3B66" w:rsidRDefault="002A3B66" w:rsidP="00AC5FDC">
      <w:pPr>
        <w:pStyle w:val="Heading1"/>
        <w:jc w:val="both"/>
        <w:rPr>
          <w:rFonts w:asciiTheme="minorHAnsi" w:hAnsiTheme="minorHAnsi"/>
          <w:color w:val="auto"/>
        </w:rPr>
      </w:pPr>
      <w:bookmarkStart w:id="0" w:name="_Toc262215985"/>
      <w:bookmarkStart w:id="1" w:name="_Toc262216232"/>
      <w:bookmarkStart w:id="2" w:name="_Toc262741609"/>
      <w:bookmarkEnd w:id="0"/>
      <w:bookmarkEnd w:id="1"/>
      <w:r>
        <w:rPr>
          <w:rFonts w:asciiTheme="minorHAnsi" w:hAnsiTheme="minorHAnsi"/>
          <w:color w:val="auto"/>
        </w:rPr>
        <w:lastRenderedPageBreak/>
        <w:t>Overview</w:t>
      </w:r>
      <w:bookmarkEnd w:id="2"/>
    </w:p>
    <w:p w:rsidR="008E32D3" w:rsidRDefault="008E32D3" w:rsidP="00AC5FDC">
      <w:pPr>
        <w:jc w:val="both"/>
      </w:pPr>
      <w:r>
        <w:t>The purpose of this document is to define the</w:t>
      </w:r>
      <w:r w:rsidR="00AC5FDC">
        <w:t xml:space="preserve"> </w:t>
      </w:r>
      <w:r>
        <w:t>activities and timeline for transitioning from the Zonal to Nodal Network Model update process.</w:t>
      </w:r>
    </w:p>
    <w:p w:rsidR="002A3B66" w:rsidRDefault="00587258" w:rsidP="00AC5FDC">
      <w:pPr>
        <w:pStyle w:val="Heading1"/>
        <w:jc w:val="both"/>
        <w:rPr>
          <w:rFonts w:asciiTheme="minorHAnsi" w:hAnsiTheme="minorHAnsi"/>
          <w:color w:val="auto"/>
        </w:rPr>
      </w:pPr>
      <w:bookmarkStart w:id="3" w:name="_Toc262215987"/>
      <w:bookmarkStart w:id="4" w:name="_Toc262216234"/>
      <w:bookmarkStart w:id="5" w:name="_Toc262741610"/>
      <w:bookmarkEnd w:id="3"/>
      <w:bookmarkEnd w:id="4"/>
      <w:r>
        <w:rPr>
          <w:rFonts w:asciiTheme="minorHAnsi" w:hAnsiTheme="minorHAnsi"/>
          <w:color w:val="auto"/>
        </w:rPr>
        <w:t>Zonal Timeline for Data Submission</w:t>
      </w:r>
      <w:bookmarkEnd w:id="5"/>
    </w:p>
    <w:p w:rsidR="00587258" w:rsidRDefault="00587258" w:rsidP="00AC5FDC">
      <w:pPr>
        <w:jc w:val="both"/>
      </w:pPr>
      <w:r>
        <w:t>Zonal Protocols require modeling information be submitted to ERCOT with at least 30 days notice before new equipment is energized or placed into service.</w:t>
      </w:r>
      <w:r>
        <w:rPr>
          <w:rStyle w:val="FootnoteReference"/>
        </w:rPr>
        <w:footnoteReference w:id="1"/>
      </w:r>
      <w:r>
        <w:t xml:space="preserve">   </w:t>
      </w:r>
      <w:r w:rsidR="002720F6">
        <w:t>Network Model Changes for existing data in the</w:t>
      </w:r>
      <w:r>
        <w:t xml:space="preserve"> Network Model were allowed according to the time table found on the ERCOT website “Operational System Change Schedule”.</w:t>
      </w:r>
      <w:r w:rsidR="002720F6">
        <w:t xml:space="preserve">  In general, changes for existing data had three </w:t>
      </w:r>
      <w:r w:rsidR="008E32D3">
        <w:t>cut-off dates</w:t>
      </w:r>
      <w:r w:rsidR="002720F6">
        <w:t xml:space="preserve"> characterized by the type of data being changed.</w:t>
      </w:r>
    </w:p>
    <w:p w:rsidR="002720F6" w:rsidRPr="00126EEC" w:rsidRDefault="002720F6" w:rsidP="00126EEC">
      <w:pPr>
        <w:pStyle w:val="ListParagraph"/>
        <w:numPr>
          <w:ilvl w:val="0"/>
          <w:numId w:val="17"/>
        </w:numPr>
        <w:shd w:val="clear" w:color="auto" w:fill="FCFBF5"/>
        <w:spacing w:after="100" w:afterAutospacing="1" w:line="240" w:lineRule="auto"/>
        <w:jc w:val="both"/>
        <w:rPr>
          <w:rFonts w:eastAsia="Times New Roman" w:cs="Times New Roman"/>
          <w:color w:val="000000"/>
        </w:rPr>
      </w:pPr>
      <w:r w:rsidRPr="00126EEC">
        <w:rPr>
          <w:rFonts w:eastAsia="Times New Roman" w:cs="Times New Roman"/>
          <w:b/>
          <w:bCs/>
          <w:color w:val="000000"/>
        </w:rPr>
        <w:t xml:space="preserve">Generation Cut-Off:  </w:t>
      </w:r>
      <w:r w:rsidRPr="00126EEC">
        <w:rPr>
          <w:rFonts w:eastAsia="Times New Roman" w:cs="Times New Roman"/>
          <w:color w:val="000000"/>
        </w:rPr>
        <w:t xml:space="preserve">This date is the cut-off for Resource Entities (RE) to have resource registration changes of existing resources for network topology in to </w:t>
      </w:r>
      <w:r w:rsidR="00126EEC">
        <w:rPr>
          <w:rFonts w:eastAsia="Times New Roman" w:cs="Times New Roman"/>
          <w:color w:val="000000"/>
        </w:rPr>
        <w:t>in</w:t>
      </w:r>
      <w:r w:rsidRPr="00126EEC">
        <w:rPr>
          <w:rFonts w:eastAsia="Times New Roman" w:cs="Times New Roman"/>
          <w:color w:val="000000"/>
        </w:rPr>
        <w:t>sure successful incorporation into the associated EMS database load date.  The Generation Cut-Off date below does not apply for new generation.  </w:t>
      </w:r>
    </w:p>
    <w:p w:rsidR="002720F6" w:rsidRPr="002720F6" w:rsidRDefault="002720F6" w:rsidP="00126EEC">
      <w:pPr>
        <w:pStyle w:val="ListParagraph"/>
        <w:numPr>
          <w:ilvl w:val="0"/>
          <w:numId w:val="17"/>
        </w:numPr>
        <w:shd w:val="clear" w:color="auto" w:fill="FCFBF5"/>
        <w:spacing w:after="100" w:afterAutospacing="1" w:line="240" w:lineRule="auto"/>
        <w:jc w:val="both"/>
        <w:rPr>
          <w:rFonts w:eastAsia="Times New Roman" w:cs="Times New Roman"/>
          <w:color w:val="000000"/>
        </w:rPr>
      </w:pPr>
      <w:r w:rsidRPr="002720F6">
        <w:rPr>
          <w:rFonts w:eastAsia="Times New Roman" w:cs="Times New Roman"/>
          <w:b/>
          <w:bCs/>
          <w:color w:val="000000"/>
        </w:rPr>
        <w:t xml:space="preserve"> Transmission Cut-Off:  </w:t>
      </w:r>
      <w:r w:rsidRPr="002720F6">
        <w:rPr>
          <w:rFonts w:eastAsia="Times New Roman" w:cs="Times New Roman"/>
          <w:color w:val="000000"/>
        </w:rPr>
        <w:t>This date is the ideal date for TSPs to have transmission network topology changes in by to assure successful incorporation into the associated EMS database load date.  </w:t>
      </w:r>
    </w:p>
    <w:p w:rsidR="002720F6" w:rsidRDefault="002720F6" w:rsidP="00126EEC">
      <w:pPr>
        <w:pStyle w:val="ListParagraph"/>
        <w:numPr>
          <w:ilvl w:val="0"/>
          <w:numId w:val="17"/>
        </w:numPr>
        <w:shd w:val="clear" w:color="auto" w:fill="FCFBF5"/>
        <w:spacing w:after="100" w:afterAutospacing="1" w:line="240" w:lineRule="auto"/>
        <w:jc w:val="both"/>
        <w:rPr>
          <w:rFonts w:eastAsia="Times New Roman" w:cs="Times New Roman"/>
          <w:color w:val="000000"/>
        </w:rPr>
      </w:pPr>
      <w:r w:rsidRPr="002720F6">
        <w:rPr>
          <w:rFonts w:eastAsia="Times New Roman" w:cs="Times New Roman"/>
          <w:b/>
          <w:bCs/>
          <w:color w:val="000000"/>
        </w:rPr>
        <w:t xml:space="preserve">Telemetry Points Cut-Off:  </w:t>
      </w:r>
      <w:r w:rsidRPr="002720F6">
        <w:rPr>
          <w:rFonts w:eastAsia="Times New Roman" w:cs="Times New Roman"/>
          <w:color w:val="000000"/>
        </w:rPr>
        <w:t>ERCOT request that all telemetry point changes be submitted for both resources and transmission elements by this cut-off date in order to assure changes are incorporated in the associated EMS database load date.</w:t>
      </w:r>
    </w:p>
    <w:p w:rsidR="002720F6" w:rsidRDefault="002720F6" w:rsidP="00AC5FDC">
      <w:pPr>
        <w:shd w:val="clear" w:color="auto" w:fill="FCFBF5"/>
        <w:spacing w:after="100" w:afterAutospacing="1" w:line="240" w:lineRule="auto"/>
        <w:jc w:val="both"/>
        <w:rPr>
          <w:rFonts w:eastAsia="Times New Roman" w:cs="Times New Roman"/>
          <w:color w:val="000000"/>
        </w:rPr>
      </w:pPr>
      <w:r>
        <w:rPr>
          <w:rFonts w:eastAsia="Times New Roman" w:cs="Times New Roman"/>
          <w:color w:val="000000"/>
        </w:rPr>
        <w:t xml:space="preserve">These cut-offs are </w:t>
      </w:r>
      <w:r w:rsidR="006B7690">
        <w:rPr>
          <w:rFonts w:eastAsia="Times New Roman" w:cs="Times New Roman"/>
          <w:color w:val="000000"/>
        </w:rPr>
        <w:t>t</w:t>
      </w:r>
      <w:r w:rsidR="00C055CB">
        <w:rPr>
          <w:rFonts w:eastAsia="Times New Roman" w:cs="Times New Roman"/>
          <w:color w:val="000000"/>
        </w:rPr>
        <w:t>ypically follow</w:t>
      </w:r>
      <w:r w:rsidR="00681EE5">
        <w:rPr>
          <w:rFonts w:eastAsia="Times New Roman" w:cs="Times New Roman"/>
          <w:color w:val="000000"/>
        </w:rPr>
        <w:t xml:space="preserve"> the guidelines below</w:t>
      </w:r>
      <w:r>
        <w:rPr>
          <w:rFonts w:eastAsia="Times New Roman" w:cs="Times New Roman"/>
          <w:color w:val="000000"/>
        </w:rPr>
        <w:t>:</w:t>
      </w:r>
    </w:p>
    <w:p w:rsidR="002720F6" w:rsidRDefault="002720F6" w:rsidP="00AC5FDC">
      <w:pPr>
        <w:pStyle w:val="ListParagraph"/>
        <w:numPr>
          <w:ilvl w:val="0"/>
          <w:numId w:val="18"/>
        </w:numPr>
        <w:shd w:val="clear" w:color="auto" w:fill="FCFBF5"/>
        <w:spacing w:after="100" w:afterAutospacing="1" w:line="240" w:lineRule="auto"/>
        <w:jc w:val="both"/>
        <w:rPr>
          <w:rFonts w:eastAsia="Times New Roman" w:cs="Times New Roman"/>
          <w:color w:val="000000"/>
        </w:rPr>
      </w:pPr>
      <w:r w:rsidRPr="002720F6">
        <w:rPr>
          <w:rFonts w:eastAsia="Times New Roman" w:cs="Times New Roman"/>
          <w:b/>
          <w:color w:val="000000"/>
        </w:rPr>
        <w:t>Generation Cut-Off</w:t>
      </w:r>
      <w:r w:rsidR="00681EE5">
        <w:rPr>
          <w:rFonts w:eastAsia="Times New Roman" w:cs="Times New Roman"/>
          <w:b/>
          <w:color w:val="000000"/>
        </w:rPr>
        <w:t xml:space="preserve"> Date</w:t>
      </w:r>
      <w:r>
        <w:rPr>
          <w:rFonts w:eastAsia="Times New Roman" w:cs="Times New Roman"/>
          <w:color w:val="000000"/>
        </w:rPr>
        <w:t xml:space="preserve">:  </w:t>
      </w:r>
      <w:r w:rsidR="002A46EC">
        <w:rPr>
          <w:rFonts w:eastAsia="Times New Roman" w:cs="Times New Roman"/>
          <w:color w:val="000000"/>
        </w:rPr>
        <w:t>~</w:t>
      </w:r>
      <w:r>
        <w:rPr>
          <w:rFonts w:eastAsia="Times New Roman" w:cs="Times New Roman"/>
          <w:color w:val="000000"/>
        </w:rPr>
        <w:t xml:space="preserve">21 days before the scheduled </w:t>
      </w:r>
      <w:r w:rsidR="002A46EC">
        <w:rPr>
          <w:rFonts w:eastAsia="Times New Roman" w:cs="Times New Roman"/>
          <w:color w:val="000000"/>
        </w:rPr>
        <w:t>Zonal</w:t>
      </w:r>
      <w:r w:rsidR="00681EE5">
        <w:rPr>
          <w:rFonts w:eastAsia="Times New Roman" w:cs="Times New Roman"/>
          <w:color w:val="000000"/>
        </w:rPr>
        <w:t xml:space="preserve"> </w:t>
      </w:r>
      <w:r>
        <w:rPr>
          <w:rFonts w:eastAsia="Times New Roman" w:cs="Times New Roman"/>
          <w:color w:val="000000"/>
        </w:rPr>
        <w:t>database load</w:t>
      </w:r>
    </w:p>
    <w:p w:rsidR="002720F6" w:rsidRDefault="002720F6" w:rsidP="00AC5FDC">
      <w:pPr>
        <w:pStyle w:val="ListParagraph"/>
        <w:numPr>
          <w:ilvl w:val="0"/>
          <w:numId w:val="18"/>
        </w:numPr>
        <w:shd w:val="clear" w:color="auto" w:fill="FCFBF5"/>
        <w:spacing w:after="100" w:afterAutospacing="1" w:line="240" w:lineRule="auto"/>
        <w:jc w:val="both"/>
        <w:rPr>
          <w:rFonts w:eastAsia="Times New Roman" w:cs="Times New Roman"/>
          <w:color w:val="000000"/>
        </w:rPr>
      </w:pPr>
      <w:r w:rsidRPr="002720F6">
        <w:rPr>
          <w:rFonts w:eastAsia="Times New Roman" w:cs="Times New Roman"/>
          <w:b/>
          <w:color w:val="000000"/>
        </w:rPr>
        <w:t>Transmission Cut-Off</w:t>
      </w:r>
      <w:r w:rsidR="00681EE5">
        <w:rPr>
          <w:rFonts w:eastAsia="Times New Roman" w:cs="Times New Roman"/>
          <w:b/>
          <w:color w:val="000000"/>
        </w:rPr>
        <w:t xml:space="preserve"> Date</w:t>
      </w:r>
      <w:r>
        <w:rPr>
          <w:rFonts w:eastAsia="Times New Roman" w:cs="Times New Roman"/>
          <w:color w:val="000000"/>
        </w:rPr>
        <w:t xml:space="preserve">:  </w:t>
      </w:r>
      <w:r w:rsidR="002A46EC">
        <w:rPr>
          <w:rFonts w:eastAsia="Times New Roman" w:cs="Times New Roman"/>
          <w:color w:val="000000"/>
        </w:rPr>
        <w:t>~</w:t>
      </w:r>
      <w:r>
        <w:rPr>
          <w:rFonts w:eastAsia="Times New Roman" w:cs="Times New Roman"/>
          <w:color w:val="000000"/>
        </w:rPr>
        <w:t xml:space="preserve">14 days before the scheduled </w:t>
      </w:r>
      <w:r w:rsidR="006B7690">
        <w:rPr>
          <w:rFonts w:eastAsia="Times New Roman" w:cs="Times New Roman"/>
          <w:color w:val="000000"/>
        </w:rPr>
        <w:t>Zonal database</w:t>
      </w:r>
      <w:r>
        <w:rPr>
          <w:rFonts w:eastAsia="Times New Roman" w:cs="Times New Roman"/>
          <w:color w:val="000000"/>
        </w:rPr>
        <w:t xml:space="preserve"> load</w:t>
      </w:r>
    </w:p>
    <w:p w:rsidR="002720F6" w:rsidRDefault="002720F6" w:rsidP="00AC5FDC">
      <w:pPr>
        <w:pStyle w:val="ListParagraph"/>
        <w:numPr>
          <w:ilvl w:val="0"/>
          <w:numId w:val="18"/>
        </w:numPr>
        <w:shd w:val="clear" w:color="auto" w:fill="FCFBF5"/>
        <w:spacing w:after="100" w:afterAutospacing="1" w:line="240" w:lineRule="auto"/>
        <w:jc w:val="both"/>
        <w:rPr>
          <w:rFonts w:eastAsia="Times New Roman" w:cs="Times New Roman"/>
          <w:color w:val="000000"/>
        </w:rPr>
      </w:pPr>
      <w:r w:rsidRPr="002720F6">
        <w:rPr>
          <w:rFonts w:eastAsia="Times New Roman" w:cs="Times New Roman"/>
          <w:b/>
          <w:color w:val="000000"/>
        </w:rPr>
        <w:t>Telemetry Cut-Off</w:t>
      </w:r>
      <w:r w:rsidR="00681EE5">
        <w:rPr>
          <w:rFonts w:eastAsia="Times New Roman" w:cs="Times New Roman"/>
          <w:b/>
          <w:color w:val="000000"/>
        </w:rPr>
        <w:t xml:space="preserve"> Date</w:t>
      </w:r>
      <w:r>
        <w:rPr>
          <w:rFonts w:eastAsia="Times New Roman" w:cs="Times New Roman"/>
          <w:color w:val="000000"/>
        </w:rPr>
        <w:t xml:space="preserve">: </w:t>
      </w:r>
      <w:r w:rsidR="002A46EC">
        <w:rPr>
          <w:rFonts w:eastAsia="Times New Roman" w:cs="Times New Roman"/>
          <w:color w:val="000000"/>
        </w:rPr>
        <w:t>~</w:t>
      </w:r>
      <w:r>
        <w:rPr>
          <w:rFonts w:eastAsia="Times New Roman" w:cs="Times New Roman"/>
          <w:color w:val="000000"/>
        </w:rPr>
        <w:t xml:space="preserve">3 days before the scheduled </w:t>
      </w:r>
      <w:r w:rsidR="006B7690">
        <w:rPr>
          <w:rFonts w:eastAsia="Times New Roman" w:cs="Times New Roman"/>
          <w:color w:val="000000"/>
        </w:rPr>
        <w:t>Zonal</w:t>
      </w:r>
      <w:r w:rsidR="00681EE5">
        <w:rPr>
          <w:rFonts w:eastAsia="Times New Roman" w:cs="Times New Roman"/>
          <w:color w:val="000000"/>
        </w:rPr>
        <w:t xml:space="preserve"> </w:t>
      </w:r>
      <w:r>
        <w:rPr>
          <w:rFonts w:eastAsia="Times New Roman" w:cs="Times New Roman"/>
          <w:color w:val="000000"/>
        </w:rPr>
        <w:t>database load</w:t>
      </w:r>
    </w:p>
    <w:p w:rsidR="00C055CB" w:rsidRDefault="002720F6" w:rsidP="00AC5FDC">
      <w:pPr>
        <w:shd w:val="clear" w:color="auto" w:fill="FCFBF5"/>
        <w:spacing w:after="100" w:afterAutospacing="1" w:line="240" w:lineRule="auto"/>
        <w:jc w:val="both"/>
        <w:rPr>
          <w:rFonts w:eastAsia="Times New Roman" w:cs="Times New Roman"/>
          <w:color w:val="000000"/>
        </w:rPr>
      </w:pPr>
      <w:r>
        <w:rPr>
          <w:rFonts w:eastAsia="Times New Roman" w:cs="Times New Roman"/>
          <w:color w:val="000000"/>
        </w:rPr>
        <w:t>Since 2008, ERCOT Zonal database loads have occurred on a bi-monthly basis (once every two weeks).</w:t>
      </w:r>
      <w:r w:rsidR="005C58BD">
        <w:rPr>
          <w:rFonts w:eastAsia="Times New Roman" w:cs="Times New Roman"/>
          <w:color w:val="000000"/>
        </w:rPr>
        <w:t xml:space="preserve">  </w:t>
      </w:r>
    </w:p>
    <w:p w:rsidR="00C055CB" w:rsidRDefault="009A4BA2" w:rsidP="00AC5FDC">
      <w:pPr>
        <w:shd w:val="clear" w:color="auto" w:fill="FCFBF5"/>
        <w:spacing w:after="100" w:afterAutospacing="1" w:line="240" w:lineRule="auto"/>
        <w:jc w:val="both"/>
        <w:rPr>
          <w:rFonts w:eastAsia="Times New Roman" w:cs="Times New Roman"/>
          <w:color w:val="000000"/>
        </w:rPr>
      </w:pPr>
      <w:r>
        <w:rPr>
          <w:rFonts w:eastAsia="Times New Roman" w:cs="Times New Roman"/>
          <w:color w:val="000000"/>
        </w:rPr>
        <w:t>The current schedule for Zonal database loads can be found</w:t>
      </w:r>
      <w:r w:rsidR="00C055CB">
        <w:rPr>
          <w:rFonts w:eastAsia="Times New Roman" w:cs="Times New Roman"/>
          <w:color w:val="000000"/>
        </w:rPr>
        <w:t xml:space="preserve"> at:</w:t>
      </w:r>
    </w:p>
    <w:p w:rsidR="005C58BD" w:rsidRDefault="00631E83" w:rsidP="00AC5FDC">
      <w:pPr>
        <w:shd w:val="clear" w:color="auto" w:fill="FCFBF5"/>
        <w:spacing w:after="100" w:afterAutospacing="1" w:line="240" w:lineRule="auto"/>
        <w:jc w:val="both"/>
        <w:rPr>
          <w:rFonts w:eastAsia="Times New Roman" w:cs="Times New Roman"/>
          <w:color w:val="000000"/>
        </w:rPr>
      </w:pPr>
      <w:hyperlink r:id="rId13" w:history="1">
        <w:r w:rsidR="00C055CB" w:rsidRPr="00FE2ABD">
          <w:rPr>
            <w:rStyle w:val="Hyperlink"/>
            <w:rFonts w:eastAsia="Times New Roman" w:cs="Times New Roman"/>
          </w:rPr>
          <w:t>h</w:t>
        </w:r>
        <w:r w:rsidR="00C055CB" w:rsidRPr="00FE2ABD">
          <w:rPr>
            <w:rStyle w:val="Hyperlink"/>
          </w:rPr>
          <w:t>ttp://www.ercot.com/gridinfo/transmission/opsys-change-schedule</w:t>
        </w:r>
      </w:hyperlink>
    </w:p>
    <w:p w:rsidR="005C58BD" w:rsidRDefault="002720F6" w:rsidP="00AC5FDC">
      <w:pPr>
        <w:pStyle w:val="Heading1"/>
        <w:jc w:val="both"/>
        <w:rPr>
          <w:rFonts w:asciiTheme="minorHAnsi" w:hAnsiTheme="minorHAnsi"/>
          <w:color w:val="auto"/>
        </w:rPr>
      </w:pPr>
      <w:bookmarkStart w:id="6" w:name="_Toc262741611"/>
      <w:r>
        <w:rPr>
          <w:rFonts w:asciiTheme="minorHAnsi" w:hAnsiTheme="minorHAnsi"/>
          <w:color w:val="auto"/>
        </w:rPr>
        <w:t>Nodal Timeline for Data Submission</w:t>
      </w:r>
      <w:bookmarkEnd w:id="6"/>
    </w:p>
    <w:p w:rsidR="005C58BD" w:rsidRDefault="005C58BD" w:rsidP="00AC5FDC">
      <w:pPr>
        <w:jc w:val="both"/>
      </w:pPr>
      <w:r>
        <w:t>Nodal Protocols require more advance notice be given by Market Participants when changes to the Network Model are required.  These new requirements are detailed in Section 3 of the Nodal Protocols and summarized in the following table found in Section 3.10.1</w:t>
      </w:r>
      <w:r w:rsidR="00616DA5">
        <w:t>.</w:t>
      </w:r>
    </w:p>
    <w:tbl>
      <w:tblPr>
        <w:tblW w:w="4658" w:type="pct"/>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tblPr>
      <w:tblGrid>
        <w:gridCol w:w="1623"/>
        <w:gridCol w:w="1889"/>
        <w:gridCol w:w="1799"/>
        <w:gridCol w:w="1890"/>
        <w:gridCol w:w="1733"/>
      </w:tblGrid>
      <w:tr w:rsidR="00616DA5" w:rsidRPr="00616DA5" w:rsidTr="00616DA5">
        <w:trPr>
          <w:tblHeader/>
        </w:trPr>
        <w:tc>
          <w:tcPr>
            <w:tcW w:w="908" w:type="pct"/>
          </w:tcPr>
          <w:p w:rsidR="00616DA5" w:rsidRPr="00616DA5" w:rsidRDefault="00616DA5" w:rsidP="00AC5FDC">
            <w:pPr>
              <w:pStyle w:val="TableHead"/>
              <w:jc w:val="both"/>
              <w:rPr>
                <w:rFonts w:ascii="Calibri" w:hAnsi="Calibri"/>
              </w:rPr>
            </w:pPr>
            <w:r w:rsidRPr="00616DA5">
              <w:rPr>
                <w:rFonts w:ascii="Calibri" w:hAnsi="Calibri"/>
              </w:rPr>
              <w:lastRenderedPageBreak/>
              <w:t xml:space="preserve">Deadline to Submit Information to ERCOT </w:t>
            </w:r>
          </w:p>
          <w:p w:rsidR="00616DA5" w:rsidRPr="00616DA5" w:rsidRDefault="00616DA5" w:rsidP="00AC5FDC">
            <w:pPr>
              <w:pStyle w:val="TableHead"/>
              <w:jc w:val="both"/>
              <w:rPr>
                <w:rFonts w:ascii="Calibri" w:hAnsi="Calibri"/>
              </w:rPr>
            </w:pPr>
            <w:r w:rsidRPr="00616DA5">
              <w:rPr>
                <w:rFonts w:ascii="Calibri" w:hAnsi="Calibri"/>
              </w:rPr>
              <w:t>Note 1</w:t>
            </w:r>
          </w:p>
        </w:tc>
        <w:tc>
          <w:tcPr>
            <w:tcW w:w="1057" w:type="pct"/>
          </w:tcPr>
          <w:p w:rsidR="00616DA5" w:rsidRPr="00616DA5" w:rsidRDefault="00616DA5" w:rsidP="00AC5FDC">
            <w:pPr>
              <w:pStyle w:val="TableHead"/>
              <w:jc w:val="both"/>
              <w:rPr>
                <w:rFonts w:ascii="Calibri" w:hAnsi="Calibri"/>
              </w:rPr>
            </w:pPr>
            <w:r w:rsidRPr="00616DA5">
              <w:rPr>
                <w:rFonts w:ascii="Calibri" w:hAnsi="Calibri"/>
              </w:rPr>
              <w:t xml:space="preserve">Model Complete and Available for Test </w:t>
            </w:r>
          </w:p>
          <w:p w:rsidR="00616DA5" w:rsidRPr="00616DA5" w:rsidRDefault="00616DA5" w:rsidP="00AC5FDC">
            <w:pPr>
              <w:pStyle w:val="TableHead"/>
              <w:jc w:val="both"/>
              <w:rPr>
                <w:rFonts w:ascii="Calibri" w:hAnsi="Calibri"/>
              </w:rPr>
            </w:pPr>
            <w:r w:rsidRPr="00616DA5">
              <w:rPr>
                <w:rFonts w:ascii="Calibri" w:hAnsi="Calibri"/>
              </w:rPr>
              <w:t>Note 2</w:t>
            </w:r>
          </w:p>
        </w:tc>
        <w:tc>
          <w:tcPr>
            <w:tcW w:w="1007" w:type="pct"/>
          </w:tcPr>
          <w:p w:rsidR="00616DA5" w:rsidRPr="00616DA5" w:rsidRDefault="00616DA5" w:rsidP="00AC5FDC">
            <w:pPr>
              <w:pStyle w:val="TableHead"/>
              <w:jc w:val="both"/>
              <w:rPr>
                <w:rFonts w:ascii="Calibri" w:hAnsi="Calibri"/>
              </w:rPr>
            </w:pPr>
            <w:r w:rsidRPr="00616DA5">
              <w:rPr>
                <w:rFonts w:ascii="Calibri" w:hAnsi="Calibri"/>
              </w:rPr>
              <w:t>Updated Network Operations Model Testing Complete</w:t>
            </w:r>
          </w:p>
          <w:p w:rsidR="00616DA5" w:rsidRPr="00616DA5" w:rsidRDefault="00616DA5" w:rsidP="00AC5FDC">
            <w:pPr>
              <w:pStyle w:val="TableHead"/>
              <w:jc w:val="both"/>
              <w:rPr>
                <w:rFonts w:ascii="Calibri" w:hAnsi="Calibri"/>
              </w:rPr>
            </w:pPr>
            <w:r w:rsidRPr="00616DA5">
              <w:rPr>
                <w:rFonts w:ascii="Calibri" w:hAnsi="Calibri"/>
              </w:rPr>
              <w:t>Note 3</w:t>
            </w:r>
          </w:p>
        </w:tc>
        <w:tc>
          <w:tcPr>
            <w:tcW w:w="1058" w:type="pct"/>
          </w:tcPr>
          <w:p w:rsidR="00616DA5" w:rsidRPr="00616DA5" w:rsidRDefault="00616DA5" w:rsidP="00AC5FDC">
            <w:pPr>
              <w:pStyle w:val="TableHead"/>
              <w:jc w:val="both"/>
              <w:rPr>
                <w:rFonts w:ascii="Calibri" w:hAnsi="Calibri"/>
              </w:rPr>
            </w:pPr>
            <w:r w:rsidRPr="00616DA5">
              <w:rPr>
                <w:rFonts w:ascii="Calibri" w:hAnsi="Calibri"/>
              </w:rPr>
              <w:t>Update Network Operations Model Production Environment</w:t>
            </w:r>
          </w:p>
        </w:tc>
        <w:tc>
          <w:tcPr>
            <w:tcW w:w="970" w:type="pct"/>
          </w:tcPr>
          <w:p w:rsidR="00616DA5" w:rsidRPr="00616DA5" w:rsidRDefault="00616DA5" w:rsidP="00AC5FDC">
            <w:pPr>
              <w:pStyle w:val="TableHead"/>
              <w:jc w:val="both"/>
              <w:rPr>
                <w:rFonts w:ascii="Calibri" w:hAnsi="Calibri"/>
              </w:rPr>
            </w:pPr>
            <w:r w:rsidRPr="00616DA5">
              <w:rPr>
                <w:rFonts w:ascii="Calibri" w:hAnsi="Calibri"/>
              </w:rPr>
              <w:t xml:space="preserve">Target Physical Equipment In-Service Date </w:t>
            </w:r>
          </w:p>
          <w:p w:rsidR="00616DA5" w:rsidRPr="00616DA5" w:rsidRDefault="00616DA5" w:rsidP="00AC5FDC">
            <w:pPr>
              <w:pStyle w:val="TableHead"/>
              <w:jc w:val="both"/>
              <w:rPr>
                <w:rFonts w:ascii="Calibri" w:hAnsi="Calibri"/>
              </w:rPr>
            </w:pPr>
            <w:r w:rsidRPr="00616DA5">
              <w:rPr>
                <w:rFonts w:ascii="Calibri" w:hAnsi="Calibri"/>
              </w:rPr>
              <w:t>Note 4</w:t>
            </w:r>
          </w:p>
        </w:tc>
      </w:tr>
      <w:tr w:rsidR="00616DA5" w:rsidRPr="00616DA5" w:rsidTr="00616DA5">
        <w:tc>
          <w:tcPr>
            <w:tcW w:w="908" w:type="pct"/>
          </w:tcPr>
          <w:p w:rsidR="00616DA5" w:rsidRPr="00616DA5" w:rsidRDefault="00616DA5" w:rsidP="00AC5FDC">
            <w:pPr>
              <w:pStyle w:val="TableBody"/>
              <w:jc w:val="both"/>
              <w:rPr>
                <w:rFonts w:ascii="Calibri" w:hAnsi="Calibri"/>
              </w:rPr>
            </w:pPr>
            <w:r w:rsidRPr="00616DA5">
              <w:rPr>
                <w:rFonts w:ascii="Calibri" w:hAnsi="Calibri"/>
              </w:rPr>
              <w:t>Jan 1</w:t>
            </w:r>
          </w:p>
        </w:tc>
        <w:tc>
          <w:tcPr>
            <w:tcW w:w="1057" w:type="pct"/>
          </w:tcPr>
          <w:p w:rsidR="00616DA5" w:rsidRPr="00616DA5" w:rsidRDefault="00616DA5" w:rsidP="00AC5FDC">
            <w:pPr>
              <w:pStyle w:val="TableBody"/>
              <w:jc w:val="both"/>
              <w:rPr>
                <w:rFonts w:ascii="Calibri" w:hAnsi="Calibri"/>
              </w:rPr>
            </w:pPr>
            <w:r w:rsidRPr="00616DA5">
              <w:rPr>
                <w:rFonts w:ascii="Calibri" w:hAnsi="Calibri"/>
              </w:rPr>
              <w:t>Feb 15</w:t>
            </w:r>
          </w:p>
        </w:tc>
        <w:tc>
          <w:tcPr>
            <w:tcW w:w="1007" w:type="pct"/>
          </w:tcPr>
          <w:p w:rsidR="00616DA5" w:rsidRPr="00616DA5" w:rsidRDefault="00616DA5" w:rsidP="00AC5FDC">
            <w:pPr>
              <w:pStyle w:val="TableBody"/>
              <w:jc w:val="both"/>
              <w:rPr>
                <w:rFonts w:ascii="Calibri" w:hAnsi="Calibri"/>
              </w:rPr>
            </w:pPr>
            <w:r w:rsidRPr="00616DA5">
              <w:rPr>
                <w:rFonts w:ascii="Calibri" w:hAnsi="Calibri"/>
              </w:rPr>
              <w:t>March 15</w:t>
            </w:r>
          </w:p>
        </w:tc>
        <w:tc>
          <w:tcPr>
            <w:tcW w:w="1058" w:type="pct"/>
          </w:tcPr>
          <w:p w:rsidR="00616DA5" w:rsidRPr="00616DA5" w:rsidRDefault="00616DA5" w:rsidP="00AC5FDC">
            <w:pPr>
              <w:pStyle w:val="TableBody"/>
              <w:jc w:val="both"/>
              <w:rPr>
                <w:rFonts w:ascii="Calibri" w:hAnsi="Calibri"/>
              </w:rPr>
            </w:pPr>
            <w:r w:rsidRPr="00616DA5">
              <w:rPr>
                <w:rFonts w:ascii="Calibri" w:hAnsi="Calibri"/>
              </w:rPr>
              <w:t>April 1</w:t>
            </w:r>
          </w:p>
        </w:tc>
        <w:tc>
          <w:tcPr>
            <w:tcW w:w="970" w:type="pct"/>
          </w:tcPr>
          <w:p w:rsidR="00616DA5" w:rsidRPr="00616DA5" w:rsidRDefault="00616DA5" w:rsidP="00126EEC">
            <w:pPr>
              <w:pStyle w:val="TableBody"/>
              <w:jc w:val="center"/>
              <w:rPr>
                <w:rFonts w:ascii="Calibri" w:hAnsi="Calibri"/>
              </w:rPr>
            </w:pPr>
            <w:r w:rsidRPr="00616DA5">
              <w:rPr>
                <w:rFonts w:ascii="Calibri" w:hAnsi="Calibri"/>
              </w:rPr>
              <w:t>Month of April</w:t>
            </w:r>
          </w:p>
        </w:tc>
      </w:tr>
      <w:tr w:rsidR="00616DA5" w:rsidRPr="00616DA5" w:rsidTr="00616DA5">
        <w:tc>
          <w:tcPr>
            <w:tcW w:w="908" w:type="pct"/>
          </w:tcPr>
          <w:p w:rsidR="00616DA5" w:rsidRPr="00616DA5" w:rsidRDefault="00616DA5" w:rsidP="00AC5FDC">
            <w:pPr>
              <w:pStyle w:val="TableBody"/>
              <w:jc w:val="both"/>
              <w:rPr>
                <w:rFonts w:ascii="Calibri" w:hAnsi="Calibri"/>
              </w:rPr>
            </w:pPr>
            <w:r w:rsidRPr="00616DA5">
              <w:rPr>
                <w:rFonts w:ascii="Calibri" w:hAnsi="Calibri"/>
              </w:rPr>
              <w:t>Feb 1</w:t>
            </w:r>
          </w:p>
        </w:tc>
        <w:tc>
          <w:tcPr>
            <w:tcW w:w="1057" w:type="pct"/>
          </w:tcPr>
          <w:p w:rsidR="00616DA5" w:rsidRPr="00616DA5" w:rsidRDefault="00616DA5" w:rsidP="00AC5FDC">
            <w:pPr>
              <w:pStyle w:val="TableBody"/>
              <w:jc w:val="both"/>
              <w:rPr>
                <w:rFonts w:ascii="Calibri" w:hAnsi="Calibri"/>
              </w:rPr>
            </w:pPr>
            <w:r w:rsidRPr="00616DA5">
              <w:rPr>
                <w:rFonts w:ascii="Calibri" w:hAnsi="Calibri"/>
              </w:rPr>
              <w:t>March 15</w:t>
            </w:r>
          </w:p>
        </w:tc>
        <w:tc>
          <w:tcPr>
            <w:tcW w:w="1007" w:type="pct"/>
          </w:tcPr>
          <w:p w:rsidR="00616DA5" w:rsidRPr="00616DA5" w:rsidRDefault="00616DA5" w:rsidP="00AC5FDC">
            <w:pPr>
              <w:pStyle w:val="TableBody"/>
              <w:jc w:val="both"/>
              <w:rPr>
                <w:rFonts w:ascii="Calibri" w:hAnsi="Calibri"/>
              </w:rPr>
            </w:pPr>
            <w:r w:rsidRPr="00616DA5">
              <w:rPr>
                <w:rFonts w:ascii="Calibri" w:hAnsi="Calibri"/>
              </w:rPr>
              <w:t>April 15</w:t>
            </w:r>
          </w:p>
        </w:tc>
        <w:tc>
          <w:tcPr>
            <w:tcW w:w="1058" w:type="pct"/>
          </w:tcPr>
          <w:p w:rsidR="00616DA5" w:rsidRPr="00616DA5" w:rsidRDefault="00616DA5" w:rsidP="00AC5FDC">
            <w:pPr>
              <w:pStyle w:val="TableBody"/>
              <w:jc w:val="both"/>
              <w:rPr>
                <w:rFonts w:ascii="Calibri" w:hAnsi="Calibri"/>
              </w:rPr>
            </w:pPr>
            <w:r w:rsidRPr="00616DA5">
              <w:rPr>
                <w:rFonts w:ascii="Calibri" w:hAnsi="Calibri"/>
              </w:rPr>
              <w:t>May 1</w:t>
            </w:r>
          </w:p>
        </w:tc>
        <w:tc>
          <w:tcPr>
            <w:tcW w:w="970" w:type="pct"/>
          </w:tcPr>
          <w:p w:rsidR="00616DA5" w:rsidRPr="00616DA5" w:rsidRDefault="00616DA5" w:rsidP="00126EEC">
            <w:pPr>
              <w:pStyle w:val="TableBody"/>
              <w:jc w:val="center"/>
              <w:rPr>
                <w:rFonts w:ascii="Calibri" w:hAnsi="Calibri"/>
              </w:rPr>
            </w:pPr>
            <w:r w:rsidRPr="00616DA5">
              <w:rPr>
                <w:rFonts w:ascii="Calibri" w:hAnsi="Calibri"/>
              </w:rPr>
              <w:t>Month of May</w:t>
            </w:r>
          </w:p>
        </w:tc>
      </w:tr>
      <w:tr w:rsidR="00616DA5" w:rsidRPr="00616DA5" w:rsidTr="00616DA5">
        <w:tc>
          <w:tcPr>
            <w:tcW w:w="908" w:type="pct"/>
          </w:tcPr>
          <w:p w:rsidR="00616DA5" w:rsidRPr="00616DA5" w:rsidRDefault="00616DA5" w:rsidP="00AC5FDC">
            <w:pPr>
              <w:pStyle w:val="TableBody"/>
              <w:jc w:val="both"/>
              <w:rPr>
                <w:rFonts w:ascii="Calibri" w:hAnsi="Calibri"/>
              </w:rPr>
            </w:pPr>
            <w:r w:rsidRPr="00616DA5">
              <w:rPr>
                <w:rFonts w:ascii="Calibri" w:hAnsi="Calibri"/>
              </w:rPr>
              <w:t>March 1</w:t>
            </w:r>
          </w:p>
        </w:tc>
        <w:tc>
          <w:tcPr>
            <w:tcW w:w="1057" w:type="pct"/>
          </w:tcPr>
          <w:p w:rsidR="00616DA5" w:rsidRPr="00616DA5" w:rsidRDefault="00616DA5" w:rsidP="00AC5FDC">
            <w:pPr>
              <w:pStyle w:val="TableBody"/>
              <w:jc w:val="both"/>
              <w:rPr>
                <w:rFonts w:ascii="Calibri" w:hAnsi="Calibri"/>
              </w:rPr>
            </w:pPr>
            <w:r w:rsidRPr="00616DA5">
              <w:rPr>
                <w:rFonts w:ascii="Calibri" w:hAnsi="Calibri"/>
              </w:rPr>
              <w:t>April 15</w:t>
            </w:r>
          </w:p>
        </w:tc>
        <w:tc>
          <w:tcPr>
            <w:tcW w:w="1007" w:type="pct"/>
          </w:tcPr>
          <w:p w:rsidR="00616DA5" w:rsidRPr="00616DA5" w:rsidRDefault="00616DA5" w:rsidP="00AC5FDC">
            <w:pPr>
              <w:pStyle w:val="TableBody"/>
              <w:jc w:val="both"/>
              <w:rPr>
                <w:rFonts w:ascii="Calibri" w:hAnsi="Calibri"/>
              </w:rPr>
            </w:pPr>
            <w:r w:rsidRPr="00616DA5">
              <w:rPr>
                <w:rFonts w:ascii="Calibri" w:hAnsi="Calibri"/>
              </w:rPr>
              <w:t>May 15</w:t>
            </w:r>
          </w:p>
        </w:tc>
        <w:tc>
          <w:tcPr>
            <w:tcW w:w="1058" w:type="pct"/>
          </w:tcPr>
          <w:p w:rsidR="00616DA5" w:rsidRPr="00616DA5" w:rsidRDefault="00616DA5" w:rsidP="00AC5FDC">
            <w:pPr>
              <w:pStyle w:val="TableBody"/>
              <w:jc w:val="both"/>
              <w:rPr>
                <w:rFonts w:ascii="Calibri" w:hAnsi="Calibri"/>
              </w:rPr>
            </w:pPr>
            <w:r w:rsidRPr="00616DA5">
              <w:rPr>
                <w:rFonts w:ascii="Calibri" w:hAnsi="Calibri"/>
              </w:rPr>
              <w:t>June 1</w:t>
            </w:r>
          </w:p>
        </w:tc>
        <w:tc>
          <w:tcPr>
            <w:tcW w:w="970" w:type="pct"/>
          </w:tcPr>
          <w:p w:rsidR="00616DA5" w:rsidRPr="00616DA5" w:rsidRDefault="00616DA5" w:rsidP="00126EEC">
            <w:pPr>
              <w:pStyle w:val="TableBody"/>
              <w:jc w:val="center"/>
              <w:rPr>
                <w:rFonts w:ascii="Calibri" w:hAnsi="Calibri"/>
              </w:rPr>
            </w:pPr>
            <w:r w:rsidRPr="00616DA5">
              <w:rPr>
                <w:rFonts w:ascii="Calibri" w:hAnsi="Calibri"/>
              </w:rPr>
              <w:t>Months of June–August</w:t>
            </w:r>
          </w:p>
          <w:p w:rsidR="00616DA5" w:rsidRPr="00616DA5" w:rsidRDefault="00616DA5" w:rsidP="00126EEC">
            <w:pPr>
              <w:pStyle w:val="TableBody"/>
              <w:jc w:val="center"/>
              <w:rPr>
                <w:rFonts w:ascii="Calibri" w:hAnsi="Calibri"/>
              </w:rPr>
            </w:pPr>
          </w:p>
          <w:p w:rsidR="00616DA5" w:rsidRPr="00616DA5" w:rsidRDefault="00616DA5" w:rsidP="00126EEC">
            <w:pPr>
              <w:pStyle w:val="TableBody"/>
              <w:jc w:val="center"/>
              <w:rPr>
                <w:rFonts w:ascii="Calibri" w:hAnsi="Calibri"/>
              </w:rPr>
            </w:pPr>
            <w:r w:rsidRPr="00616DA5">
              <w:rPr>
                <w:rFonts w:ascii="Calibri" w:hAnsi="Calibri"/>
              </w:rPr>
              <w:t>SUMMER MODEL</w:t>
            </w:r>
          </w:p>
        </w:tc>
      </w:tr>
      <w:tr w:rsidR="00616DA5" w:rsidRPr="00616DA5" w:rsidTr="00616DA5">
        <w:tc>
          <w:tcPr>
            <w:tcW w:w="908" w:type="pct"/>
          </w:tcPr>
          <w:p w:rsidR="00616DA5" w:rsidRPr="00616DA5" w:rsidRDefault="00616DA5" w:rsidP="00AC5FDC">
            <w:pPr>
              <w:pStyle w:val="TableBody"/>
              <w:jc w:val="both"/>
              <w:rPr>
                <w:rFonts w:ascii="Calibri" w:hAnsi="Calibri"/>
              </w:rPr>
            </w:pPr>
            <w:r w:rsidRPr="00616DA5">
              <w:rPr>
                <w:rFonts w:ascii="Calibri" w:hAnsi="Calibri"/>
              </w:rPr>
              <w:t>June 1</w:t>
            </w:r>
          </w:p>
          <w:p w:rsidR="00616DA5" w:rsidRPr="00616DA5" w:rsidRDefault="00616DA5" w:rsidP="00AC5FDC">
            <w:pPr>
              <w:pStyle w:val="TableBody"/>
              <w:jc w:val="both"/>
              <w:rPr>
                <w:rFonts w:ascii="Calibri" w:hAnsi="Calibri"/>
              </w:rPr>
            </w:pPr>
          </w:p>
        </w:tc>
        <w:tc>
          <w:tcPr>
            <w:tcW w:w="1057" w:type="pct"/>
          </w:tcPr>
          <w:p w:rsidR="00616DA5" w:rsidRPr="00616DA5" w:rsidRDefault="00616DA5" w:rsidP="00AC5FDC">
            <w:pPr>
              <w:pStyle w:val="TableBody"/>
              <w:jc w:val="both"/>
              <w:rPr>
                <w:rFonts w:ascii="Calibri" w:hAnsi="Calibri"/>
              </w:rPr>
            </w:pPr>
            <w:r w:rsidRPr="00616DA5">
              <w:rPr>
                <w:rFonts w:ascii="Calibri" w:hAnsi="Calibri"/>
              </w:rPr>
              <w:t>July 15</w:t>
            </w:r>
          </w:p>
        </w:tc>
        <w:tc>
          <w:tcPr>
            <w:tcW w:w="1007" w:type="pct"/>
          </w:tcPr>
          <w:p w:rsidR="00616DA5" w:rsidRPr="00616DA5" w:rsidRDefault="00616DA5" w:rsidP="00AC5FDC">
            <w:pPr>
              <w:pStyle w:val="TableBody"/>
              <w:jc w:val="both"/>
              <w:rPr>
                <w:rFonts w:ascii="Calibri" w:hAnsi="Calibri"/>
              </w:rPr>
            </w:pPr>
            <w:r w:rsidRPr="00616DA5">
              <w:rPr>
                <w:rFonts w:ascii="Calibri" w:hAnsi="Calibri"/>
              </w:rPr>
              <w:t>August 15</w:t>
            </w:r>
          </w:p>
        </w:tc>
        <w:tc>
          <w:tcPr>
            <w:tcW w:w="1058" w:type="pct"/>
          </w:tcPr>
          <w:p w:rsidR="00616DA5" w:rsidRPr="00616DA5" w:rsidRDefault="00616DA5" w:rsidP="00AC5FDC">
            <w:pPr>
              <w:pStyle w:val="TableBody"/>
              <w:jc w:val="both"/>
              <w:rPr>
                <w:rFonts w:ascii="Calibri" w:hAnsi="Calibri"/>
              </w:rPr>
            </w:pPr>
            <w:r w:rsidRPr="00616DA5">
              <w:rPr>
                <w:rFonts w:ascii="Calibri" w:hAnsi="Calibri"/>
              </w:rPr>
              <w:t>September 1</w:t>
            </w:r>
          </w:p>
        </w:tc>
        <w:tc>
          <w:tcPr>
            <w:tcW w:w="970" w:type="pct"/>
          </w:tcPr>
          <w:p w:rsidR="00616DA5" w:rsidRPr="00616DA5" w:rsidRDefault="00616DA5" w:rsidP="00126EEC">
            <w:pPr>
              <w:pStyle w:val="TableBody"/>
              <w:jc w:val="center"/>
              <w:rPr>
                <w:rFonts w:ascii="Calibri" w:hAnsi="Calibri"/>
              </w:rPr>
            </w:pPr>
            <w:r w:rsidRPr="00616DA5">
              <w:rPr>
                <w:rFonts w:ascii="Calibri" w:hAnsi="Calibri"/>
              </w:rPr>
              <w:t>Month of September</w:t>
            </w:r>
          </w:p>
        </w:tc>
      </w:tr>
      <w:tr w:rsidR="00616DA5" w:rsidRPr="00616DA5" w:rsidTr="00616DA5">
        <w:tc>
          <w:tcPr>
            <w:tcW w:w="908" w:type="pct"/>
          </w:tcPr>
          <w:p w:rsidR="00616DA5" w:rsidRPr="00616DA5" w:rsidRDefault="00616DA5" w:rsidP="00AC5FDC">
            <w:pPr>
              <w:pStyle w:val="TableBody"/>
              <w:jc w:val="both"/>
              <w:rPr>
                <w:rFonts w:ascii="Calibri" w:hAnsi="Calibri"/>
              </w:rPr>
            </w:pPr>
            <w:r w:rsidRPr="00616DA5">
              <w:rPr>
                <w:rFonts w:ascii="Calibri" w:hAnsi="Calibri"/>
              </w:rPr>
              <w:t>July 1</w:t>
            </w:r>
          </w:p>
          <w:p w:rsidR="00616DA5" w:rsidRPr="00616DA5" w:rsidRDefault="00616DA5" w:rsidP="00AC5FDC">
            <w:pPr>
              <w:pStyle w:val="TableBody"/>
              <w:jc w:val="both"/>
              <w:rPr>
                <w:rFonts w:ascii="Calibri" w:hAnsi="Calibri"/>
              </w:rPr>
            </w:pPr>
          </w:p>
        </w:tc>
        <w:tc>
          <w:tcPr>
            <w:tcW w:w="1057" w:type="pct"/>
          </w:tcPr>
          <w:p w:rsidR="00616DA5" w:rsidRPr="00616DA5" w:rsidRDefault="00616DA5" w:rsidP="00AC5FDC">
            <w:pPr>
              <w:pStyle w:val="TableBody"/>
              <w:jc w:val="both"/>
              <w:rPr>
                <w:rFonts w:ascii="Calibri" w:hAnsi="Calibri"/>
              </w:rPr>
            </w:pPr>
            <w:r w:rsidRPr="00616DA5">
              <w:rPr>
                <w:rFonts w:ascii="Calibri" w:hAnsi="Calibri"/>
              </w:rPr>
              <w:t>August 15</w:t>
            </w:r>
          </w:p>
        </w:tc>
        <w:tc>
          <w:tcPr>
            <w:tcW w:w="1007" w:type="pct"/>
          </w:tcPr>
          <w:p w:rsidR="00616DA5" w:rsidRPr="00616DA5" w:rsidRDefault="00616DA5" w:rsidP="00AC5FDC">
            <w:pPr>
              <w:pStyle w:val="TableBody"/>
              <w:jc w:val="both"/>
              <w:rPr>
                <w:rFonts w:ascii="Calibri" w:hAnsi="Calibri"/>
              </w:rPr>
            </w:pPr>
            <w:r w:rsidRPr="00616DA5">
              <w:rPr>
                <w:rFonts w:ascii="Calibri" w:hAnsi="Calibri"/>
              </w:rPr>
              <w:t>September 15</w:t>
            </w:r>
          </w:p>
        </w:tc>
        <w:tc>
          <w:tcPr>
            <w:tcW w:w="1058" w:type="pct"/>
          </w:tcPr>
          <w:p w:rsidR="00616DA5" w:rsidRPr="00616DA5" w:rsidRDefault="00616DA5" w:rsidP="00AC5FDC">
            <w:pPr>
              <w:pStyle w:val="TableBody"/>
              <w:jc w:val="both"/>
              <w:rPr>
                <w:rFonts w:ascii="Calibri" w:hAnsi="Calibri"/>
              </w:rPr>
            </w:pPr>
            <w:r w:rsidRPr="00616DA5">
              <w:rPr>
                <w:rFonts w:ascii="Calibri" w:hAnsi="Calibri"/>
              </w:rPr>
              <w:t>October 1</w:t>
            </w:r>
          </w:p>
        </w:tc>
        <w:tc>
          <w:tcPr>
            <w:tcW w:w="970" w:type="pct"/>
          </w:tcPr>
          <w:p w:rsidR="00616DA5" w:rsidRPr="00616DA5" w:rsidRDefault="00616DA5" w:rsidP="00126EEC">
            <w:pPr>
              <w:pStyle w:val="TableBody"/>
              <w:jc w:val="center"/>
              <w:rPr>
                <w:rFonts w:ascii="Calibri" w:hAnsi="Calibri"/>
              </w:rPr>
            </w:pPr>
            <w:r w:rsidRPr="00616DA5">
              <w:rPr>
                <w:rFonts w:ascii="Calibri" w:hAnsi="Calibri"/>
              </w:rPr>
              <w:t>Month of October</w:t>
            </w:r>
          </w:p>
        </w:tc>
      </w:tr>
      <w:tr w:rsidR="00616DA5" w:rsidRPr="00616DA5" w:rsidTr="00616DA5">
        <w:tc>
          <w:tcPr>
            <w:tcW w:w="908" w:type="pct"/>
          </w:tcPr>
          <w:p w:rsidR="00616DA5" w:rsidRPr="00616DA5" w:rsidRDefault="00616DA5" w:rsidP="00AC5FDC">
            <w:pPr>
              <w:pStyle w:val="TableBody"/>
              <w:jc w:val="both"/>
              <w:rPr>
                <w:rFonts w:ascii="Calibri" w:hAnsi="Calibri"/>
              </w:rPr>
            </w:pPr>
            <w:r w:rsidRPr="00616DA5">
              <w:rPr>
                <w:rFonts w:ascii="Calibri" w:hAnsi="Calibri"/>
              </w:rPr>
              <w:t>August 1</w:t>
            </w:r>
          </w:p>
          <w:p w:rsidR="00616DA5" w:rsidRPr="00616DA5" w:rsidRDefault="00616DA5" w:rsidP="00AC5FDC">
            <w:pPr>
              <w:pStyle w:val="TableBody"/>
              <w:jc w:val="both"/>
              <w:rPr>
                <w:rFonts w:ascii="Calibri" w:hAnsi="Calibri"/>
              </w:rPr>
            </w:pPr>
          </w:p>
        </w:tc>
        <w:tc>
          <w:tcPr>
            <w:tcW w:w="1057" w:type="pct"/>
          </w:tcPr>
          <w:p w:rsidR="00616DA5" w:rsidRPr="00616DA5" w:rsidRDefault="00616DA5" w:rsidP="00AC5FDC">
            <w:pPr>
              <w:pStyle w:val="TableBody"/>
              <w:jc w:val="both"/>
              <w:rPr>
                <w:rFonts w:ascii="Calibri" w:hAnsi="Calibri"/>
              </w:rPr>
            </w:pPr>
            <w:r w:rsidRPr="00616DA5">
              <w:rPr>
                <w:rFonts w:ascii="Calibri" w:hAnsi="Calibri"/>
              </w:rPr>
              <w:t>September 15</w:t>
            </w:r>
          </w:p>
        </w:tc>
        <w:tc>
          <w:tcPr>
            <w:tcW w:w="1007" w:type="pct"/>
          </w:tcPr>
          <w:p w:rsidR="00616DA5" w:rsidRPr="00616DA5" w:rsidRDefault="00616DA5" w:rsidP="00AC5FDC">
            <w:pPr>
              <w:pStyle w:val="TableBody"/>
              <w:jc w:val="both"/>
              <w:rPr>
                <w:rFonts w:ascii="Calibri" w:hAnsi="Calibri"/>
              </w:rPr>
            </w:pPr>
            <w:r w:rsidRPr="00616DA5">
              <w:rPr>
                <w:rFonts w:ascii="Calibri" w:hAnsi="Calibri"/>
              </w:rPr>
              <w:t>October 15</w:t>
            </w:r>
          </w:p>
        </w:tc>
        <w:tc>
          <w:tcPr>
            <w:tcW w:w="1058" w:type="pct"/>
          </w:tcPr>
          <w:p w:rsidR="00616DA5" w:rsidRPr="00616DA5" w:rsidRDefault="00616DA5" w:rsidP="00AC5FDC">
            <w:pPr>
              <w:pStyle w:val="TableBody"/>
              <w:jc w:val="both"/>
              <w:rPr>
                <w:rFonts w:ascii="Calibri" w:hAnsi="Calibri"/>
              </w:rPr>
            </w:pPr>
            <w:r w:rsidRPr="00616DA5">
              <w:rPr>
                <w:rFonts w:ascii="Calibri" w:hAnsi="Calibri"/>
              </w:rPr>
              <w:t>November 1</w:t>
            </w:r>
          </w:p>
        </w:tc>
        <w:tc>
          <w:tcPr>
            <w:tcW w:w="970" w:type="pct"/>
          </w:tcPr>
          <w:p w:rsidR="00616DA5" w:rsidRPr="00616DA5" w:rsidRDefault="00616DA5" w:rsidP="00126EEC">
            <w:pPr>
              <w:pStyle w:val="TableBody"/>
              <w:jc w:val="center"/>
              <w:rPr>
                <w:rFonts w:ascii="Calibri" w:hAnsi="Calibri"/>
              </w:rPr>
            </w:pPr>
            <w:r w:rsidRPr="00616DA5">
              <w:rPr>
                <w:rFonts w:ascii="Calibri" w:hAnsi="Calibri"/>
              </w:rPr>
              <w:t>Month of November</w:t>
            </w:r>
          </w:p>
        </w:tc>
      </w:tr>
      <w:tr w:rsidR="00616DA5" w:rsidRPr="00616DA5" w:rsidTr="00616DA5">
        <w:tc>
          <w:tcPr>
            <w:tcW w:w="908" w:type="pct"/>
          </w:tcPr>
          <w:p w:rsidR="00616DA5" w:rsidRPr="00616DA5" w:rsidRDefault="00616DA5" w:rsidP="00AC5FDC">
            <w:pPr>
              <w:pStyle w:val="TableBody"/>
              <w:jc w:val="both"/>
              <w:rPr>
                <w:rFonts w:ascii="Calibri" w:hAnsi="Calibri"/>
              </w:rPr>
            </w:pPr>
            <w:r w:rsidRPr="00616DA5">
              <w:rPr>
                <w:rFonts w:ascii="Calibri" w:hAnsi="Calibri"/>
              </w:rPr>
              <w:t>September 1</w:t>
            </w:r>
          </w:p>
        </w:tc>
        <w:tc>
          <w:tcPr>
            <w:tcW w:w="1057" w:type="pct"/>
          </w:tcPr>
          <w:p w:rsidR="00616DA5" w:rsidRPr="00616DA5" w:rsidRDefault="00616DA5" w:rsidP="00AC5FDC">
            <w:pPr>
              <w:pStyle w:val="TableBody"/>
              <w:jc w:val="both"/>
              <w:rPr>
                <w:rFonts w:ascii="Calibri" w:hAnsi="Calibri"/>
              </w:rPr>
            </w:pPr>
            <w:r w:rsidRPr="00616DA5">
              <w:rPr>
                <w:rFonts w:ascii="Calibri" w:hAnsi="Calibri"/>
              </w:rPr>
              <w:t>October 15</w:t>
            </w:r>
          </w:p>
        </w:tc>
        <w:tc>
          <w:tcPr>
            <w:tcW w:w="1007" w:type="pct"/>
          </w:tcPr>
          <w:p w:rsidR="00616DA5" w:rsidRPr="00616DA5" w:rsidRDefault="00616DA5" w:rsidP="00AC5FDC">
            <w:pPr>
              <w:pStyle w:val="TableBody"/>
              <w:jc w:val="both"/>
              <w:rPr>
                <w:rFonts w:ascii="Calibri" w:hAnsi="Calibri"/>
              </w:rPr>
            </w:pPr>
            <w:r w:rsidRPr="00616DA5">
              <w:rPr>
                <w:rFonts w:ascii="Calibri" w:hAnsi="Calibri"/>
              </w:rPr>
              <w:t>November 15</w:t>
            </w:r>
          </w:p>
        </w:tc>
        <w:tc>
          <w:tcPr>
            <w:tcW w:w="1058" w:type="pct"/>
          </w:tcPr>
          <w:p w:rsidR="00616DA5" w:rsidRPr="00616DA5" w:rsidRDefault="00616DA5" w:rsidP="00AC5FDC">
            <w:pPr>
              <w:pStyle w:val="TableBody"/>
              <w:jc w:val="both"/>
              <w:rPr>
                <w:rFonts w:ascii="Calibri" w:hAnsi="Calibri"/>
              </w:rPr>
            </w:pPr>
            <w:r w:rsidRPr="00616DA5">
              <w:rPr>
                <w:rFonts w:ascii="Calibri" w:hAnsi="Calibri"/>
              </w:rPr>
              <w:t>December 1</w:t>
            </w:r>
          </w:p>
        </w:tc>
        <w:tc>
          <w:tcPr>
            <w:tcW w:w="970" w:type="pct"/>
          </w:tcPr>
          <w:p w:rsidR="00616DA5" w:rsidRPr="00616DA5" w:rsidRDefault="00616DA5" w:rsidP="00126EEC">
            <w:pPr>
              <w:pStyle w:val="TableBody"/>
              <w:jc w:val="center"/>
              <w:rPr>
                <w:rFonts w:ascii="Calibri" w:hAnsi="Calibri"/>
              </w:rPr>
            </w:pPr>
            <w:r w:rsidRPr="00616DA5">
              <w:rPr>
                <w:rFonts w:ascii="Calibri" w:hAnsi="Calibri"/>
              </w:rPr>
              <w:t>Month of December</w:t>
            </w:r>
          </w:p>
        </w:tc>
      </w:tr>
      <w:tr w:rsidR="00616DA5" w:rsidRPr="00616DA5" w:rsidTr="00616DA5">
        <w:tc>
          <w:tcPr>
            <w:tcW w:w="908" w:type="pct"/>
          </w:tcPr>
          <w:p w:rsidR="00616DA5" w:rsidRPr="00616DA5" w:rsidRDefault="00616DA5" w:rsidP="00AC5FDC">
            <w:pPr>
              <w:pStyle w:val="TableBody"/>
              <w:jc w:val="both"/>
              <w:rPr>
                <w:rFonts w:ascii="Calibri" w:hAnsi="Calibri"/>
              </w:rPr>
            </w:pPr>
            <w:r w:rsidRPr="00616DA5">
              <w:rPr>
                <w:rFonts w:ascii="Calibri" w:hAnsi="Calibri"/>
              </w:rPr>
              <w:t>October 1</w:t>
            </w:r>
          </w:p>
          <w:p w:rsidR="00616DA5" w:rsidRPr="00616DA5" w:rsidRDefault="00616DA5" w:rsidP="00AC5FDC">
            <w:pPr>
              <w:pStyle w:val="TableBody"/>
              <w:jc w:val="both"/>
              <w:rPr>
                <w:rFonts w:ascii="Calibri" w:hAnsi="Calibri"/>
              </w:rPr>
            </w:pPr>
          </w:p>
        </w:tc>
        <w:tc>
          <w:tcPr>
            <w:tcW w:w="1057" w:type="pct"/>
          </w:tcPr>
          <w:p w:rsidR="00616DA5" w:rsidRPr="00616DA5" w:rsidRDefault="00616DA5" w:rsidP="00AC5FDC">
            <w:pPr>
              <w:pStyle w:val="TableBody"/>
              <w:jc w:val="both"/>
              <w:rPr>
                <w:rFonts w:ascii="Calibri" w:hAnsi="Calibri"/>
              </w:rPr>
            </w:pPr>
            <w:r w:rsidRPr="00616DA5">
              <w:rPr>
                <w:rFonts w:ascii="Calibri" w:hAnsi="Calibri"/>
              </w:rPr>
              <w:t>November 15</w:t>
            </w:r>
          </w:p>
        </w:tc>
        <w:tc>
          <w:tcPr>
            <w:tcW w:w="1007" w:type="pct"/>
          </w:tcPr>
          <w:p w:rsidR="00616DA5" w:rsidRPr="00616DA5" w:rsidRDefault="00616DA5" w:rsidP="00AC5FDC">
            <w:pPr>
              <w:pStyle w:val="TableBody"/>
              <w:jc w:val="both"/>
              <w:rPr>
                <w:rFonts w:ascii="Calibri" w:hAnsi="Calibri"/>
              </w:rPr>
            </w:pPr>
            <w:r w:rsidRPr="00616DA5">
              <w:rPr>
                <w:rFonts w:ascii="Calibri" w:hAnsi="Calibri"/>
              </w:rPr>
              <w:t>December 15</w:t>
            </w:r>
          </w:p>
        </w:tc>
        <w:tc>
          <w:tcPr>
            <w:tcW w:w="1058" w:type="pct"/>
          </w:tcPr>
          <w:p w:rsidR="00616DA5" w:rsidRPr="00616DA5" w:rsidRDefault="00616DA5" w:rsidP="00AC5FDC">
            <w:pPr>
              <w:pStyle w:val="TableBody"/>
              <w:jc w:val="both"/>
              <w:rPr>
                <w:rFonts w:ascii="Calibri" w:hAnsi="Calibri"/>
              </w:rPr>
            </w:pPr>
            <w:r w:rsidRPr="00616DA5">
              <w:rPr>
                <w:rFonts w:ascii="Calibri" w:hAnsi="Calibri"/>
              </w:rPr>
              <w:t>January 1</w:t>
            </w:r>
          </w:p>
        </w:tc>
        <w:tc>
          <w:tcPr>
            <w:tcW w:w="970" w:type="pct"/>
          </w:tcPr>
          <w:p w:rsidR="00616DA5" w:rsidRPr="00616DA5" w:rsidRDefault="00616DA5" w:rsidP="00126EEC">
            <w:pPr>
              <w:pStyle w:val="TableBody"/>
              <w:jc w:val="center"/>
              <w:rPr>
                <w:rFonts w:ascii="Calibri" w:hAnsi="Calibri"/>
              </w:rPr>
            </w:pPr>
            <w:r w:rsidRPr="00616DA5">
              <w:rPr>
                <w:rFonts w:ascii="Calibri" w:hAnsi="Calibri"/>
              </w:rPr>
              <w:t>Month of January (the next year)</w:t>
            </w:r>
          </w:p>
        </w:tc>
      </w:tr>
      <w:tr w:rsidR="00616DA5" w:rsidRPr="00616DA5" w:rsidTr="00616DA5">
        <w:tc>
          <w:tcPr>
            <w:tcW w:w="908" w:type="pct"/>
          </w:tcPr>
          <w:p w:rsidR="00616DA5" w:rsidRPr="00616DA5" w:rsidRDefault="00616DA5" w:rsidP="00AC5FDC">
            <w:pPr>
              <w:pStyle w:val="TableBody"/>
              <w:jc w:val="both"/>
              <w:rPr>
                <w:rFonts w:ascii="Calibri" w:hAnsi="Calibri"/>
              </w:rPr>
            </w:pPr>
            <w:r w:rsidRPr="00616DA5">
              <w:rPr>
                <w:rFonts w:ascii="Calibri" w:hAnsi="Calibri"/>
              </w:rPr>
              <w:t>November 1</w:t>
            </w:r>
          </w:p>
          <w:p w:rsidR="00616DA5" w:rsidRPr="00616DA5" w:rsidRDefault="00616DA5" w:rsidP="00AC5FDC">
            <w:pPr>
              <w:pStyle w:val="TableBody"/>
              <w:jc w:val="both"/>
              <w:rPr>
                <w:rFonts w:ascii="Calibri" w:hAnsi="Calibri"/>
              </w:rPr>
            </w:pPr>
          </w:p>
        </w:tc>
        <w:tc>
          <w:tcPr>
            <w:tcW w:w="1057" w:type="pct"/>
          </w:tcPr>
          <w:p w:rsidR="00616DA5" w:rsidRPr="00616DA5" w:rsidRDefault="00616DA5" w:rsidP="00AC5FDC">
            <w:pPr>
              <w:pStyle w:val="TableBody"/>
              <w:jc w:val="both"/>
              <w:rPr>
                <w:rFonts w:ascii="Calibri" w:hAnsi="Calibri"/>
              </w:rPr>
            </w:pPr>
            <w:r w:rsidRPr="00616DA5">
              <w:rPr>
                <w:rFonts w:ascii="Calibri" w:hAnsi="Calibri"/>
              </w:rPr>
              <w:t>December 15</w:t>
            </w:r>
          </w:p>
        </w:tc>
        <w:tc>
          <w:tcPr>
            <w:tcW w:w="1007" w:type="pct"/>
          </w:tcPr>
          <w:p w:rsidR="00616DA5" w:rsidRPr="00616DA5" w:rsidRDefault="00616DA5" w:rsidP="00AC5FDC">
            <w:pPr>
              <w:pStyle w:val="TableBody"/>
              <w:jc w:val="both"/>
              <w:rPr>
                <w:rFonts w:ascii="Calibri" w:hAnsi="Calibri"/>
              </w:rPr>
            </w:pPr>
            <w:r w:rsidRPr="00616DA5">
              <w:rPr>
                <w:rFonts w:ascii="Calibri" w:hAnsi="Calibri"/>
              </w:rPr>
              <w:t>January 15</w:t>
            </w:r>
          </w:p>
        </w:tc>
        <w:tc>
          <w:tcPr>
            <w:tcW w:w="1058" w:type="pct"/>
          </w:tcPr>
          <w:p w:rsidR="00616DA5" w:rsidRPr="00616DA5" w:rsidRDefault="00616DA5" w:rsidP="00AC5FDC">
            <w:pPr>
              <w:pStyle w:val="TableBody"/>
              <w:jc w:val="both"/>
              <w:rPr>
                <w:rFonts w:ascii="Calibri" w:hAnsi="Calibri"/>
              </w:rPr>
            </w:pPr>
            <w:r w:rsidRPr="00616DA5">
              <w:rPr>
                <w:rFonts w:ascii="Calibri" w:hAnsi="Calibri"/>
              </w:rPr>
              <w:t>February 1</w:t>
            </w:r>
          </w:p>
        </w:tc>
        <w:tc>
          <w:tcPr>
            <w:tcW w:w="970" w:type="pct"/>
          </w:tcPr>
          <w:p w:rsidR="00616DA5" w:rsidRPr="00616DA5" w:rsidRDefault="00616DA5" w:rsidP="00126EEC">
            <w:pPr>
              <w:pStyle w:val="TableBody"/>
              <w:jc w:val="center"/>
              <w:rPr>
                <w:rFonts w:ascii="Calibri" w:hAnsi="Calibri"/>
              </w:rPr>
            </w:pPr>
            <w:r w:rsidRPr="00616DA5">
              <w:rPr>
                <w:rFonts w:ascii="Calibri" w:hAnsi="Calibri"/>
              </w:rPr>
              <w:t>Month of February (the next year)</w:t>
            </w:r>
          </w:p>
        </w:tc>
      </w:tr>
      <w:tr w:rsidR="00616DA5" w:rsidRPr="00616DA5" w:rsidTr="00616DA5">
        <w:tc>
          <w:tcPr>
            <w:tcW w:w="908" w:type="pct"/>
          </w:tcPr>
          <w:p w:rsidR="00616DA5" w:rsidRPr="00616DA5" w:rsidRDefault="00616DA5" w:rsidP="00AC5FDC">
            <w:pPr>
              <w:pStyle w:val="TableBody"/>
              <w:jc w:val="both"/>
              <w:rPr>
                <w:rFonts w:ascii="Calibri" w:hAnsi="Calibri"/>
              </w:rPr>
            </w:pPr>
            <w:r w:rsidRPr="00616DA5">
              <w:rPr>
                <w:rFonts w:ascii="Calibri" w:hAnsi="Calibri"/>
              </w:rPr>
              <w:t>December 1</w:t>
            </w:r>
          </w:p>
          <w:p w:rsidR="00616DA5" w:rsidRPr="00616DA5" w:rsidRDefault="00616DA5" w:rsidP="00AC5FDC">
            <w:pPr>
              <w:pStyle w:val="TableBody"/>
              <w:jc w:val="both"/>
              <w:rPr>
                <w:rFonts w:ascii="Calibri" w:hAnsi="Calibri"/>
              </w:rPr>
            </w:pPr>
          </w:p>
        </w:tc>
        <w:tc>
          <w:tcPr>
            <w:tcW w:w="1057" w:type="pct"/>
          </w:tcPr>
          <w:p w:rsidR="00616DA5" w:rsidRPr="00616DA5" w:rsidRDefault="00616DA5" w:rsidP="00AC5FDC">
            <w:pPr>
              <w:pStyle w:val="TableBody"/>
              <w:jc w:val="both"/>
              <w:rPr>
                <w:rFonts w:ascii="Calibri" w:hAnsi="Calibri"/>
              </w:rPr>
            </w:pPr>
            <w:r w:rsidRPr="00616DA5">
              <w:rPr>
                <w:rFonts w:ascii="Calibri" w:hAnsi="Calibri"/>
              </w:rPr>
              <w:t>January 15</w:t>
            </w:r>
          </w:p>
        </w:tc>
        <w:tc>
          <w:tcPr>
            <w:tcW w:w="1007" w:type="pct"/>
          </w:tcPr>
          <w:p w:rsidR="00616DA5" w:rsidRPr="00616DA5" w:rsidRDefault="00616DA5" w:rsidP="00AC5FDC">
            <w:pPr>
              <w:pStyle w:val="TableBody"/>
              <w:jc w:val="both"/>
              <w:rPr>
                <w:rFonts w:ascii="Calibri" w:hAnsi="Calibri"/>
              </w:rPr>
            </w:pPr>
            <w:r w:rsidRPr="00616DA5">
              <w:rPr>
                <w:rFonts w:ascii="Calibri" w:hAnsi="Calibri"/>
              </w:rPr>
              <w:t>February 15</w:t>
            </w:r>
          </w:p>
        </w:tc>
        <w:tc>
          <w:tcPr>
            <w:tcW w:w="1058" w:type="pct"/>
          </w:tcPr>
          <w:p w:rsidR="00616DA5" w:rsidRPr="00616DA5" w:rsidRDefault="00616DA5" w:rsidP="00AC5FDC">
            <w:pPr>
              <w:pStyle w:val="TableBody"/>
              <w:jc w:val="both"/>
              <w:rPr>
                <w:rFonts w:ascii="Calibri" w:hAnsi="Calibri"/>
              </w:rPr>
            </w:pPr>
            <w:r w:rsidRPr="00616DA5">
              <w:rPr>
                <w:rFonts w:ascii="Calibri" w:hAnsi="Calibri"/>
              </w:rPr>
              <w:t>March 1</w:t>
            </w:r>
          </w:p>
        </w:tc>
        <w:tc>
          <w:tcPr>
            <w:tcW w:w="970" w:type="pct"/>
          </w:tcPr>
          <w:p w:rsidR="00616DA5" w:rsidRPr="00616DA5" w:rsidRDefault="00616DA5" w:rsidP="00126EEC">
            <w:pPr>
              <w:pStyle w:val="TableBody"/>
              <w:jc w:val="center"/>
              <w:rPr>
                <w:rFonts w:ascii="Calibri" w:hAnsi="Calibri"/>
              </w:rPr>
            </w:pPr>
            <w:r w:rsidRPr="00616DA5">
              <w:rPr>
                <w:rFonts w:ascii="Calibri" w:hAnsi="Calibri"/>
              </w:rPr>
              <w:t>Month of March  (the next year)</w:t>
            </w:r>
          </w:p>
        </w:tc>
      </w:tr>
    </w:tbl>
    <w:p w:rsidR="00616DA5" w:rsidRPr="00616DA5" w:rsidRDefault="00616DA5" w:rsidP="00AC5FDC">
      <w:pPr>
        <w:pStyle w:val="BodyText"/>
        <w:jc w:val="both"/>
        <w:rPr>
          <w:rFonts w:ascii="Calibri" w:eastAsia="Calibri" w:hAnsi="Calibri" w:cs="Times New Roman"/>
        </w:rPr>
      </w:pPr>
    </w:p>
    <w:p w:rsidR="00616DA5" w:rsidRPr="00616DA5" w:rsidRDefault="00616DA5" w:rsidP="00AC5FDC">
      <w:pPr>
        <w:pStyle w:val="note"/>
        <w:jc w:val="both"/>
        <w:rPr>
          <w:rFonts w:ascii="Calibri" w:hAnsi="Calibri"/>
          <w:sz w:val="18"/>
          <w:szCs w:val="18"/>
        </w:rPr>
      </w:pPr>
      <w:r w:rsidRPr="00616DA5">
        <w:rPr>
          <w:rFonts w:ascii="Calibri" w:hAnsi="Calibri"/>
          <w:sz w:val="18"/>
          <w:szCs w:val="18"/>
        </w:rPr>
        <w:t xml:space="preserve">Notes: </w:t>
      </w:r>
    </w:p>
    <w:p w:rsidR="00616DA5" w:rsidRPr="00616DA5" w:rsidRDefault="00616DA5" w:rsidP="00AC5FDC">
      <w:pPr>
        <w:pStyle w:val="note"/>
        <w:ind w:left="1440" w:hanging="720"/>
        <w:jc w:val="both"/>
        <w:rPr>
          <w:rFonts w:ascii="Calibri" w:hAnsi="Calibri"/>
          <w:sz w:val="18"/>
          <w:szCs w:val="18"/>
        </w:rPr>
      </w:pPr>
      <w:r w:rsidRPr="00616DA5">
        <w:rPr>
          <w:rFonts w:ascii="Calibri" w:hAnsi="Calibri"/>
          <w:sz w:val="18"/>
          <w:szCs w:val="18"/>
        </w:rPr>
        <w:t>1.</w:t>
      </w:r>
      <w:r w:rsidRPr="00616DA5">
        <w:rPr>
          <w:rFonts w:ascii="Calibri" w:hAnsi="Calibri"/>
          <w:sz w:val="18"/>
          <w:szCs w:val="18"/>
        </w:rPr>
        <w:tab/>
        <w:t>Transmission and Resource data submissions complete per NOMCR process for inclusion in next update period.</w:t>
      </w:r>
    </w:p>
    <w:p w:rsidR="00616DA5" w:rsidRPr="00616DA5" w:rsidRDefault="00616DA5" w:rsidP="00AC5FDC">
      <w:pPr>
        <w:pStyle w:val="note"/>
        <w:ind w:left="1440" w:hanging="720"/>
        <w:jc w:val="both"/>
        <w:rPr>
          <w:rFonts w:ascii="Calibri" w:hAnsi="Calibri"/>
          <w:sz w:val="18"/>
          <w:szCs w:val="18"/>
        </w:rPr>
      </w:pPr>
      <w:r w:rsidRPr="00616DA5">
        <w:rPr>
          <w:rFonts w:ascii="Calibri" w:hAnsi="Calibri"/>
          <w:sz w:val="18"/>
          <w:szCs w:val="18"/>
        </w:rPr>
        <w:t>2.</w:t>
      </w:r>
      <w:r w:rsidRPr="00616DA5">
        <w:rPr>
          <w:rFonts w:ascii="Calibri" w:hAnsi="Calibri"/>
          <w:sz w:val="18"/>
          <w:szCs w:val="18"/>
        </w:rPr>
        <w:tab/>
        <w:t>Network Operations Model data changes and preliminary fidelity test complete by using the Network Operations Model test facility described in paragraph (3) of Section 3.10.4, ERCOT Responsibilities.  A test version of the Redacted Network Operations Model will be posted to the MIS Secure Area for Market Participants and Network Operations Model to the MIS Certified Area for TSPs as described in paragraph (8) of Section 3.10.4, for market review and further testing by Market Participants.</w:t>
      </w:r>
    </w:p>
    <w:p w:rsidR="00616DA5" w:rsidRPr="00616DA5" w:rsidRDefault="00616DA5" w:rsidP="00AC5FDC">
      <w:pPr>
        <w:pStyle w:val="note"/>
        <w:ind w:left="1440" w:hanging="720"/>
        <w:jc w:val="both"/>
        <w:rPr>
          <w:rFonts w:ascii="Calibri" w:hAnsi="Calibri"/>
          <w:sz w:val="18"/>
          <w:szCs w:val="18"/>
        </w:rPr>
      </w:pPr>
      <w:r w:rsidRPr="00616DA5">
        <w:rPr>
          <w:rFonts w:ascii="Calibri" w:hAnsi="Calibri"/>
          <w:sz w:val="18"/>
          <w:szCs w:val="18"/>
        </w:rPr>
        <w:t>3.</w:t>
      </w:r>
      <w:r w:rsidRPr="00616DA5">
        <w:rPr>
          <w:rFonts w:ascii="Calibri" w:hAnsi="Calibri"/>
          <w:sz w:val="18"/>
          <w:szCs w:val="18"/>
        </w:rPr>
        <w:tab/>
        <w:t>Testing of the Redacted Network Operations Model by Market Participants and Network Operations Model by TSPs is complete and ERCOT begins the Energy Management System (EMS) testing prior to placing the new model into the production environment.</w:t>
      </w:r>
    </w:p>
    <w:p w:rsidR="00616DA5" w:rsidRPr="00616DA5" w:rsidRDefault="00616DA5" w:rsidP="00AC5FDC">
      <w:pPr>
        <w:pStyle w:val="note"/>
        <w:ind w:left="1440" w:hanging="720"/>
        <w:jc w:val="both"/>
        <w:rPr>
          <w:rFonts w:ascii="Calibri" w:hAnsi="Calibri"/>
          <w:sz w:val="18"/>
          <w:szCs w:val="18"/>
        </w:rPr>
      </w:pPr>
      <w:r w:rsidRPr="00616DA5">
        <w:rPr>
          <w:rFonts w:ascii="Calibri" w:hAnsi="Calibri"/>
          <w:sz w:val="18"/>
          <w:szCs w:val="18"/>
        </w:rPr>
        <w:t>4.</w:t>
      </w:r>
      <w:r w:rsidRPr="00616DA5">
        <w:rPr>
          <w:rFonts w:ascii="Calibri" w:hAnsi="Calibri"/>
          <w:sz w:val="18"/>
          <w:szCs w:val="18"/>
        </w:rPr>
        <w:tab/>
        <w:t>Updates include changes starting at this date and ending within the same month.</w:t>
      </w:r>
    </w:p>
    <w:p w:rsidR="00616DA5" w:rsidRDefault="00616DA5" w:rsidP="00AC5FDC">
      <w:pPr>
        <w:jc w:val="both"/>
      </w:pPr>
    </w:p>
    <w:p w:rsidR="00616DA5" w:rsidRDefault="00616DA5" w:rsidP="00AC5FDC">
      <w:pPr>
        <w:jc w:val="both"/>
      </w:pPr>
      <w:r>
        <w:t xml:space="preserve">In Nodal, model changes submitted outside these timelines </w:t>
      </w:r>
      <w:r w:rsidR="00C055CB">
        <w:t>will be</w:t>
      </w:r>
      <w:r>
        <w:t xml:space="preserve"> included in Network Model at the discretion of ERCOT </w:t>
      </w:r>
      <w:r w:rsidR="00825EBD">
        <w:t xml:space="preserve">and </w:t>
      </w:r>
      <w:r>
        <w:t>will be reported to the Public Utility Commis</w:t>
      </w:r>
      <w:r w:rsidR="001D1B30">
        <w:t>s</w:t>
      </w:r>
      <w:r>
        <w:t xml:space="preserve">ion of Texas (PUCT) and the </w:t>
      </w:r>
      <w:r>
        <w:lastRenderedPageBreak/>
        <w:t xml:space="preserve">Independent Market Monitor (IMM) as </w:t>
      </w:r>
      <w:r w:rsidR="002B3508">
        <w:t>I</w:t>
      </w:r>
      <w:r>
        <w:t xml:space="preserve">nterim </w:t>
      </w:r>
      <w:r w:rsidR="002B3508">
        <w:t>U</w:t>
      </w:r>
      <w:r>
        <w:t>pdate</w:t>
      </w:r>
      <w:r w:rsidR="002B3508">
        <w:t>s</w:t>
      </w:r>
      <w:r>
        <w:t>.</w:t>
      </w:r>
      <w:r>
        <w:rPr>
          <w:rStyle w:val="FootnoteReference"/>
        </w:rPr>
        <w:footnoteReference w:id="2"/>
      </w:r>
      <w:r w:rsidR="00825EBD">
        <w:t xml:space="preserve">  Interim Updates will be included in the appropriate Network Model if they are required for reliability or if they have no impact of the market.</w:t>
      </w:r>
    </w:p>
    <w:p w:rsidR="00401822" w:rsidRDefault="00616DA5" w:rsidP="00AC5FDC">
      <w:pPr>
        <w:pStyle w:val="Heading1"/>
        <w:jc w:val="both"/>
        <w:rPr>
          <w:rFonts w:asciiTheme="minorHAnsi" w:hAnsiTheme="minorHAnsi"/>
          <w:color w:val="auto"/>
        </w:rPr>
      </w:pPr>
      <w:bookmarkStart w:id="7" w:name="_Toc262741612"/>
      <w:r>
        <w:rPr>
          <w:rFonts w:asciiTheme="minorHAnsi" w:hAnsiTheme="minorHAnsi"/>
          <w:color w:val="auto"/>
        </w:rPr>
        <w:t>Transition Plan for Data Submittals</w:t>
      </w:r>
      <w:bookmarkEnd w:id="7"/>
    </w:p>
    <w:p w:rsidR="00C71B51" w:rsidRDefault="00616DA5" w:rsidP="00AC5FDC">
      <w:pPr>
        <w:pStyle w:val="Heading2"/>
        <w:ind w:left="0"/>
        <w:jc w:val="both"/>
        <w:rPr>
          <w:rFonts w:asciiTheme="minorHAnsi" w:hAnsiTheme="minorHAnsi"/>
          <w:color w:val="auto"/>
          <w:sz w:val="22"/>
          <w:szCs w:val="22"/>
        </w:rPr>
      </w:pPr>
      <w:bookmarkStart w:id="8" w:name="_Toc262741613"/>
      <w:r>
        <w:rPr>
          <w:rFonts w:asciiTheme="minorHAnsi" w:hAnsiTheme="minorHAnsi"/>
          <w:color w:val="auto"/>
          <w:sz w:val="22"/>
          <w:szCs w:val="22"/>
        </w:rPr>
        <w:t>Single Entry Model (</w:t>
      </w:r>
      <w:r w:rsidR="00B32797">
        <w:rPr>
          <w:rFonts w:asciiTheme="minorHAnsi" w:hAnsiTheme="minorHAnsi"/>
          <w:color w:val="auto"/>
          <w:sz w:val="22"/>
          <w:szCs w:val="22"/>
        </w:rPr>
        <w:t>SEM)</w:t>
      </w:r>
      <w:bookmarkEnd w:id="8"/>
    </w:p>
    <w:p w:rsidR="00B32797" w:rsidRDefault="00B32797" w:rsidP="00AC5FDC">
      <w:pPr>
        <w:jc w:val="both"/>
      </w:pPr>
      <w:r>
        <w:t xml:space="preserve">In the Zonal Market prior to September 2009, Market Participants submitted Service Requests (SRs) to request changes in the Network Model.  Beginning in June of 2009, ERCOT created a Nodal copy of the Zonal model and began copying SRs submitted by MPs into this new Nodal Model.  In September 2009 the SEM period was started.  During SEM, MPs directly entered their SRs (REs through the RARF) into the NMMS database.  ERCOT transferred the modifications submitted in NMMS </w:t>
      </w:r>
      <w:r w:rsidR="00B27F0E">
        <w:t>in</w:t>
      </w:r>
      <w:r>
        <w:t xml:space="preserve">to the Zonal model </w:t>
      </w:r>
      <w:r w:rsidR="00B27F0E">
        <w:t xml:space="preserve">in order to keep it </w:t>
      </w:r>
      <w:r>
        <w:t xml:space="preserve">up to date.  MPs </w:t>
      </w:r>
      <w:r w:rsidR="00B27F0E">
        <w:t>were</w:t>
      </w:r>
      <w:r>
        <w:t xml:space="preserve"> no longer able to submit SRs</w:t>
      </w:r>
      <w:r w:rsidR="00B27F0E">
        <w:t xml:space="preserve"> for Zonal changes</w:t>
      </w:r>
      <w:r>
        <w:t>.  The Network Operational Model Change Requests (NOMCRs)</w:t>
      </w:r>
      <w:r w:rsidR="00066307">
        <w:t xml:space="preserve"> submitted</w:t>
      </w:r>
      <w:r>
        <w:t xml:space="preserve"> into the NMMS system </w:t>
      </w:r>
      <w:r w:rsidR="00B27F0E">
        <w:t>became</w:t>
      </w:r>
      <w:r>
        <w:t xml:space="preserve"> the sole method of affecting change into both the Zonal and Nodal Network Models</w:t>
      </w:r>
      <w:r w:rsidR="00026D18">
        <w:t xml:space="preserve"> with the implementation of SEM in September 2009</w:t>
      </w:r>
      <w:r>
        <w:t>.</w:t>
      </w:r>
      <w:r w:rsidR="00B27F0E">
        <w:t xml:space="preserve">  This transition from SR </w:t>
      </w:r>
      <w:r w:rsidR="00156286">
        <w:t>submission for</w:t>
      </w:r>
      <w:r w:rsidR="00B27F0E">
        <w:t xml:space="preserve"> Zonal changes into the current NOMCR submission for both Zonal and Nodal changes is illustrated below.</w:t>
      </w:r>
    </w:p>
    <w:p w:rsidR="002B3508" w:rsidRDefault="002B3508" w:rsidP="00AC5FDC">
      <w:pPr>
        <w:jc w:val="both"/>
      </w:pPr>
    </w:p>
    <w:p w:rsidR="00B27F0E" w:rsidRDefault="00B27F0E" w:rsidP="00AC5FDC">
      <w:pPr>
        <w:jc w:val="both"/>
      </w:pPr>
      <w:r w:rsidRPr="00B27F0E">
        <w:rPr>
          <w:noProof/>
        </w:rPr>
        <w:drawing>
          <wp:inline distT="0" distB="0" distL="0" distR="0">
            <wp:extent cx="5943600" cy="3388995"/>
            <wp:effectExtent l="0" t="0" r="0" b="0"/>
            <wp:docPr id="6"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686800" cy="4953000"/>
                      <a:chOff x="304800" y="1219200"/>
                      <a:chExt cx="8686800" cy="4953000"/>
                    </a:xfrm>
                  </a:grpSpPr>
                  <a:grpSp>
                    <a:nvGrpSpPr>
                      <a:cNvPr id="34" name="Group 33"/>
                      <a:cNvGrpSpPr/>
                    </a:nvGrpSpPr>
                    <a:grpSpPr>
                      <a:xfrm>
                        <a:off x="304800" y="1219200"/>
                        <a:ext cx="8686800" cy="4953000"/>
                        <a:chOff x="304800" y="1219200"/>
                        <a:chExt cx="8686800" cy="4953000"/>
                      </a:xfrm>
                    </a:grpSpPr>
                    <a:sp>
                      <a:nvSpPr>
                        <a:cNvPr id="6149" name="Rectangle 5"/>
                        <a:cNvSpPr>
                          <a:spLocks noChangeArrowheads="1"/>
                        </a:cNvSpPr>
                      </a:nvSpPr>
                      <a:spPr bwMode="auto">
                        <a:xfrm>
                          <a:off x="533400" y="4267200"/>
                          <a:ext cx="914400" cy="457200"/>
                        </a:xfrm>
                        <a:prstGeom prst="rect">
                          <a:avLst/>
                        </a:prstGeom>
                        <a:no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dirty="0" smtClean="0"/>
                              <a:t>MPs</a:t>
                            </a:r>
                            <a:endParaRPr lang="en-US" dirty="0"/>
                          </a:p>
                        </a:txBody>
                        <a:useSpRect/>
                      </a:txSp>
                    </a:sp>
                    <a:sp>
                      <a:nvSpPr>
                        <a:cNvPr id="6150" name="AutoShape 6"/>
                        <a:cNvSpPr>
                          <a:spLocks noChangeArrowheads="1"/>
                        </a:cNvSpPr>
                      </a:nvSpPr>
                      <a:spPr bwMode="auto">
                        <a:xfrm flipV="1">
                          <a:off x="838200" y="3276600"/>
                          <a:ext cx="485775" cy="990600"/>
                        </a:xfrm>
                        <a:prstGeom prst="downArrow">
                          <a:avLst>
                            <a:gd name="adj1" fmla="val 50000"/>
                            <a:gd name="adj2" fmla="val 50980"/>
                          </a:avLst>
                        </a:prstGeom>
                        <a:solidFill>
                          <a:srgbClr val="FFFF99"/>
                        </a:solidFill>
                        <a:ln w="9525">
                          <a:solidFill>
                            <a:schemeClr val="tx1"/>
                          </a:solidFill>
                          <a:miter lim="800000"/>
                          <a:headEnd/>
                          <a:tailEnd/>
                        </a:ln>
                      </a:spPr>
                      <a:txSp>
                        <a:txBody>
                          <a:bodyPr rot="10800000" vert="eaVert"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400"/>
                              <a:t>SRs</a:t>
                            </a:r>
                          </a:p>
                        </a:txBody>
                        <a:useSpRect/>
                      </a:txSp>
                    </a:sp>
                    <a:sp>
                      <a:nvSpPr>
                        <a:cNvPr id="6151" name="Rectangle 7"/>
                        <a:cNvSpPr>
                          <a:spLocks noChangeArrowheads="1"/>
                        </a:cNvSpPr>
                      </a:nvSpPr>
                      <a:spPr bwMode="auto">
                        <a:xfrm>
                          <a:off x="609600" y="2819400"/>
                          <a:ext cx="914400" cy="457200"/>
                        </a:xfrm>
                        <a:prstGeom prst="rect">
                          <a:avLst/>
                        </a:prstGeom>
                        <a:no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a:t>ERCOT</a:t>
                            </a:r>
                          </a:p>
                        </a:txBody>
                        <a:useSpRect/>
                      </a:txSp>
                    </a:sp>
                    <a:sp>
                      <a:nvSpPr>
                        <a:cNvPr id="6152" name="Rectangle 8"/>
                        <a:cNvSpPr>
                          <a:spLocks noChangeArrowheads="1"/>
                        </a:cNvSpPr>
                      </a:nvSpPr>
                      <a:spPr bwMode="auto">
                        <a:xfrm>
                          <a:off x="381000" y="2590800"/>
                          <a:ext cx="1371600" cy="228600"/>
                        </a:xfrm>
                        <a:prstGeom prst="rect">
                          <a:avLst/>
                        </a:prstGeom>
                        <a:solidFill>
                          <a:srgbClr val="FFFF99"/>
                        </a:solid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a:t>Zonal Model</a:t>
                            </a:r>
                          </a:p>
                        </a:txBody>
                        <a:useSpRect/>
                      </a:txSp>
                    </a:sp>
                    <a:sp>
                      <a:nvSpPr>
                        <a:cNvPr id="6153" name="Rectangle 9"/>
                        <a:cNvSpPr>
                          <a:spLocks noChangeArrowheads="1"/>
                        </a:cNvSpPr>
                      </a:nvSpPr>
                      <a:spPr bwMode="auto">
                        <a:xfrm>
                          <a:off x="2590800" y="4267200"/>
                          <a:ext cx="914400" cy="457200"/>
                        </a:xfrm>
                        <a:prstGeom prst="rect">
                          <a:avLst/>
                        </a:prstGeom>
                        <a:no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dirty="0" smtClean="0"/>
                              <a:t>MPs</a:t>
                            </a:r>
                            <a:endParaRPr lang="en-US" dirty="0"/>
                          </a:p>
                        </a:txBody>
                        <a:useSpRect/>
                      </a:txSp>
                    </a:sp>
                    <a:sp>
                      <a:nvSpPr>
                        <a:cNvPr id="6154" name="AutoShape 10"/>
                        <a:cNvSpPr>
                          <a:spLocks noChangeArrowheads="1"/>
                        </a:cNvSpPr>
                      </a:nvSpPr>
                      <a:spPr bwMode="auto">
                        <a:xfrm flipV="1">
                          <a:off x="2819400" y="3276600"/>
                          <a:ext cx="485775" cy="990600"/>
                        </a:xfrm>
                        <a:prstGeom prst="downArrow">
                          <a:avLst>
                            <a:gd name="adj1" fmla="val 50000"/>
                            <a:gd name="adj2" fmla="val 50980"/>
                          </a:avLst>
                        </a:prstGeom>
                        <a:solidFill>
                          <a:srgbClr val="FFFF99"/>
                        </a:solidFill>
                        <a:ln w="9525">
                          <a:solidFill>
                            <a:schemeClr val="tx1"/>
                          </a:solidFill>
                          <a:miter lim="800000"/>
                          <a:headEnd/>
                          <a:tailEnd/>
                        </a:ln>
                      </a:spPr>
                      <a:txSp>
                        <a:txBody>
                          <a:bodyPr rot="10800000" vert="eaVert"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400"/>
                              <a:t>SRs</a:t>
                            </a:r>
                          </a:p>
                        </a:txBody>
                        <a:useSpRect/>
                      </a:txSp>
                    </a:sp>
                    <a:sp>
                      <a:nvSpPr>
                        <a:cNvPr id="6155" name="Rectangle 11"/>
                        <a:cNvSpPr>
                          <a:spLocks noChangeArrowheads="1"/>
                        </a:cNvSpPr>
                      </a:nvSpPr>
                      <a:spPr bwMode="auto">
                        <a:xfrm>
                          <a:off x="2590800" y="2819400"/>
                          <a:ext cx="914400" cy="457200"/>
                        </a:xfrm>
                        <a:prstGeom prst="rect">
                          <a:avLst/>
                        </a:prstGeom>
                        <a:no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a:t>ERCOT</a:t>
                            </a:r>
                          </a:p>
                        </a:txBody>
                        <a:useSpRect/>
                      </a:txSp>
                    </a:sp>
                    <a:sp>
                      <a:nvSpPr>
                        <a:cNvPr id="6156" name="Rectangle 12"/>
                        <a:cNvSpPr>
                          <a:spLocks noChangeArrowheads="1"/>
                        </a:cNvSpPr>
                      </a:nvSpPr>
                      <a:spPr bwMode="auto">
                        <a:xfrm>
                          <a:off x="2362200" y="2590800"/>
                          <a:ext cx="1371600" cy="228600"/>
                        </a:xfrm>
                        <a:prstGeom prst="rect">
                          <a:avLst/>
                        </a:prstGeom>
                        <a:solidFill>
                          <a:srgbClr val="FFFF99"/>
                        </a:solid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a:t>Zonal Model</a:t>
                            </a:r>
                          </a:p>
                        </a:txBody>
                        <a:useSpRect/>
                      </a:txSp>
                    </a:sp>
                    <a:sp>
                      <a:nvSpPr>
                        <a:cNvPr id="6158" name="AutoShape 14"/>
                        <a:cNvSpPr>
                          <a:spLocks noChangeArrowheads="1"/>
                        </a:cNvSpPr>
                      </a:nvSpPr>
                      <a:spPr bwMode="auto">
                        <a:xfrm>
                          <a:off x="3505200" y="2438400"/>
                          <a:ext cx="838200" cy="733425"/>
                        </a:xfrm>
                        <a:custGeom>
                          <a:avLst/>
                          <a:gdLst>
                            <a:gd name="T0" fmla="*/ 23234090 w 21600"/>
                            <a:gd name="T1" fmla="*/ 0 h 21600"/>
                            <a:gd name="T2" fmla="*/ 13939848 w 21600"/>
                            <a:gd name="T3" fmla="*/ 8301114 h 21600"/>
                            <a:gd name="T4" fmla="*/ 0 w 21600"/>
                            <a:gd name="T5" fmla="*/ 20753925 h 21600"/>
                            <a:gd name="T6" fmla="*/ 13939848 w 21600"/>
                            <a:gd name="T7" fmla="*/ 24903343 h 21600"/>
                            <a:gd name="T8" fmla="*/ 27879696 w 21600"/>
                            <a:gd name="T9" fmla="*/ 17293990 h 21600"/>
                            <a:gd name="T10" fmla="*/ 32526815 w 21600"/>
                            <a:gd name="T11" fmla="*/ 8301114 h 21600"/>
                            <a:gd name="T12" fmla="*/ 17694720 60000 65536"/>
                            <a:gd name="T13" fmla="*/ 11796480 60000 65536"/>
                            <a:gd name="T14" fmla="*/ 11796480 60000 65536"/>
                            <a:gd name="T15" fmla="*/ 5898240 60000 65536"/>
                            <a:gd name="T16" fmla="*/ 0 60000 65536"/>
                            <a:gd name="T17" fmla="*/ 0 60000 65536"/>
                            <a:gd name="T18" fmla="*/ 0 w 21600"/>
                            <a:gd name="T19" fmla="*/ 14400 h 21600"/>
                            <a:gd name="T20" fmla="*/ 18514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200"/>
                              </a:lnTo>
                              <a:lnTo>
                                <a:pt x="12343" y="7200"/>
                              </a:lnTo>
                              <a:lnTo>
                                <a:pt x="12343" y="14400"/>
                              </a:lnTo>
                              <a:lnTo>
                                <a:pt x="0" y="14400"/>
                              </a:lnTo>
                              <a:lnTo>
                                <a:pt x="0" y="21600"/>
                              </a:lnTo>
                              <a:lnTo>
                                <a:pt x="18514" y="21600"/>
                              </a:lnTo>
                              <a:lnTo>
                                <a:pt x="18514" y="7200"/>
                              </a:lnTo>
                              <a:lnTo>
                                <a:pt x="21600" y="7200"/>
                              </a:lnTo>
                              <a:close/>
                            </a:path>
                          </a:pathLst>
                        </a:custGeom>
                        <a:solidFill>
                          <a:schemeClr val="accent1"/>
                        </a:solid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a:t> </a:t>
                            </a:r>
                            <a:r>
                              <a:rPr lang="en-US" sz="1200"/>
                              <a:t>NOMCRs</a:t>
                            </a:r>
                          </a:p>
                        </a:txBody>
                        <a:useSpRect/>
                      </a:txSp>
                    </a:sp>
                    <a:sp>
                      <a:nvSpPr>
                        <a:cNvPr id="6159" name="Rectangle 15"/>
                        <a:cNvSpPr>
                          <a:spLocks noChangeArrowheads="1"/>
                        </a:cNvSpPr>
                      </a:nvSpPr>
                      <a:spPr bwMode="auto">
                        <a:xfrm>
                          <a:off x="2971800" y="2133600"/>
                          <a:ext cx="1371600" cy="304800"/>
                        </a:xfrm>
                        <a:prstGeom prst="rect">
                          <a:avLst/>
                        </a:prstGeom>
                        <a:solidFill>
                          <a:schemeClr val="accent1"/>
                        </a:solid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a:t>Nodal Model</a:t>
                            </a:r>
                          </a:p>
                        </a:txBody>
                        <a:useSpRect/>
                      </a:txSp>
                    </a:sp>
                    <a:sp>
                      <a:nvSpPr>
                        <a:cNvPr id="6161" name="Rectangle 17"/>
                        <a:cNvSpPr>
                          <a:spLocks noChangeArrowheads="1"/>
                        </a:cNvSpPr>
                      </a:nvSpPr>
                      <a:spPr bwMode="auto">
                        <a:xfrm>
                          <a:off x="5867400" y="4343400"/>
                          <a:ext cx="914400" cy="457200"/>
                        </a:xfrm>
                        <a:prstGeom prst="rect">
                          <a:avLst/>
                        </a:prstGeom>
                        <a:no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dirty="0" smtClean="0"/>
                              <a:t>MPs</a:t>
                            </a:r>
                            <a:endParaRPr lang="en-US" dirty="0"/>
                          </a:p>
                        </a:txBody>
                        <a:useSpRect/>
                      </a:txSp>
                    </a:sp>
                    <a:sp>
                      <a:nvSpPr>
                        <a:cNvPr id="6162" name="AutoShape 18"/>
                        <a:cNvSpPr>
                          <a:spLocks noChangeArrowheads="1"/>
                        </a:cNvSpPr>
                      </a:nvSpPr>
                      <a:spPr bwMode="auto">
                        <a:xfrm flipV="1">
                          <a:off x="6248400" y="2438400"/>
                          <a:ext cx="485775" cy="1905000"/>
                        </a:xfrm>
                        <a:prstGeom prst="downArrow">
                          <a:avLst>
                            <a:gd name="adj1" fmla="val 50000"/>
                            <a:gd name="adj2" fmla="val 98039"/>
                          </a:avLst>
                        </a:prstGeom>
                        <a:solidFill>
                          <a:schemeClr val="accent1"/>
                        </a:solidFill>
                        <a:ln w="9525">
                          <a:solidFill>
                            <a:schemeClr val="tx1"/>
                          </a:solidFill>
                          <a:miter lim="800000"/>
                          <a:headEnd/>
                          <a:tailEnd/>
                        </a:ln>
                      </a:spPr>
                      <a:txSp>
                        <a:txBody>
                          <a:bodyPr rot="10800000" vert="eaVert"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400"/>
                              <a:t>NOMCRs</a:t>
                            </a:r>
                          </a:p>
                        </a:txBody>
                        <a:useSpRect/>
                      </a:txSp>
                    </a:sp>
                    <a:sp>
                      <a:nvSpPr>
                        <a:cNvPr id="6163" name="Rectangle 19"/>
                        <a:cNvSpPr>
                          <a:spLocks noChangeArrowheads="1"/>
                        </a:cNvSpPr>
                      </a:nvSpPr>
                      <a:spPr bwMode="auto">
                        <a:xfrm>
                          <a:off x="5105400" y="3276600"/>
                          <a:ext cx="914400" cy="457200"/>
                        </a:xfrm>
                        <a:prstGeom prst="rect">
                          <a:avLst/>
                        </a:prstGeom>
                        <a:no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a:t>ERCOT</a:t>
                            </a:r>
                          </a:p>
                        </a:txBody>
                        <a:useSpRect/>
                      </a:txSp>
                    </a:sp>
                    <a:sp>
                      <a:nvSpPr>
                        <a:cNvPr id="6164" name="Rectangle 20"/>
                        <a:cNvSpPr>
                          <a:spLocks noChangeArrowheads="1"/>
                        </a:cNvSpPr>
                      </a:nvSpPr>
                      <a:spPr bwMode="auto">
                        <a:xfrm>
                          <a:off x="4800600" y="3733800"/>
                          <a:ext cx="1371600" cy="228600"/>
                        </a:xfrm>
                        <a:prstGeom prst="rect">
                          <a:avLst/>
                        </a:prstGeom>
                        <a:solidFill>
                          <a:srgbClr val="FFFF99"/>
                        </a:solid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a:t>Zonal Model</a:t>
                            </a:r>
                          </a:p>
                        </a:txBody>
                        <a:useSpRect/>
                      </a:txSp>
                    </a:sp>
                    <a:sp>
                      <a:nvSpPr>
                        <a:cNvPr id="6166" name="Rectangle 22"/>
                        <a:cNvSpPr>
                          <a:spLocks noChangeArrowheads="1"/>
                        </a:cNvSpPr>
                      </a:nvSpPr>
                      <a:spPr bwMode="auto">
                        <a:xfrm>
                          <a:off x="5334000" y="2133600"/>
                          <a:ext cx="1371600" cy="304800"/>
                        </a:xfrm>
                        <a:prstGeom prst="rect">
                          <a:avLst/>
                        </a:prstGeom>
                        <a:solidFill>
                          <a:schemeClr val="accent1"/>
                        </a:solid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a:t>Nodal Model</a:t>
                            </a:r>
                          </a:p>
                        </a:txBody>
                        <a:useSpRect/>
                      </a:txSp>
                    </a:sp>
                    <a:sp>
                      <a:nvSpPr>
                        <a:cNvPr id="6167" name="AutoShape 23"/>
                        <a:cNvSpPr>
                          <a:spLocks noChangeArrowheads="1"/>
                        </a:cNvSpPr>
                      </a:nvSpPr>
                      <a:spPr bwMode="auto">
                        <a:xfrm>
                          <a:off x="5334000" y="2438400"/>
                          <a:ext cx="485775" cy="838200"/>
                        </a:xfrm>
                        <a:prstGeom prst="downArrow">
                          <a:avLst>
                            <a:gd name="adj1" fmla="val 50000"/>
                            <a:gd name="adj2" fmla="val 43137"/>
                          </a:avLst>
                        </a:prstGeom>
                        <a:solidFill>
                          <a:srgbClr val="FFFF99"/>
                        </a:solidFill>
                        <a:ln w="9525">
                          <a:solidFill>
                            <a:schemeClr val="tx1"/>
                          </a:solidFill>
                          <a:miter lim="800000"/>
                          <a:headEnd/>
                          <a:tailEnd/>
                        </a:ln>
                      </a:spPr>
                      <a:txSp>
                        <a:txBody>
                          <a:bodyPr vert="eaVert"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400"/>
                              <a:t>SRs</a:t>
                            </a:r>
                          </a:p>
                        </a:txBody>
                        <a:useSpRect/>
                      </a:txSp>
                    </a:sp>
                    <a:sp>
                      <a:nvSpPr>
                        <a:cNvPr id="6168" name="Rectangle 24"/>
                        <a:cNvSpPr>
                          <a:spLocks noChangeArrowheads="1"/>
                        </a:cNvSpPr>
                      </a:nvSpPr>
                      <a:spPr bwMode="auto">
                        <a:xfrm>
                          <a:off x="8077200" y="4343400"/>
                          <a:ext cx="914400" cy="457200"/>
                        </a:xfrm>
                        <a:prstGeom prst="rect">
                          <a:avLst/>
                        </a:prstGeom>
                        <a:no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dirty="0" smtClean="0"/>
                              <a:t>MPs</a:t>
                            </a:r>
                            <a:endParaRPr lang="en-US" dirty="0"/>
                          </a:p>
                        </a:txBody>
                        <a:useSpRect/>
                      </a:txSp>
                    </a:sp>
                    <a:sp>
                      <a:nvSpPr>
                        <a:cNvPr id="6169" name="AutoShape 25"/>
                        <a:cNvSpPr>
                          <a:spLocks noChangeArrowheads="1"/>
                        </a:cNvSpPr>
                      </a:nvSpPr>
                      <a:spPr bwMode="auto">
                        <a:xfrm flipV="1">
                          <a:off x="8458200" y="2438400"/>
                          <a:ext cx="485775" cy="1905000"/>
                        </a:xfrm>
                        <a:prstGeom prst="downArrow">
                          <a:avLst>
                            <a:gd name="adj1" fmla="val 50000"/>
                            <a:gd name="adj2" fmla="val 98039"/>
                          </a:avLst>
                        </a:prstGeom>
                        <a:solidFill>
                          <a:schemeClr val="accent1"/>
                        </a:solidFill>
                        <a:ln w="9525">
                          <a:solidFill>
                            <a:schemeClr val="tx1"/>
                          </a:solidFill>
                          <a:miter lim="800000"/>
                          <a:headEnd/>
                          <a:tailEnd/>
                        </a:ln>
                      </a:spPr>
                      <a:txSp>
                        <a:txBody>
                          <a:bodyPr rot="10800000" vert="eaVert"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sz="1400"/>
                              <a:t>NOMCRs</a:t>
                            </a:r>
                          </a:p>
                        </a:txBody>
                        <a:useSpRect/>
                      </a:txSp>
                    </a:sp>
                    <a:sp>
                      <a:nvSpPr>
                        <a:cNvPr id="6170" name="Rectangle 26"/>
                        <a:cNvSpPr>
                          <a:spLocks noChangeArrowheads="1"/>
                        </a:cNvSpPr>
                      </a:nvSpPr>
                      <a:spPr bwMode="auto">
                        <a:xfrm>
                          <a:off x="7391400" y="2438400"/>
                          <a:ext cx="914400" cy="457200"/>
                        </a:xfrm>
                        <a:prstGeom prst="rect">
                          <a:avLst/>
                        </a:prstGeom>
                        <a:no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a:t>ERCOT</a:t>
                            </a:r>
                          </a:p>
                        </a:txBody>
                        <a:useSpRect/>
                      </a:txSp>
                    </a:sp>
                    <a:sp>
                      <a:nvSpPr>
                        <a:cNvPr id="6172" name="Rectangle 28"/>
                        <a:cNvSpPr>
                          <a:spLocks noChangeArrowheads="1"/>
                        </a:cNvSpPr>
                      </a:nvSpPr>
                      <a:spPr bwMode="auto">
                        <a:xfrm>
                          <a:off x="7543800" y="2133600"/>
                          <a:ext cx="1371600" cy="304800"/>
                        </a:xfrm>
                        <a:prstGeom prst="rect">
                          <a:avLst/>
                        </a:prstGeom>
                        <a:solidFill>
                          <a:schemeClr val="accent1"/>
                        </a:solidFill>
                        <a:ln w="9525">
                          <a:solidFill>
                            <a:schemeClr val="tx1"/>
                          </a:solidFill>
                          <a:miter lim="800000"/>
                          <a:headEnd/>
                          <a:tailEnd/>
                        </a:ln>
                      </a:spPr>
                      <a:txSp>
                        <a:txBody>
                          <a:bodyPr wrap="none" anchor="ct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pPr algn="ctr"/>
                            <a:r>
                              <a:rPr lang="en-US"/>
                              <a:t>Nodal Model</a:t>
                            </a:r>
                          </a:p>
                        </a:txBody>
                        <a:useSpRect/>
                      </a:txSp>
                    </a:sp>
                    <a:sp>
                      <a:nvSpPr>
                        <a:cNvPr id="6174" name="Line 30"/>
                        <a:cNvSpPr>
                          <a:spLocks noChangeShapeType="1"/>
                        </a:cNvSpPr>
                      </a:nvSpPr>
                      <a:spPr bwMode="auto">
                        <a:xfrm>
                          <a:off x="1981200" y="1295400"/>
                          <a:ext cx="0" cy="4876800"/>
                        </a:xfrm>
                        <a:prstGeom prst="line">
                          <a:avLst/>
                        </a:prstGeom>
                        <a:noFill/>
                        <a:ln w="25400">
                          <a:solidFill>
                            <a:schemeClr val="tx1"/>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6175" name="Line 31"/>
                        <a:cNvSpPr>
                          <a:spLocks noChangeShapeType="1"/>
                        </a:cNvSpPr>
                      </a:nvSpPr>
                      <a:spPr bwMode="auto">
                        <a:xfrm>
                          <a:off x="4648200" y="1295400"/>
                          <a:ext cx="0" cy="4876800"/>
                        </a:xfrm>
                        <a:prstGeom prst="line">
                          <a:avLst/>
                        </a:prstGeom>
                        <a:noFill/>
                        <a:ln w="25400">
                          <a:solidFill>
                            <a:schemeClr val="tx1"/>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6176" name="Line 32"/>
                        <a:cNvSpPr>
                          <a:spLocks noChangeShapeType="1"/>
                        </a:cNvSpPr>
                      </a:nvSpPr>
                      <a:spPr bwMode="auto">
                        <a:xfrm>
                          <a:off x="7086600" y="1219200"/>
                          <a:ext cx="0" cy="4876800"/>
                        </a:xfrm>
                        <a:prstGeom prst="line">
                          <a:avLst/>
                        </a:prstGeom>
                        <a:noFill/>
                        <a:ln w="25400">
                          <a:solidFill>
                            <a:schemeClr val="tx1"/>
                          </a:solidFill>
                          <a:round/>
                          <a:headEnd/>
                          <a:tailEn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6177" name="Text Box 33"/>
                        <a:cNvSpPr txBox="1">
                          <a:spLocks noChangeArrowheads="1"/>
                        </a:cNvSpPr>
                      </a:nvSpPr>
                      <a:spPr bwMode="auto">
                        <a:xfrm>
                          <a:off x="304800" y="1295400"/>
                          <a:ext cx="1398588" cy="27463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200"/>
                              <a:t>2000 – June 2009</a:t>
                            </a:r>
                          </a:p>
                        </a:txBody>
                        <a:useSpRect/>
                      </a:txSp>
                    </a:sp>
                    <a:sp>
                      <a:nvSpPr>
                        <a:cNvPr id="6178" name="Text Box 34"/>
                        <a:cNvSpPr txBox="1">
                          <a:spLocks noChangeArrowheads="1"/>
                        </a:cNvSpPr>
                      </a:nvSpPr>
                      <a:spPr bwMode="auto">
                        <a:xfrm>
                          <a:off x="4953000" y="1295400"/>
                          <a:ext cx="1879600" cy="27463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200"/>
                              <a:t>Sep 2009 –Nodal Go-live</a:t>
                            </a:r>
                          </a:p>
                        </a:txBody>
                        <a:useSpRect/>
                      </a:txSp>
                    </a:sp>
                    <a:sp>
                      <a:nvSpPr>
                        <a:cNvPr id="6179" name="Text Box 35"/>
                        <a:cNvSpPr txBox="1">
                          <a:spLocks noChangeArrowheads="1"/>
                        </a:cNvSpPr>
                      </a:nvSpPr>
                      <a:spPr bwMode="auto">
                        <a:xfrm>
                          <a:off x="2438400" y="1295400"/>
                          <a:ext cx="1711325" cy="27463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200"/>
                              <a:t>June 2009 – Sep 2009</a:t>
                            </a:r>
                          </a:p>
                        </a:txBody>
                        <a:useSpRect/>
                      </a:txSp>
                    </a:sp>
                    <a:sp>
                      <a:nvSpPr>
                        <a:cNvPr id="6180" name="Text Box 36"/>
                        <a:cNvSpPr txBox="1">
                          <a:spLocks noChangeArrowheads="1"/>
                        </a:cNvSpPr>
                      </a:nvSpPr>
                      <a:spPr bwMode="auto">
                        <a:xfrm>
                          <a:off x="7467600" y="1295400"/>
                          <a:ext cx="1103313" cy="274638"/>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sz="1200"/>
                              <a:t>Nodal Go-live</a:t>
                            </a:r>
                          </a:p>
                        </a:txBody>
                        <a:useSpRect/>
                      </a:txSp>
                    </a:sp>
                    <a:sp>
                      <a:nvSpPr>
                        <a:cNvPr id="6183" name="Text Box 39"/>
                        <a:cNvSpPr txBox="1">
                          <a:spLocks noChangeArrowheads="1"/>
                        </a:cNvSpPr>
                      </a:nvSpPr>
                      <a:spPr bwMode="auto">
                        <a:xfrm>
                          <a:off x="5562600" y="1524000"/>
                          <a:ext cx="679450" cy="366713"/>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r>
                              <a:rPr lang="en-US"/>
                              <a:t>SEM</a:t>
                            </a:r>
                          </a:p>
                        </a:txBody>
                        <a:useSpRect/>
                      </a:txSp>
                    </a:sp>
                    <a:sp>
                      <a:nvSpPr>
                        <a:cNvPr id="6184" name="Line 40"/>
                        <a:cNvSpPr>
                          <a:spLocks noChangeShapeType="1"/>
                        </a:cNvSpPr>
                      </a:nvSpPr>
                      <a:spPr bwMode="auto">
                        <a:xfrm flipH="1">
                          <a:off x="4724400" y="1676400"/>
                          <a:ext cx="838200" cy="0"/>
                        </a:xfrm>
                        <a:prstGeom prst="line">
                          <a:avLst/>
                        </a:prstGeom>
                        <a:noFill/>
                        <a:ln w="9525">
                          <a:solidFill>
                            <a:schemeClr val="tx1"/>
                          </a:solidFill>
                          <a:round/>
                          <a:headEnd/>
                          <a:tailEnd type="triangle" w="med" len="me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sp>
                      <a:nvSpPr>
                        <a:cNvPr id="6185" name="Line 41"/>
                        <a:cNvSpPr>
                          <a:spLocks noChangeShapeType="1"/>
                        </a:cNvSpPr>
                      </a:nvSpPr>
                      <a:spPr bwMode="auto">
                        <a:xfrm>
                          <a:off x="6248400" y="1676400"/>
                          <a:ext cx="762000" cy="0"/>
                        </a:xfrm>
                        <a:prstGeom prst="line">
                          <a:avLst/>
                        </a:prstGeom>
                        <a:noFill/>
                        <a:ln w="9525">
                          <a:solidFill>
                            <a:schemeClr val="tx1"/>
                          </a:solidFill>
                          <a:round/>
                          <a:headEnd/>
                          <a:tailEnd type="triangle" w="med" len="med"/>
                        </a:ln>
                      </a:spPr>
                      <a:txSp>
                        <a:txBody>
                          <a:bodyPr/>
                          <a:lstStyle>
                            <a:defPPr>
                              <a:defRPr lang="en-US"/>
                            </a:defPPr>
                            <a:lvl1pPr algn="l" rtl="0" fontAlgn="base">
                              <a:spcBef>
                                <a:spcPct val="0"/>
                              </a:spcBef>
                              <a:spcAft>
                                <a:spcPct val="0"/>
                              </a:spcAft>
                              <a:defRPr kern="1200">
                                <a:solidFill>
                                  <a:schemeClr val="tx1"/>
                                </a:solidFill>
                                <a:latin typeface="Arial" charset="0"/>
                                <a:ea typeface="+mn-ea"/>
                                <a:cs typeface="+mn-cs"/>
                              </a:defRPr>
                            </a:lvl1pPr>
                            <a:lvl2pPr marL="457200" algn="l" rtl="0" fontAlgn="base">
                              <a:spcBef>
                                <a:spcPct val="0"/>
                              </a:spcBef>
                              <a:spcAft>
                                <a:spcPct val="0"/>
                              </a:spcAft>
                              <a:defRPr kern="1200">
                                <a:solidFill>
                                  <a:schemeClr val="tx1"/>
                                </a:solidFill>
                                <a:latin typeface="Arial" charset="0"/>
                                <a:ea typeface="+mn-ea"/>
                                <a:cs typeface="+mn-cs"/>
                              </a:defRPr>
                            </a:lvl2pPr>
                            <a:lvl3pPr marL="914400" algn="l" rtl="0" fontAlgn="base">
                              <a:spcBef>
                                <a:spcPct val="0"/>
                              </a:spcBef>
                              <a:spcAft>
                                <a:spcPct val="0"/>
                              </a:spcAft>
                              <a:defRPr kern="1200">
                                <a:solidFill>
                                  <a:schemeClr val="tx1"/>
                                </a:solidFill>
                                <a:latin typeface="Arial" charset="0"/>
                                <a:ea typeface="+mn-ea"/>
                                <a:cs typeface="+mn-cs"/>
                              </a:defRPr>
                            </a:lvl3pPr>
                            <a:lvl4pPr marL="1371600" algn="l" rtl="0" fontAlgn="base">
                              <a:spcBef>
                                <a:spcPct val="0"/>
                              </a:spcBef>
                              <a:spcAft>
                                <a:spcPct val="0"/>
                              </a:spcAft>
                              <a:defRPr kern="1200">
                                <a:solidFill>
                                  <a:schemeClr val="tx1"/>
                                </a:solidFill>
                                <a:latin typeface="Arial" charset="0"/>
                                <a:ea typeface="+mn-ea"/>
                                <a:cs typeface="+mn-cs"/>
                              </a:defRPr>
                            </a:lvl4pPr>
                            <a:lvl5pPr marL="1828800" algn="l" rtl="0" fontAlgn="base">
                              <a:spcBef>
                                <a:spcPct val="0"/>
                              </a:spcBef>
                              <a:spcAft>
                                <a:spcPct val="0"/>
                              </a:spcAft>
                              <a:defRPr kern="1200">
                                <a:solidFill>
                                  <a:schemeClr val="tx1"/>
                                </a:solidFill>
                                <a:latin typeface="Arial" charset="0"/>
                                <a:ea typeface="+mn-ea"/>
                                <a:cs typeface="+mn-cs"/>
                              </a:defRPr>
                            </a:lvl5pPr>
                            <a:lvl6pPr marL="2286000" algn="l" defTabSz="914400" rtl="0" eaLnBrk="1" latinLnBrk="0" hangingPunct="1">
                              <a:defRPr kern="1200">
                                <a:solidFill>
                                  <a:schemeClr val="tx1"/>
                                </a:solidFill>
                                <a:latin typeface="Arial" charset="0"/>
                                <a:ea typeface="+mn-ea"/>
                                <a:cs typeface="+mn-cs"/>
                              </a:defRPr>
                            </a:lvl6pPr>
                            <a:lvl7pPr marL="2743200" algn="l" defTabSz="914400" rtl="0" eaLnBrk="1" latinLnBrk="0" hangingPunct="1">
                              <a:defRPr kern="1200">
                                <a:solidFill>
                                  <a:schemeClr val="tx1"/>
                                </a:solidFill>
                                <a:latin typeface="Arial" charset="0"/>
                                <a:ea typeface="+mn-ea"/>
                                <a:cs typeface="+mn-cs"/>
                              </a:defRPr>
                            </a:lvl7pPr>
                            <a:lvl8pPr marL="3200400" algn="l" defTabSz="914400" rtl="0" eaLnBrk="1" latinLnBrk="0" hangingPunct="1">
                              <a:defRPr kern="1200">
                                <a:solidFill>
                                  <a:schemeClr val="tx1"/>
                                </a:solidFill>
                                <a:latin typeface="Arial" charset="0"/>
                                <a:ea typeface="+mn-ea"/>
                                <a:cs typeface="+mn-cs"/>
                              </a:defRPr>
                            </a:lvl8pPr>
                            <a:lvl9pPr marL="3657600" algn="l" defTabSz="914400" rtl="0" eaLnBrk="1" latinLnBrk="0" hangingPunct="1">
                              <a:defRPr kern="1200">
                                <a:solidFill>
                                  <a:schemeClr val="tx1"/>
                                </a:solidFill>
                                <a:latin typeface="Arial" charset="0"/>
                                <a:ea typeface="+mn-ea"/>
                                <a:cs typeface="+mn-cs"/>
                              </a:defRPr>
                            </a:lvl9pPr>
                          </a:lstStyle>
                          <a:p>
                            <a:endParaRPr lang="en-US"/>
                          </a:p>
                        </a:txBody>
                        <a:useSpRect/>
                      </a:txSp>
                    </a:sp>
                  </a:grpSp>
                </lc:lockedCanvas>
              </a:graphicData>
            </a:graphic>
          </wp:inline>
        </w:drawing>
      </w:r>
    </w:p>
    <w:p w:rsidR="00B27F0E" w:rsidRPr="00B32797" w:rsidRDefault="00B27F0E" w:rsidP="00AC5FDC">
      <w:pPr>
        <w:jc w:val="both"/>
      </w:pPr>
      <w:r w:rsidRPr="00B27F0E">
        <w:rPr>
          <w:b/>
        </w:rPr>
        <w:t>As a result of SEM process, any data timeline transition deadlines put in place for Nodal will also be in effect for Zonal</w:t>
      </w:r>
      <w:r>
        <w:t xml:space="preserve">.  </w:t>
      </w:r>
      <w:r w:rsidRPr="00026D18">
        <w:rPr>
          <w:b/>
        </w:rPr>
        <w:t xml:space="preserve">The SEM process </w:t>
      </w:r>
      <w:r w:rsidR="002B3508">
        <w:rPr>
          <w:b/>
        </w:rPr>
        <w:t xml:space="preserve">requires </w:t>
      </w:r>
      <w:r w:rsidR="002B3508" w:rsidRPr="00026D18">
        <w:rPr>
          <w:b/>
        </w:rPr>
        <w:t>data</w:t>
      </w:r>
      <w:r w:rsidRPr="00026D18">
        <w:rPr>
          <w:b/>
        </w:rPr>
        <w:t xml:space="preserve"> submission timelines to be the same for both models.</w:t>
      </w:r>
    </w:p>
    <w:p w:rsidR="0030010F" w:rsidRDefault="0030010F" w:rsidP="00AC5FDC">
      <w:pPr>
        <w:pStyle w:val="Heading2"/>
        <w:ind w:left="0"/>
        <w:jc w:val="both"/>
        <w:rPr>
          <w:rFonts w:asciiTheme="minorHAnsi" w:hAnsiTheme="minorHAnsi"/>
          <w:color w:val="auto"/>
          <w:sz w:val="22"/>
          <w:szCs w:val="22"/>
        </w:rPr>
      </w:pPr>
      <w:bookmarkStart w:id="9" w:name="_Toc262741614"/>
      <w:r>
        <w:rPr>
          <w:rFonts w:asciiTheme="minorHAnsi" w:hAnsiTheme="minorHAnsi"/>
          <w:color w:val="auto"/>
          <w:sz w:val="22"/>
          <w:szCs w:val="22"/>
        </w:rPr>
        <w:lastRenderedPageBreak/>
        <w:t>Model Validation Timeline</w:t>
      </w:r>
      <w:bookmarkEnd w:id="9"/>
    </w:p>
    <w:p w:rsidR="00156286" w:rsidRDefault="0030010F" w:rsidP="00AC5FDC">
      <w:pPr>
        <w:jc w:val="both"/>
      </w:pPr>
      <w:r>
        <w:t>The ERCOT Nodal Protocols require data</w:t>
      </w:r>
      <w:r w:rsidR="007F6196">
        <w:t xml:space="preserve"> used</w:t>
      </w:r>
      <w:r>
        <w:t xml:space="preserve"> </w:t>
      </w:r>
      <w:r w:rsidR="007F6196">
        <w:t>in the Network Models in</w:t>
      </w:r>
      <w:r>
        <w:t xml:space="preserve"> December</w:t>
      </w:r>
      <w:r w:rsidR="00066307">
        <w:t>,</w:t>
      </w:r>
      <w:r>
        <w:t xml:space="preserve"> 2010 be submitted to ERCOT before September 1, 2010.  </w:t>
      </w:r>
      <w:r w:rsidR="00026D18">
        <w:t>The 3 month validation sequence is required for all Network Model</w:t>
      </w:r>
      <w:r w:rsidR="00066307">
        <w:t>s</w:t>
      </w:r>
      <w:r w:rsidR="00026D18">
        <w:t xml:space="preserve">.  </w:t>
      </w:r>
      <w:r>
        <w:t xml:space="preserve">To understand the reasons for this timeline it is useful to </w:t>
      </w:r>
      <w:r w:rsidR="00156286">
        <w:t>understand</w:t>
      </w:r>
      <w:r>
        <w:t xml:space="preserve"> the</w:t>
      </w:r>
      <w:r w:rsidR="00156286">
        <w:t xml:space="preserve"> four-part</w:t>
      </w:r>
      <w:r>
        <w:t xml:space="preserve"> validation cycle for the models used in December</w:t>
      </w:r>
      <w:r w:rsidR="00066307">
        <w:t>, 2010</w:t>
      </w:r>
      <w:r>
        <w:t xml:space="preserve">.  </w:t>
      </w:r>
    </w:p>
    <w:p w:rsidR="003E31EE" w:rsidRDefault="003E31EE" w:rsidP="00AC5FDC">
      <w:pPr>
        <w:pStyle w:val="ListParagraph"/>
        <w:numPr>
          <w:ilvl w:val="0"/>
          <w:numId w:val="20"/>
        </w:numPr>
        <w:jc w:val="both"/>
      </w:pPr>
      <w:r w:rsidRPr="00156286">
        <w:rPr>
          <w:b/>
        </w:rPr>
        <w:t>NOMCR Processing</w:t>
      </w:r>
      <w:r>
        <w:t xml:space="preserve"> (15 days) – Individual NOMCRs are processed, validated, and included in the NMMS database.</w:t>
      </w:r>
    </w:p>
    <w:p w:rsidR="003E31EE" w:rsidRDefault="003E31EE" w:rsidP="00AC5FDC">
      <w:pPr>
        <w:pStyle w:val="ListParagraph"/>
        <w:numPr>
          <w:ilvl w:val="0"/>
          <w:numId w:val="19"/>
        </w:numPr>
        <w:jc w:val="both"/>
      </w:pPr>
      <w:r w:rsidRPr="003E31EE">
        <w:rPr>
          <w:b/>
        </w:rPr>
        <w:t>Initial Validation</w:t>
      </w:r>
      <w:r>
        <w:t xml:space="preserve"> (1 month) – </w:t>
      </w:r>
      <w:r w:rsidR="007F6196">
        <w:t>Models</w:t>
      </w:r>
      <w:r>
        <w:t xml:space="preserve"> representing specific periods of time </w:t>
      </w:r>
      <w:r w:rsidR="00156286">
        <w:t xml:space="preserve">in the future </w:t>
      </w:r>
      <w:r>
        <w:t>are prepared.</w:t>
      </w:r>
      <w:r w:rsidR="00156286">
        <w:t xml:space="preserve">  These models will correspond with published database load schedules.  During</w:t>
      </w:r>
      <w:r w:rsidR="00066307">
        <w:t xml:space="preserve"> I</w:t>
      </w:r>
      <w:r w:rsidR="007F6196">
        <w:t>nitial</w:t>
      </w:r>
      <w:r w:rsidR="00156286">
        <w:t xml:space="preserve"> </w:t>
      </w:r>
      <w:r w:rsidR="00066307">
        <w:t>V</w:t>
      </w:r>
      <w:r w:rsidR="00156286">
        <w:t>alidation</w:t>
      </w:r>
      <w:r w:rsidR="00066307">
        <w:t>,</w:t>
      </w:r>
      <w:r w:rsidR="00156286">
        <w:t xml:space="preserve"> t</w:t>
      </w:r>
      <w:r>
        <w:t xml:space="preserve">he models are tested in downstream applications to </w:t>
      </w:r>
      <w:r w:rsidR="00066307">
        <w:t>verify</w:t>
      </w:r>
      <w:r>
        <w:t xml:space="preserve"> reasonable results.  At the end of th</w:t>
      </w:r>
      <w:r w:rsidR="00066307">
        <w:t>e Initial Validation</w:t>
      </w:r>
      <w:r>
        <w:t xml:space="preserve"> period</w:t>
      </w:r>
      <w:r w:rsidR="00066307">
        <w:t>,</w:t>
      </w:r>
      <w:r>
        <w:t xml:space="preserve"> the </w:t>
      </w:r>
      <w:r w:rsidR="00066307">
        <w:t xml:space="preserve">validated </w:t>
      </w:r>
      <w:r>
        <w:t>models are posted for TSP consumption (redacted models are posted for market use).</w:t>
      </w:r>
    </w:p>
    <w:p w:rsidR="003E31EE" w:rsidRDefault="003E31EE" w:rsidP="00AC5FDC">
      <w:pPr>
        <w:pStyle w:val="ListParagraph"/>
        <w:numPr>
          <w:ilvl w:val="0"/>
          <w:numId w:val="19"/>
        </w:numPr>
        <w:jc w:val="both"/>
      </w:pPr>
      <w:r w:rsidRPr="003E31EE">
        <w:rPr>
          <w:b/>
        </w:rPr>
        <w:t>Market Validation</w:t>
      </w:r>
      <w:r>
        <w:t xml:space="preserve"> (1 month) – The posted models are available for the Market to review</w:t>
      </w:r>
      <w:r w:rsidR="00825EBD">
        <w:t xml:space="preserve"> and test</w:t>
      </w:r>
      <w:r w:rsidR="00AC5FDC">
        <w:t>.  The Market Validation time period also precedes the CRR auction and gives Market Participants more information about the models that will be used in production.</w:t>
      </w:r>
    </w:p>
    <w:p w:rsidR="003E31EE" w:rsidRDefault="003E31EE" w:rsidP="00AC5FDC">
      <w:pPr>
        <w:pStyle w:val="ListParagraph"/>
        <w:numPr>
          <w:ilvl w:val="0"/>
          <w:numId w:val="19"/>
        </w:numPr>
        <w:jc w:val="both"/>
      </w:pPr>
      <w:r w:rsidRPr="003E31EE">
        <w:rPr>
          <w:b/>
        </w:rPr>
        <w:t>Final Validation</w:t>
      </w:r>
      <w:r>
        <w:t xml:space="preserve"> (15</w:t>
      </w:r>
      <w:r w:rsidR="00825EBD">
        <w:t xml:space="preserve"> - 45</w:t>
      </w:r>
      <w:r>
        <w:t xml:space="preserve"> days) – </w:t>
      </w:r>
      <w:r w:rsidR="00825EBD">
        <w:t xml:space="preserve">This </w:t>
      </w:r>
      <w:r>
        <w:t xml:space="preserve">is </w:t>
      </w:r>
      <w:r w:rsidR="00825EBD">
        <w:t xml:space="preserve">the </w:t>
      </w:r>
      <w:r>
        <w:t>final validation performed by ERCOT before the models are used in production.</w:t>
      </w:r>
      <w:r w:rsidR="00825EBD">
        <w:t xml:space="preserve">  </w:t>
      </w:r>
      <w:r w:rsidR="00AC5FDC">
        <w:t xml:space="preserve">These </w:t>
      </w:r>
      <w:r w:rsidR="002B3508">
        <w:t>models may</w:t>
      </w:r>
      <w:r w:rsidR="00AC5FDC">
        <w:t xml:space="preserve"> differ from the models that were used in the Initial Validation if Interim Updates were submitted and accepted.  The final </w:t>
      </w:r>
      <w:r w:rsidR="002B3508">
        <w:t>models are</w:t>
      </w:r>
      <w:r w:rsidR="00825EBD">
        <w:t xml:space="preserve"> tested in </w:t>
      </w:r>
      <w:r w:rsidR="005320D4">
        <w:t xml:space="preserve">all </w:t>
      </w:r>
      <w:r w:rsidR="00825EBD">
        <w:t xml:space="preserve">downstream applications to verify reasonable results.  Point-to-point </w:t>
      </w:r>
      <w:r w:rsidR="002B3508">
        <w:t xml:space="preserve">telemetry </w:t>
      </w:r>
      <w:r w:rsidR="00825EBD">
        <w:t xml:space="preserve">checks </w:t>
      </w:r>
      <w:r w:rsidR="002B3508">
        <w:t>will be</w:t>
      </w:r>
      <w:r w:rsidR="00AC5FDC">
        <w:t xml:space="preserve"> </w:t>
      </w:r>
      <w:r w:rsidR="00825EBD">
        <w:t>performed for new equipment that is to energized during in each model.</w:t>
      </w:r>
    </w:p>
    <w:p w:rsidR="003E31EE" w:rsidRDefault="003E31EE" w:rsidP="003E31EE">
      <w:r>
        <w:t>This process is illustrated below for the month of April.  The dates are used here are for illustrative purpose</w:t>
      </w:r>
      <w:r w:rsidR="00066307">
        <w:t>s</w:t>
      </w:r>
      <w:r>
        <w:t xml:space="preserve"> only.</w:t>
      </w:r>
    </w:p>
    <w:p w:rsidR="003E31EE" w:rsidRDefault="003E31EE" w:rsidP="00003559">
      <w:pPr>
        <w:ind w:left="-360"/>
      </w:pPr>
      <w:r w:rsidRPr="003E31EE">
        <w:rPr>
          <w:noProof/>
        </w:rPr>
        <w:drawing>
          <wp:inline distT="0" distB="0" distL="0" distR="0">
            <wp:extent cx="6838122" cy="2425148"/>
            <wp:effectExtent l="0" t="0" r="0" b="0"/>
            <wp:docPr id="13"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428336" cy="3067110"/>
                      <a:chOff x="457200" y="1981200"/>
                      <a:chExt cx="8428336" cy="3067110"/>
                    </a:xfrm>
                  </a:grpSpPr>
                  <a:grpSp>
                    <a:nvGrpSpPr>
                      <a:cNvPr id="88" name="Group 87"/>
                      <a:cNvGrpSpPr/>
                    </a:nvGrpSpPr>
                    <a:grpSpPr>
                      <a:xfrm>
                        <a:off x="457200" y="1981200"/>
                        <a:ext cx="8428336" cy="3067110"/>
                        <a:chOff x="457200" y="1981200"/>
                        <a:chExt cx="8428336" cy="3067110"/>
                      </a:xfrm>
                    </a:grpSpPr>
                    <a:cxnSp>
                      <a:nvCxnSpPr>
                        <a:cNvPr id="5" name="Straight Arrow Connector 4"/>
                        <a:cNvCxnSpPr/>
                      </a:nvCxnSpPr>
                      <a:spPr>
                        <a:xfrm>
                          <a:off x="914400" y="3962400"/>
                          <a:ext cx="7696200" cy="1588"/>
                        </a:xfrm>
                        <a:prstGeom prst="straightConnector1">
                          <a:avLst/>
                        </a:prstGeom>
                        <a:ln w="22225">
                          <a:tailEnd type="arrow"/>
                        </a:ln>
                      </a:spPr>
                      <a:style>
                        <a:lnRef idx="1">
                          <a:schemeClr val="accent1"/>
                        </a:lnRef>
                        <a:fillRef idx="0">
                          <a:schemeClr val="accent1"/>
                        </a:fillRef>
                        <a:effectRef idx="0">
                          <a:schemeClr val="accent1"/>
                        </a:effectRef>
                        <a:fontRef idx="minor">
                          <a:schemeClr val="tx1"/>
                        </a:fontRef>
                      </a:style>
                    </a:cxnSp>
                    <a:cxnSp>
                      <a:nvCxnSpPr>
                        <a:cNvPr id="7" name="Straight Connector 6"/>
                        <a:cNvCxnSpPr/>
                      </a:nvCxnSpPr>
                      <a:spPr>
                        <a:xfrm rot="5400000">
                          <a:off x="685800" y="4114800"/>
                          <a:ext cx="4572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8" name="Straight Connector 7"/>
                        <a:cNvCxnSpPr/>
                      </a:nvCxnSpPr>
                      <a:spPr>
                        <a:xfrm rot="5400000">
                          <a:off x="2514600" y="4038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9" name="Straight Connector 8"/>
                        <a:cNvCxnSpPr/>
                      </a:nvCxnSpPr>
                      <a:spPr>
                        <a:xfrm rot="5400000">
                          <a:off x="4495800" y="4038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0" name="Straight Connector 9"/>
                        <a:cNvCxnSpPr>
                          <a:stCxn id="43" idx="3"/>
                        </a:cNvCxnSpPr>
                      </a:nvCxnSpPr>
                      <a:spPr>
                        <a:xfrm>
                          <a:off x="6553200" y="2552700"/>
                          <a:ext cx="0" cy="1638300"/>
                        </a:xfrm>
                        <a:prstGeom prst="line">
                          <a:avLst/>
                        </a:prstGeom>
                        <a:ln w="28575"/>
                      </a:spPr>
                      <a:style>
                        <a:lnRef idx="1">
                          <a:schemeClr val="accent1"/>
                        </a:lnRef>
                        <a:fillRef idx="0">
                          <a:schemeClr val="accent1"/>
                        </a:fillRef>
                        <a:effectRef idx="0">
                          <a:schemeClr val="accent1"/>
                        </a:effectRef>
                        <a:fontRef idx="minor">
                          <a:schemeClr val="tx1"/>
                        </a:fontRef>
                      </a:style>
                    </a:cxnSp>
                    <a:cxnSp>
                      <a:nvCxnSpPr>
                        <a:cNvPr id="11" name="Straight Connector 10"/>
                        <a:cNvCxnSpPr/>
                      </a:nvCxnSpPr>
                      <a:spPr>
                        <a:xfrm rot="5400000">
                          <a:off x="8153400" y="4038600"/>
                          <a:ext cx="3048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2" name="TextBox 11"/>
                        <a:cNvSpPr txBox="1"/>
                      </a:nvSpPr>
                      <a:spPr>
                        <a:xfrm>
                          <a:off x="457200" y="4038600"/>
                          <a:ext cx="42351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Jan</a:t>
                            </a:r>
                            <a:endParaRPr lang="en-US" sz="1400" dirty="0">
                              <a:solidFill>
                                <a:schemeClr val="tx2">
                                  <a:lumMod val="75000"/>
                                </a:schemeClr>
                              </a:solidFill>
                            </a:endParaRPr>
                          </a:p>
                        </a:txBody>
                        <a:useSpRect/>
                      </a:txSp>
                    </a:sp>
                    <a:sp>
                      <a:nvSpPr>
                        <a:cNvPr id="13" name="TextBox 12"/>
                        <a:cNvSpPr txBox="1"/>
                      </a:nvSpPr>
                      <a:spPr>
                        <a:xfrm>
                          <a:off x="4191000" y="3962400"/>
                          <a:ext cx="487634"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Mar</a:t>
                            </a:r>
                            <a:endParaRPr lang="en-US" sz="1400" dirty="0">
                              <a:solidFill>
                                <a:schemeClr val="tx2">
                                  <a:lumMod val="75000"/>
                                </a:schemeClr>
                              </a:solidFill>
                            </a:endParaRPr>
                          </a:p>
                        </a:txBody>
                        <a:useSpRect/>
                      </a:txSp>
                    </a:sp>
                    <a:sp>
                      <a:nvSpPr>
                        <a:cNvPr id="14" name="TextBox 13"/>
                        <a:cNvSpPr txBox="1"/>
                      </a:nvSpPr>
                      <a:spPr>
                        <a:xfrm>
                          <a:off x="6096000" y="4038600"/>
                          <a:ext cx="44595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Apr</a:t>
                            </a:r>
                            <a:endParaRPr lang="en-US" sz="1400" dirty="0">
                              <a:solidFill>
                                <a:schemeClr val="tx2">
                                  <a:lumMod val="75000"/>
                                </a:schemeClr>
                              </a:solidFill>
                            </a:endParaRPr>
                          </a:p>
                        </a:txBody>
                        <a:useSpRect/>
                      </a:txSp>
                    </a:sp>
                    <a:sp>
                      <a:nvSpPr>
                        <a:cNvPr id="15" name="TextBox 14"/>
                        <a:cNvSpPr txBox="1"/>
                      </a:nvSpPr>
                      <a:spPr>
                        <a:xfrm>
                          <a:off x="8382000" y="4038600"/>
                          <a:ext cx="5035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May</a:t>
                            </a:r>
                            <a:endParaRPr lang="en-US" sz="1400" dirty="0">
                              <a:solidFill>
                                <a:schemeClr val="tx2">
                                  <a:lumMod val="75000"/>
                                </a:schemeClr>
                              </a:solidFill>
                            </a:endParaRPr>
                          </a:p>
                        </a:txBody>
                        <a:useSpRect/>
                      </a:txSp>
                    </a:sp>
                    <a:sp>
                      <a:nvSpPr>
                        <a:cNvPr id="16" name="TextBox 15"/>
                        <a:cNvSpPr txBox="1"/>
                      </a:nvSpPr>
                      <a:spPr>
                        <a:xfrm>
                          <a:off x="2209800" y="4038600"/>
                          <a:ext cx="448136" cy="307777"/>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400" dirty="0" smtClean="0">
                                <a:solidFill>
                                  <a:schemeClr val="tx2">
                                    <a:lumMod val="75000"/>
                                  </a:schemeClr>
                                </a:solidFill>
                              </a:rPr>
                              <a:t>Feb</a:t>
                            </a:r>
                            <a:endParaRPr lang="en-US" sz="1400" dirty="0">
                              <a:solidFill>
                                <a:schemeClr val="tx2">
                                  <a:lumMod val="75000"/>
                                </a:schemeClr>
                              </a:solidFill>
                            </a:endParaRPr>
                          </a:p>
                        </a:txBody>
                        <a:useSpRect/>
                      </a:txSp>
                    </a:sp>
                    <a:cxnSp>
                      <a:nvCxnSpPr>
                        <a:cNvPr id="17" name="Straight Connector 16"/>
                        <a:cNvCxnSpPr/>
                      </a:nvCxnSpPr>
                      <a:spPr>
                        <a:xfrm rot="5400000">
                          <a:off x="1600200" y="39624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19" name="TextBox 18"/>
                        <a:cNvSpPr txBox="1"/>
                      </a:nvSpPr>
                      <a:spPr>
                        <a:xfrm rot="10800000" flipV="1">
                          <a:off x="1524000" y="3657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0" name="Straight Connector 19"/>
                        <a:cNvCxnSpPr/>
                      </a:nvCxnSpPr>
                      <a:spPr>
                        <a:xfrm rot="5400000">
                          <a:off x="3581400" y="39624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1" name="TextBox 20"/>
                        <a:cNvSpPr txBox="1"/>
                      </a:nvSpPr>
                      <a:spPr>
                        <a:xfrm rot="10800000" flipV="1">
                          <a:off x="3505200" y="3657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2" name="Straight Connector 21"/>
                        <a:cNvCxnSpPr/>
                      </a:nvCxnSpPr>
                      <a:spPr>
                        <a:xfrm rot="5400000">
                          <a:off x="5562600" y="3962400"/>
                          <a:ext cx="152400" cy="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3" name="TextBox 22"/>
                        <a:cNvSpPr txBox="1"/>
                      </a:nvSpPr>
                      <a:spPr>
                        <a:xfrm rot="10800000" flipV="1">
                          <a:off x="5486400" y="3657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15</a:t>
                            </a:r>
                            <a:endParaRPr lang="en-US" sz="1000" dirty="0">
                              <a:solidFill>
                                <a:schemeClr val="tx2">
                                  <a:lumMod val="75000"/>
                                </a:schemeClr>
                              </a:solidFill>
                            </a:endParaRPr>
                          </a:p>
                        </a:txBody>
                        <a:useSpRect/>
                      </a:txSp>
                    </a:sp>
                    <a:cxnSp>
                      <a:nvCxnSpPr>
                        <a:cNvPr id="24" name="Straight Connector 23"/>
                        <a:cNvCxnSpPr>
                          <a:stCxn id="119" idx="3"/>
                        </a:cNvCxnSpPr>
                      </a:nvCxnSpPr>
                      <a:spPr>
                        <a:xfrm>
                          <a:off x="7010400" y="2552700"/>
                          <a:ext cx="0" cy="148590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5" name="TextBox 24"/>
                        <a:cNvSpPr txBox="1"/>
                      </a:nvSpPr>
                      <a:spPr>
                        <a:xfrm rot="10800000" flipV="1">
                          <a:off x="6781800" y="4038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7</a:t>
                            </a:r>
                            <a:endParaRPr lang="en-US" sz="1000" dirty="0">
                              <a:solidFill>
                                <a:schemeClr val="tx2">
                                  <a:lumMod val="75000"/>
                                </a:schemeClr>
                              </a:solidFill>
                            </a:endParaRPr>
                          </a:p>
                        </a:txBody>
                        <a:useSpRect/>
                      </a:txSp>
                    </a:sp>
                    <a:cxnSp>
                      <a:nvCxnSpPr>
                        <a:cNvPr id="26" name="Straight Connector 25"/>
                        <a:cNvCxnSpPr>
                          <a:stCxn id="120" idx="3"/>
                        </a:cNvCxnSpPr>
                      </a:nvCxnSpPr>
                      <a:spPr>
                        <a:xfrm>
                          <a:off x="7467600" y="2857500"/>
                          <a:ext cx="0" cy="118110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7" name="TextBox 26"/>
                        <a:cNvSpPr txBox="1"/>
                      </a:nvSpPr>
                      <a:spPr>
                        <a:xfrm rot="10800000" flipV="1">
                          <a:off x="7239000" y="41148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14</a:t>
                            </a:r>
                            <a:endParaRPr lang="en-US" sz="1000" dirty="0">
                              <a:solidFill>
                                <a:schemeClr val="tx2">
                                  <a:lumMod val="75000"/>
                                </a:schemeClr>
                              </a:solidFill>
                            </a:endParaRPr>
                          </a:p>
                        </a:txBody>
                        <a:useSpRect/>
                      </a:txSp>
                    </a:sp>
                    <a:cxnSp>
                      <a:nvCxnSpPr>
                        <a:cNvPr id="28" name="Straight Connector 27"/>
                        <a:cNvCxnSpPr>
                          <a:stCxn id="121" idx="3"/>
                        </a:cNvCxnSpPr>
                      </a:nvCxnSpPr>
                      <a:spPr>
                        <a:xfrm>
                          <a:off x="7848600" y="3162300"/>
                          <a:ext cx="0" cy="876300"/>
                        </a:xfrm>
                        <a:prstGeom prst="line">
                          <a:avLst/>
                        </a:prstGeom>
                        <a:ln w="28575"/>
                      </a:spPr>
                      <a:style>
                        <a:lnRef idx="1">
                          <a:schemeClr val="accent1"/>
                        </a:lnRef>
                        <a:fillRef idx="0">
                          <a:schemeClr val="accent1"/>
                        </a:fillRef>
                        <a:effectRef idx="0">
                          <a:schemeClr val="accent1"/>
                        </a:effectRef>
                        <a:fontRef idx="minor">
                          <a:schemeClr val="tx1"/>
                        </a:fontRef>
                      </a:style>
                    </a:cxnSp>
                    <a:sp>
                      <a:nvSpPr>
                        <a:cNvPr id="29" name="TextBox 28"/>
                        <a:cNvSpPr txBox="1"/>
                      </a:nvSpPr>
                      <a:spPr>
                        <a:xfrm rot="10800000" flipV="1">
                          <a:off x="7696200" y="4038600"/>
                          <a:ext cx="381000" cy="246221"/>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000" dirty="0" smtClean="0">
                                <a:solidFill>
                                  <a:schemeClr val="tx2">
                                    <a:lumMod val="75000"/>
                                  </a:schemeClr>
                                </a:solidFill>
                              </a:rPr>
                              <a:t>21</a:t>
                            </a:r>
                            <a:endParaRPr lang="en-US" sz="1000" dirty="0">
                              <a:solidFill>
                                <a:schemeClr val="tx2">
                                  <a:lumMod val="75000"/>
                                </a:schemeClr>
                              </a:solidFill>
                            </a:endParaRPr>
                          </a:p>
                        </a:txBody>
                        <a:useSpRect/>
                      </a:txSp>
                    </a:sp>
                    <a:sp>
                      <a:nvSpPr>
                        <a:cNvPr id="35" name="Rectangle 34"/>
                        <a:cNvSpPr/>
                      </a:nvSpPr>
                      <a:spPr>
                        <a:xfrm>
                          <a:off x="1676400" y="24384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Model for Week of Apr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6" name="Rectangle 35"/>
                        <a:cNvSpPr/>
                      </a:nvSpPr>
                      <a:spPr>
                        <a:xfrm>
                          <a:off x="1676400" y="27432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7</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Rectangle 36"/>
                        <a:cNvSpPr/>
                      </a:nvSpPr>
                      <a:spPr>
                        <a:xfrm>
                          <a:off x="1676400" y="30480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14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8" name="Rectangle 37"/>
                        <a:cNvSpPr/>
                      </a:nvSpPr>
                      <a:spPr>
                        <a:xfrm>
                          <a:off x="1676400" y="3352800"/>
                          <a:ext cx="1905000" cy="2286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21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9" name="Rectangle 38"/>
                        <a:cNvSpPr/>
                      </a:nvSpPr>
                      <a:spPr>
                        <a:xfrm>
                          <a:off x="3733800" y="24384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0" name="Rectangle 39"/>
                        <a:cNvSpPr/>
                      </a:nvSpPr>
                      <a:spPr>
                        <a:xfrm>
                          <a:off x="3733800" y="27432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7</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1" name="Rectangle 40"/>
                        <a:cNvSpPr/>
                      </a:nvSpPr>
                      <a:spPr>
                        <a:xfrm>
                          <a:off x="3733800" y="30480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14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2" name="Rectangle 41"/>
                        <a:cNvSpPr/>
                      </a:nvSpPr>
                      <a:spPr>
                        <a:xfrm>
                          <a:off x="3733800" y="3352800"/>
                          <a:ext cx="1905000" cy="228600"/>
                        </a:xfrm>
                        <a:prstGeom prst="rect">
                          <a:avLst/>
                        </a:prstGeom>
                        <a:solidFill>
                          <a:schemeClr val="accent2">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Model for Week of Apr 21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3" name="Rectangle 42"/>
                        <a:cNvSpPr/>
                      </a:nvSpPr>
                      <a:spPr>
                        <a:xfrm>
                          <a:off x="5715000" y="2438400"/>
                          <a:ext cx="8382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 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4" name="Rectangle 43"/>
                        <a:cNvSpPr/>
                      </a:nvSpPr>
                      <a:spPr>
                        <a:xfrm>
                          <a:off x="5715000" y="2743200"/>
                          <a:ext cx="1295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 Apr 7</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5" name="Rectangle 44"/>
                        <a:cNvSpPr/>
                      </a:nvSpPr>
                      <a:spPr>
                        <a:xfrm>
                          <a:off x="5715000" y="3048000"/>
                          <a:ext cx="16764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 14</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6" name="Rectangle 45"/>
                        <a:cNvSpPr/>
                      </a:nvSpPr>
                      <a:spPr>
                        <a:xfrm>
                          <a:off x="5715000" y="3352800"/>
                          <a:ext cx="2133600" cy="228600"/>
                        </a:xfrm>
                        <a:prstGeom prst="rect">
                          <a:avLst/>
                        </a:prstGeom>
                        <a:solidFill>
                          <a:schemeClr val="accent3">
                            <a:lumMod val="75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 21</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TextBox 46"/>
                        <a:cNvSpPr txBox="1"/>
                      </a:nvSpPr>
                      <a:spPr>
                        <a:xfrm>
                          <a:off x="1676400" y="1981200"/>
                          <a:ext cx="1702197"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tx2">
                                    <a:lumMod val="75000"/>
                                  </a:schemeClr>
                                </a:solidFill>
                              </a:rPr>
                              <a:t>Initial </a:t>
                            </a:r>
                            <a:r>
                              <a:rPr lang="en-US" dirty="0" smtClean="0">
                                <a:solidFill>
                                  <a:schemeClr val="tx2">
                                    <a:lumMod val="75000"/>
                                  </a:schemeClr>
                                </a:solidFill>
                              </a:rPr>
                              <a:t>Validation</a:t>
                            </a:r>
                            <a:endParaRPr lang="en-US" dirty="0" smtClean="0">
                              <a:solidFill>
                                <a:schemeClr val="tx2">
                                  <a:lumMod val="75000"/>
                                </a:schemeClr>
                              </a:solidFill>
                            </a:endParaRPr>
                          </a:p>
                        </a:txBody>
                        <a:useSpRect/>
                      </a:txSp>
                    </a:sp>
                    <a:sp>
                      <a:nvSpPr>
                        <a:cNvPr id="48" name="TextBox 47"/>
                        <a:cNvSpPr txBox="1"/>
                      </a:nvSpPr>
                      <a:spPr>
                        <a:xfrm>
                          <a:off x="3810000" y="1981200"/>
                          <a:ext cx="1852238"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2">
                                    <a:lumMod val="75000"/>
                                  </a:schemeClr>
                                </a:solidFill>
                              </a:rPr>
                              <a:t>Market </a:t>
                            </a:r>
                            <a:r>
                              <a:rPr lang="en-US" dirty="0" smtClean="0">
                                <a:solidFill>
                                  <a:schemeClr val="accent2">
                                    <a:lumMod val="75000"/>
                                  </a:schemeClr>
                                </a:solidFill>
                              </a:rPr>
                              <a:t>Validation</a:t>
                            </a:r>
                            <a:endParaRPr lang="en-US" dirty="0" smtClean="0">
                              <a:solidFill>
                                <a:schemeClr val="accent2">
                                  <a:lumMod val="75000"/>
                                </a:schemeClr>
                              </a:solidFill>
                            </a:endParaRPr>
                          </a:p>
                        </a:txBody>
                        <a:useSpRect/>
                      </a:txSp>
                    </a:sp>
                    <a:sp>
                      <a:nvSpPr>
                        <a:cNvPr id="49" name="TextBox 48"/>
                        <a:cNvSpPr txBox="1"/>
                      </a:nvSpPr>
                      <a:spPr>
                        <a:xfrm>
                          <a:off x="6019800" y="1981200"/>
                          <a:ext cx="1620444"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solidFill>
                                  <a:schemeClr val="accent3">
                                    <a:lumMod val="50000"/>
                                  </a:schemeClr>
                                </a:solidFill>
                              </a:rPr>
                              <a:t>Final </a:t>
                            </a:r>
                            <a:r>
                              <a:rPr lang="en-US" dirty="0" smtClean="0">
                                <a:solidFill>
                                  <a:schemeClr val="accent3">
                                    <a:lumMod val="50000"/>
                                  </a:schemeClr>
                                </a:solidFill>
                              </a:rPr>
                              <a:t>Validation</a:t>
                            </a:r>
                            <a:endParaRPr lang="en-US" dirty="0" smtClean="0">
                              <a:solidFill>
                                <a:schemeClr val="accent3">
                                  <a:lumMod val="50000"/>
                                </a:schemeClr>
                              </a:solidFill>
                            </a:endParaRPr>
                          </a:p>
                        </a:txBody>
                        <a:useSpRect/>
                      </a:txSp>
                    </a:sp>
                    <a:sp>
                      <a:nvSpPr>
                        <a:cNvPr id="70" name="Rectangle 69"/>
                        <a:cNvSpPr/>
                      </a:nvSpPr>
                      <a:spPr>
                        <a:xfrm>
                          <a:off x="914400" y="2438400"/>
                          <a:ext cx="685800" cy="1143000"/>
                        </a:xfrm>
                        <a:prstGeom prst="rect">
                          <a:avLst/>
                        </a:prstGeom>
                        <a:solidFill>
                          <a:schemeClr val="tx2">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1200" dirty="0" smtClean="0"/>
                              <a:t>April</a:t>
                            </a:r>
                          </a:p>
                          <a:p>
                            <a:pPr algn="ctr"/>
                            <a:r>
                              <a:rPr lang="en-US" sz="1200" dirty="0" smtClean="0"/>
                              <a:t>NOMCR</a:t>
                            </a:r>
                          </a:p>
                          <a:p>
                            <a:pPr algn="ctr"/>
                            <a:r>
                              <a:rPr lang="en-US" sz="1200" dirty="0" smtClean="0"/>
                              <a:t>Processing</a:t>
                            </a:r>
                            <a:endParaRPr lang="en-US" sz="1200"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19" name="Rectangle 118"/>
                        <a:cNvSpPr/>
                      </a:nvSpPr>
                      <a:spPr>
                        <a:xfrm>
                          <a:off x="6553200" y="24384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0" name="Rectangle 119"/>
                        <a:cNvSpPr/>
                      </a:nvSpPr>
                      <a:spPr>
                        <a:xfrm>
                          <a:off x="7010400" y="27432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1" name="Rectangle 120"/>
                        <a:cNvSpPr/>
                      </a:nvSpPr>
                      <a:spPr>
                        <a:xfrm>
                          <a:off x="7391400" y="30480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2" name="Rectangle 121"/>
                        <a:cNvSpPr/>
                      </a:nvSpPr>
                      <a:spPr>
                        <a:xfrm>
                          <a:off x="7848600" y="3352800"/>
                          <a:ext cx="457200" cy="228600"/>
                        </a:xfrm>
                        <a:prstGeom prst="rect">
                          <a:avLst/>
                        </a:prstGeom>
                        <a:solidFill>
                          <a:schemeClr val="bg1"/>
                        </a:solidFill>
                        <a:ln>
                          <a:solidFill>
                            <a:schemeClr val="accent3">
                              <a:lumMod val="75000"/>
                            </a:schemeClr>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en-US" sz="800" dirty="0" smtClean="0">
                                <a:solidFill>
                                  <a:schemeClr val="accent3">
                                    <a:lumMod val="50000"/>
                                  </a:schemeClr>
                                </a:solidFill>
                              </a:rPr>
                              <a:t>Production</a:t>
                            </a:r>
                            <a:endParaRPr lang="en-US" sz="800" dirty="0">
                              <a:solidFill>
                                <a:schemeClr val="accent3">
                                  <a:lumMod val="50000"/>
                                </a:schemeClr>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3" name="Rectangle 62"/>
                        <a:cNvSpPr/>
                      </a:nvSpPr>
                      <a:spPr>
                        <a:xfrm>
                          <a:off x="3200400" y="4648200"/>
                          <a:ext cx="994183" cy="400110"/>
                        </a:xfrm>
                        <a:prstGeom prst="rect">
                          <a:avLst/>
                        </a:prstGeom>
                      </a:spPr>
                      <a:txSp>
                        <a:txBody>
                          <a:bodyPr wrap="non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r>
                              <a:rPr lang="en-US" sz="1000" dirty="0" smtClean="0">
                                <a:solidFill>
                                  <a:schemeClr val="tx2">
                                    <a:lumMod val="75000"/>
                                  </a:schemeClr>
                                </a:solidFill>
                              </a:rPr>
                              <a:t>CIM Models</a:t>
                            </a:r>
                          </a:p>
                          <a:p>
                            <a:pPr algn="ctr"/>
                            <a:r>
                              <a:rPr lang="en-US" sz="1000" dirty="0" smtClean="0">
                                <a:solidFill>
                                  <a:schemeClr val="tx2">
                                    <a:lumMod val="75000"/>
                                  </a:schemeClr>
                                </a:solidFill>
                              </a:rPr>
                              <a:t>Posted for April</a:t>
                            </a:r>
                          </a:p>
                        </a:txBody>
                        <a:useSpRect/>
                      </a:txSp>
                    </a:sp>
                    <a:cxnSp>
                      <a:nvCxnSpPr>
                        <a:cNvPr id="66" name="Straight Arrow Connector 65"/>
                        <a:cNvCxnSpPr/>
                      </a:nvCxnSpPr>
                      <a:spPr>
                        <a:xfrm rot="5400000">
                          <a:off x="3467100" y="4305300"/>
                          <a:ext cx="381000" cy="1588"/>
                        </a:xfrm>
                        <a:prstGeom prst="straightConnector1">
                          <a:avLst/>
                        </a:prstGeom>
                        <a:ln w="25400">
                          <a:solidFill>
                            <a:schemeClr val="tx1"/>
                          </a:solidFill>
                          <a:tailEnd type="arrow"/>
                        </a:ln>
                      </a:spPr>
                      <a:style>
                        <a:lnRef idx="1">
                          <a:schemeClr val="accent1"/>
                        </a:lnRef>
                        <a:fillRef idx="0">
                          <a:schemeClr val="accent1"/>
                        </a:fillRef>
                        <a:effectRef idx="0">
                          <a:schemeClr val="accent1"/>
                        </a:effectRef>
                        <a:fontRef idx="minor">
                          <a:schemeClr val="tx1"/>
                        </a:fontRef>
                      </a:style>
                    </a:cxnSp>
                  </a:grpSp>
                </lc:lockedCanvas>
              </a:graphicData>
            </a:graphic>
          </wp:inline>
        </w:drawing>
      </w:r>
    </w:p>
    <w:p w:rsidR="00D1027D" w:rsidRDefault="00D1027D" w:rsidP="00B27F0E">
      <w:pPr>
        <w:pStyle w:val="Heading2"/>
        <w:ind w:left="0"/>
        <w:rPr>
          <w:rFonts w:asciiTheme="minorHAnsi" w:hAnsiTheme="minorHAnsi"/>
          <w:color w:val="auto"/>
          <w:sz w:val="22"/>
          <w:szCs w:val="22"/>
        </w:rPr>
      </w:pPr>
      <w:bookmarkStart w:id="10" w:name="_Toc262741615"/>
      <w:r>
        <w:rPr>
          <w:rFonts w:asciiTheme="minorHAnsi" w:hAnsiTheme="minorHAnsi"/>
          <w:color w:val="auto"/>
          <w:sz w:val="22"/>
          <w:szCs w:val="22"/>
        </w:rPr>
        <w:t>Cumulative Nature of Temporal modeling in Nodal</w:t>
      </w:r>
      <w:bookmarkEnd w:id="10"/>
    </w:p>
    <w:p w:rsidR="00D1027D" w:rsidRPr="00D1027D" w:rsidRDefault="00D1027D" w:rsidP="00AC5FDC">
      <w:pPr>
        <w:jc w:val="both"/>
      </w:pPr>
      <w:r>
        <w:t xml:space="preserve">The Nodal Network Model database differs from the Zonal Network Model database in terms of </w:t>
      </w:r>
      <w:r w:rsidR="00C87FA9">
        <w:t xml:space="preserve">the </w:t>
      </w:r>
      <w:r>
        <w:t xml:space="preserve">ability to model future equipment.  The current Zonal Network Model database has a limited ability to model future equipment.   A model exported from the Zonal system is intended to be used in the near </w:t>
      </w:r>
      <w:r>
        <w:lastRenderedPageBreak/>
        <w:t xml:space="preserve">future.   Conversely, the Nodal Network Model database has the ability to export models for any time </w:t>
      </w:r>
      <w:r w:rsidR="00C87FA9">
        <w:t>up to</w:t>
      </w:r>
      <w:r>
        <w:t xml:space="preserve"> a year into the future.  This feature adds </w:t>
      </w:r>
      <w:r w:rsidR="00C87FA9">
        <w:t>a time-</w:t>
      </w:r>
      <w:r>
        <w:t xml:space="preserve">dependence to the modeling environment.  A change made in the Nodal database four months from now may be dependent on another change just two months in the future.  The data found in future models is an accumulation of previous month’s changes.  This dependency leads to an important consideration for </w:t>
      </w:r>
      <w:r w:rsidR="00E0741B">
        <w:t>Nodal modeling</w:t>
      </w:r>
      <w:r w:rsidR="00C87FA9">
        <w:t xml:space="preserve"> and th</w:t>
      </w:r>
      <w:r w:rsidR="00706960">
        <w:t xml:space="preserve">e timelines for data submission.  </w:t>
      </w:r>
      <w:r w:rsidR="00E0741B">
        <w:t xml:space="preserve">  </w:t>
      </w:r>
      <w:r w:rsidR="00706960">
        <w:t xml:space="preserve">Modelers must take into consideration the fact that </w:t>
      </w:r>
      <w:r w:rsidR="00E0741B">
        <w:t xml:space="preserve">Models for time periods in </w:t>
      </w:r>
      <w:r>
        <w:t>the near future must be</w:t>
      </w:r>
      <w:r w:rsidR="00E0741B">
        <w:t xml:space="preserve"> finalized before models for </w:t>
      </w:r>
      <w:r w:rsidR="00706960">
        <w:t>subsequent time periods can be developed.</w:t>
      </w:r>
    </w:p>
    <w:p w:rsidR="00B27F0E" w:rsidRDefault="0030010F" w:rsidP="00AC5FDC">
      <w:pPr>
        <w:pStyle w:val="Heading2"/>
        <w:ind w:left="0"/>
        <w:jc w:val="both"/>
        <w:rPr>
          <w:rFonts w:asciiTheme="minorHAnsi" w:hAnsiTheme="minorHAnsi"/>
          <w:color w:val="auto"/>
          <w:sz w:val="22"/>
          <w:szCs w:val="22"/>
        </w:rPr>
      </w:pPr>
      <w:bookmarkStart w:id="11" w:name="_Toc262741616"/>
      <w:r>
        <w:rPr>
          <w:rFonts w:asciiTheme="minorHAnsi" w:hAnsiTheme="minorHAnsi"/>
          <w:color w:val="auto"/>
          <w:sz w:val="22"/>
          <w:szCs w:val="22"/>
        </w:rPr>
        <w:t>Graduated Approach to the Nodal Timeline</w:t>
      </w:r>
      <w:bookmarkEnd w:id="11"/>
    </w:p>
    <w:p w:rsidR="00635F7A" w:rsidRPr="00635F7A" w:rsidRDefault="00D1027D" w:rsidP="00635F7A">
      <w:pPr>
        <w:jc w:val="both"/>
      </w:pPr>
      <w:r>
        <w:t>In order to move from the current Zonal data submission timelin</w:t>
      </w:r>
      <w:r w:rsidR="00706960">
        <w:t>e into the data submission timeline outlined in Nodal Protocols</w:t>
      </w:r>
      <w:r w:rsidR="00066307">
        <w:t>,</w:t>
      </w:r>
      <w:r w:rsidR="00706960">
        <w:t xml:space="preserve"> a transition period needs to occur.  September 1, 2010 has been established in Nodal Protocols as the deadline for data submissions into the Nodal Network Model for December</w:t>
      </w:r>
      <w:r w:rsidR="00166974">
        <w:t>,</w:t>
      </w:r>
      <w:r w:rsidR="00706960">
        <w:t xml:space="preserve"> 2010.  December 1, 2010 is the Nodal go-live date.  </w:t>
      </w:r>
      <w:r w:rsidR="00503E5F">
        <w:t xml:space="preserve">  Because of the time-dependency of the data modeling in Nodal it is not possible to move directly into the September 1, 2010 deadline without a transition.</w:t>
      </w:r>
    </w:p>
    <w:p w:rsidR="00635F7A" w:rsidRDefault="00706960" w:rsidP="00AC5FDC">
      <w:pPr>
        <w:jc w:val="both"/>
      </w:pPr>
      <w:r>
        <w:t xml:space="preserve">ERCOT is putting forth the following transition plan for the months of July 2010 through the end of November 2010.  While this timeline is for the purpose of transitioning into Nodal, it will also be binding for data entry into the Zonal Network Model database (see illustration for SEM).  </w:t>
      </w:r>
    </w:p>
    <w:p w:rsidR="000066FB" w:rsidRDefault="00706960" w:rsidP="000066FB">
      <w:pPr>
        <w:jc w:val="both"/>
      </w:pPr>
      <w:r>
        <w:t xml:space="preserve">The </w:t>
      </w:r>
      <w:r w:rsidR="000A2B9E">
        <w:t xml:space="preserve">table </w:t>
      </w:r>
      <w:r>
        <w:t>below illustrates the deadlines for the transition plan.</w:t>
      </w:r>
    </w:p>
    <w:p w:rsidR="00AE543F" w:rsidRDefault="000066FB" w:rsidP="000066FB">
      <w:pPr>
        <w:jc w:val="center"/>
      </w:pPr>
      <w:r w:rsidRPr="000066FB">
        <w:drawing>
          <wp:inline distT="0" distB="0" distL="0" distR="0">
            <wp:extent cx="4834257" cy="4170456"/>
            <wp:effectExtent l="19050" t="0" r="4443" b="0"/>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srcRect/>
                    <a:stretch>
                      <a:fillRect/>
                    </a:stretch>
                  </pic:blipFill>
                  <pic:spPr bwMode="auto">
                    <a:xfrm>
                      <a:off x="0" y="0"/>
                      <a:ext cx="4837346" cy="4173121"/>
                    </a:xfrm>
                    <a:prstGeom prst="rect">
                      <a:avLst/>
                    </a:prstGeom>
                    <a:noFill/>
                    <a:ln w="9525">
                      <a:noFill/>
                      <a:miter lim="800000"/>
                      <a:headEnd/>
                      <a:tailEnd/>
                    </a:ln>
                  </pic:spPr>
                </pic:pic>
              </a:graphicData>
            </a:graphic>
          </wp:inline>
        </w:drawing>
      </w:r>
    </w:p>
    <w:p w:rsidR="009D4A8B" w:rsidRDefault="00917191" w:rsidP="00126EEC">
      <w:pPr>
        <w:ind w:right="450"/>
        <w:jc w:val="both"/>
      </w:pPr>
      <w:r>
        <w:lastRenderedPageBreak/>
        <w:t>The illustration in Appendix A</w:t>
      </w:r>
      <w:r w:rsidR="009D4A8B">
        <w:t xml:space="preserve"> uses the above deadlines to demonstrate how the validation process will be conducted for each of the Nodal models that will be used in production a</w:t>
      </w:r>
      <w:r>
        <w:t>s well as</w:t>
      </w:r>
      <w:r w:rsidR="009D4A8B">
        <w:t xml:space="preserve"> when the models are scheduled to be posted.</w:t>
      </w:r>
    </w:p>
    <w:p w:rsidR="00F628B9" w:rsidRPr="00917191" w:rsidRDefault="00F628B9" w:rsidP="00126EEC">
      <w:pPr>
        <w:pStyle w:val="Heading2"/>
        <w:ind w:left="0"/>
        <w:jc w:val="both"/>
        <w:rPr>
          <w:rFonts w:ascii="Calibri" w:hAnsi="Calibri"/>
          <w:color w:val="auto"/>
          <w:sz w:val="22"/>
          <w:szCs w:val="22"/>
        </w:rPr>
      </w:pPr>
      <w:bookmarkStart w:id="12" w:name="_Toc262741617"/>
      <w:r w:rsidRPr="00917191">
        <w:rPr>
          <w:rFonts w:ascii="Calibri" w:hAnsi="Calibri"/>
          <w:color w:val="auto"/>
          <w:sz w:val="22"/>
          <w:szCs w:val="22"/>
        </w:rPr>
        <w:t>Interim Updates during the Transition</w:t>
      </w:r>
      <w:bookmarkEnd w:id="12"/>
    </w:p>
    <w:p w:rsidR="001D1B30" w:rsidRDefault="001D1B30" w:rsidP="00126EEC">
      <w:pPr>
        <w:jc w:val="both"/>
        <w:rPr>
          <w:color w:val="1F497D"/>
        </w:rPr>
      </w:pPr>
      <w:r>
        <w:t>Model change submissions that fall outside the Transition Period timeline will be subject to the Interim Update status as defined by the ERCOT Nodal Protocols.</w:t>
      </w:r>
      <w:r>
        <w:rPr>
          <w:rStyle w:val="FootnoteReference"/>
        </w:rPr>
        <w:footnoteReference w:customMarkFollows="1" w:id="3"/>
        <w:t>[1]</w:t>
      </w:r>
      <w:r>
        <w:t xml:space="preserve">  Per protocols Interim Updates are included in the model at the discretion of ERCOT and are reported to the PUCT and IMM.  Given that section 3.10 of Nodal Protocols will not be activated until 9/1/2010, the Interim Update reports during the Transition Period will be distributed to the ERCOT </w:t>
      </w:r>
      <w:r w:rsidR="00126EEC">
        <w:t>Board of Directors for Review</w:t>
      </w:r>
      <w:r>
        <w:t>.  The table below outlines the schedule and effective dates for the Interim Update Report.</w:t>
      </w:r>
    </w:p>
    <w:p w:rsidR="00917191" w:rsidRDefault="00917191" w:rsidP="00F26323">
      <w:pPr>
        <w:ind w:left="270" w:right="450"/>
        <w:jc w:val="center"/>
      </w:pPr>
    </w:p>
    <w:p w:rsidR="006D0CC8" w:rsidRDefault="00126EEC" w:rsidP="006D0CC8">
      <w:pPr>
        <w:jc w:val="center"/>
        <w:rPr>
          <w:rFonts w:ascii="Calibri" w:eastAsiaTheme="majorEastAsia" w:hAnsi="Calibri" w:cstheme="majorBidi"/>
          <w:b/>
          <w:bCs/>
        </w:rPr>
      </w:pPr>
      <w:r w:rsidRPr="00126EEC">
        <w:drawing>
          <wp:inline distT="0" distB="0" distL="0" distR="0">
            <wp:extent cx="4389120" cy="2273935"/>
            <wp:effectExtent l="19050" t="0" r="0" b="0"/>
            <wp:docPr id="18"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srcRect/>
                    <a:stretch>
                      <a:fillRect/>
                    </a:stretch>
                  </pic:blipFill>
                  <pic:spPr bwMode="auto">
                    <a:xfrm>
                      <a:off x="0" y="0"/>
                      <a:ext cx="4389120" cy="2273935"/>
                    </a:xfrm>
                    <a:prstGeom prst="rect">
                      <a:avLst/>
                    </a:prstGeom>
                    <a:noFill/>
                    <a:ln w="9525">
                      <a:noFill/>
                      <a:miter lim="800000"/>
                      <a:headEnd/>
                      <a:tailEnd/>
                    </a:ln>
                  </pic:spPr>
                </pic:pic>
              </a:graphicData>
            </a:graphic>
          </wp:inline>
        </w:drawing>
      </w:r>
    </w:p>
    <w:p w:rsidR="000066FB" w:rsidRDefault="000066FB" w:rsidP="006D0CC8">
      <w:pPr>
        <w:jc w:val="center"/>
        <w:rPr>
          <w:rFonts w:ascii="Calibri" w:eastAsiaTheme="majorEastAsia" w:hAnsi="Calibri" w:cstheme="majorBidi"/>
          <w:b/>
          <w:bCs/>
        </w:rPr>
      </w:pPr>
    </w:p>
    <w:p w:rsidR="000066FB" w:rsidRDefault="000066FB">
      <w:pPr>
        <w:rPr>
          <w:rFonts w:eastAsiaTheme="majorEastAsia" w:cstheme="majorBidi"/>
          <w:b/>
          <w:bCs/>
        </w:rPr>
      </w:pPr>
      <w:r>
        <w:br w:type="page"/>
      </w:r>
    </w:p>
    <w:p w:rsidR="00917191" w:rsidRPr="003A6263" w:rsidRDefault="00917191" w:rsidP="003A6263">
      <w:pPr>
        <w:pStyle w:val="Heading1"/>
        <w:rPr>
          <w:rFonts w:asciiTheme="minorHAnsi" w:hAnsiTheme="minorHAnsi"/>
          <w:color w:val="auto"/>
          <w:sz w:val="22"/>
          <w:szCs w:val="22"/>
        </w:rPr>
      </w:pPr>
      <w:bookmarkStart w:id="13" w:name="_Toc262741618"/>
      <w:r w:rsidRPr="003A6263">
        <w:rPr>
          <w:rFonts w:asciiTheme="minorHAnsi" w:hAnsiTheme="minorHAnsi"/>
          <w:color w:val="auto"/>
          <w:sz w:val="22"/>
          <w:szCs w:val="22"/>
        </w:rPr>
        <w:lastRenderedPageBreak/>
        <w:t>Appendix A</w:t>
      </w:r>
      <w:bookmarkEnd w:id="13"/>
    </w:p>
    <w:p w:rsidR="002677BB" w:rsidRDefault="000066FB" w:rsidP="00917191">
      <w:pPr>
        <w:pStyle w:val="Heading2"/>
        <w:numPr>
          <w:ilvl w:val="0"/>
          <w:numId w:val="0"/>
        </w:numPr>
        <w:tabs>
          <w:tab w:val="left" w:pos="360"/>
        </w:tabs>
        <w:ind w:left="-900" w:right="-540"/>
        <w:jc w:val="center"/>
      </w:pPr>
      <w:r w:rsidRPr="000066FB">
        <w:drawing>
          <wp:inline distT="0" distB="0" distL="0" distR="0">
            <wp:extent cx="7145075" cy="5828306"/>
            <wp:effectExtent l="19050" t="0" r="0" b="0"/>
            <wp:docPr id="1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7152156" cy="5834082"/>
                    </a:xfrm>
                    <a:prstGeom prst="rect">
                      <a:avLst/>
                    </a:prstGeom>
                    <a:noFill/>
                    <a:ln w="9525">
                      <a:noFill/>
                      <a:miter lim="800000"/>
                      <a:headEnd/>
                      <a:tailEnd/>
                    </a:ln>
                  </pic:spPr>
                </pic:pic>
              </a:graphicData>
            </a:graphic>
          </wp:inline>
        </w:drawing>
      </w:r>
    </w:p>
    <w:p w:rsidR="00917191" w:rsidRDefault="00917191">
      <w:r>
        <w:br w:type="page"/>
      </w:r>
    </w:p>
    <w:p w:rsidR="008E044E" w:rsidRDefault="00917191" w:rsidP="00F209FA">
      <w:pPr>
        <w:pStyle w:val="Heading1"/>
        <w:rPr>
          <w:noProof/>
        </w:rPr>
      </w:pPr>
      <w:bookmarkStart w:id="14" w:name="_Toc262741619"/>
      <w:r w:rsidRPr="003A6263">
        <w:rPr>
          <w:rFonts w:asciiTheme="minorHAnsi" w:hAnsiTheme="minorHAnsi"/>
          <w:color w:val="auto"/>
          <w:sz w:val="22"/>
          <w:szCs w:val="22"/>
        </w:rPr>
        <w:lastRenderedPageBreak/>
        <w:t>Appendix B</w:t>
      </w:r>
      <w:bookmarkEnd w:id="14"/>
    </w:p>
    <w:p w:rsidR="008E044E" w:rsidRDefault="000066FB" w:rsidP="002C149C">
      <w:pPr>
        <w:pStyle w:val="Heading1"/>
        <w:numPr>
          <w:ilvl w:val="0"/>
          <w:numId w:val="0"/>
        </w:numPr>
        <w:ind w:hanging="720"/>
        <w:jc w:val="both"/>
      </w:pPr>
      <w:r w:rsidRPr="000066FB">
        <w:drawing>
          <wp:inline distT="0" distB="0" distL="0" distR="0">
            <wp:extent cx="7126609" cy="5144494"/>
            <wp:effectExtent l="1905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7129822" cy="5146813"/>
                    </a:xfrm>
                    <a:prstGeom prst="rect">
                      <a:avLst/>
                    </a:prstGeom>
                    <a:noFill/>
                    <a:ln w="9525">
                      <a:noFill/>
                      <a:miter lim="800000"/>
                      <a:headEnd/>
                      <a:tailEnd/>
                    </a:ln>
                  </pic:spPr>
                </pic:pic>
              </a:graphicData>
            </a:graphic>
          </wp:inline>
        </w:drawing>
      </w:r>
    </w:p>
    <w:p w:rsidR="00AE543F" w:rsidRPr="008E044E" w:rsidRDefault="00AE543F" w:rsidP="008E044E">
      <w:pPr>
        <w:jc w:val="right"/>
      </w:pPr>
    </w:p>
    <w:sectPr w:rsidR="00AE543F" w:rsidRPr="008E044E" w:rsidSect="00960E3A">
      <w:foot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2A9" w:rsidRDefault="009652A9" w:rsidP="00D31C60">
      <w:pPr>
        <w:spacing w:after="0" w:line="240" w:lineRule="auto"/>
      </w:pPr>
      <w:r>
        <w:separator/>
      </w:r>
    </w:p>
  </w:endnote>
  <w:endnote w:type="continuationSeparator" w:id="0">
    <w:p w:rsidR="009652A9" w:rsidRDefault="009652A9" w:rsidP="00D31C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old">
    <w:panose1 w:val="020B0704020202020204"/>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44E" w:rsidRDefault="008E044E" w:rsidP="000F4991">
    <w:pPr>
      <w:pStyle w:val="Footer"/>
      <w:rPr>
        <w:rFonts w:ascii="Arial" w:hAnsi="Arial" w:cs="Arial"/>
        <w:b/>
        <w:sz w:val="20"/>
        <w:szCs w:val="20"/>
      </w:rPr>
    </w:pPr>
    <w:r>
      <w:rPr>
        <w:rFonts w:ascii="Arial" w:hAnsi="Arial" w:cs="Arial"/>
        <w:b/>
        <w:sz w:val="20"/>
        <w:szCs w:val="20"/>
      </w:rPr>
      <w:tab/>
    </w:r>
    <w:r w:rsidRPr="005E7792">
      <w:rPr>
        <w:rFonts w:ascii="Arial" w:hAnsi="Arial" w:cs="Arial"/>
        <w:sz w:val="20"/>
        <w:szCs w:val="20"/>
      </w:rPr>
      <w:t xml:space="preserve">Page </w:t>
    </w:r>
    <w:r w:rsidRPr="005E7792">
      <w:rPr>
        <w:rFonts w:ascii="Arial" w:hAnsi="Arial" w:cs="Arial"/>
        <w:sz w:val="20"/>
        <w:szCs w:val="20"/>
      </w:rPr>
      <w:fldChar w:fldCharType="begin"/>
    </w:r>
    <w:r w:rsidRPr="005E7792">
      <w:rPr>
        <w:rFonts w:ascii="Arial" w:hAnsi="Arial" w:cs="Arial"/>
        <w:sz w:val="20"/>
        <w:szCs w:val="20"/>
      </w:rPr>
      <w:instrText xml:space="preserve"> PAGE </w:instrText>
    </w:r>
    <w:r w:rsidRPr="005E7792">
      <w:rPr>
        <w:rFonts w:ascii="Arial" w:hAnsi="Arial" w:cs="Arial"/>
        <w:sz w:val="20"/>
        <w:szCs w:val="20"/>
      </w:rPr>
      <w:fldChar w:fldCharType="separate"/>
    </w:r>
    <w:r>
      <w:rPr>
        <w:rFonts w:ascii="Arial" w:hAnsi="Arial" w:cs="Arial"/>
        <w:noProof/>
        <w:sz w:val="20"/>
        <w:szCs w:val="20"/>
      </w:rPr>
      <w:t>2</w:t>
    </w:r>
    <w:r w:rsidRPr="005E7792">
      <w:rPr>
        <w:rFonts w:ascii="Arial" w:hAnsi="Arial" w:cs="Arial"/>
        <w:sz w:val="20"/>
        <w:szCs w:val="20"/>
      </w:rPr>
      <w:fldChar w:fldCharType="end"/>
    </w:r>
    <w:r w:rsidRPr="005E7792">
      <w:rPr>
        <w:rFonts w:ascii="Arial" w:hAnsi="Arial" w:cs="Arial"/>
        <w:sz w:val="20"/>
        <w:szCs w:val="20"/>
      </w:rPr>
      <w:t xml:space="preserve"> of </w:t>
    </w:r>
    <w:r w:rsidRPr="005E7792">
      <w:rPr>
        <w:rFonts w:ascii="Arial" w:hAnsi="Arial" w:cs="Arial"/>
        <w:sz w:val="20"/>
        <w:szCs w:val="20"/>
      </w:rPr>
      <w:fldChar w:fldCharType="begin"/>
    </w:r>
    <w:r w:rsidRPr="005E7792">
      <w:rPr>
        <w:rFonts w:ascii="Arial" w:hAnsi="Arial" w:cs="Arial"/>
        <w:sz w:val="20"/>
        <w:szCs w:val="20"/>
      </w:rPr>
      <w:instrText xml:space="preserve"> NUMPAGES </w:instrText>
    </w:r>
    <w:r w:rsidRPr="005E7792">
      <w:rPr>
        <w:rFonts w:ascii="Arial" w:hAnsi="Arial" w:cs="Arial"/>
        <w:sz w:val="20"/>
        <w:szCs w:val="20"/>
      </w:rPr>
      <w:fldChar w:fldCharType="separate"/>
    </w:r>
    <w:r w:rsidR="00F656D9">
      <w:rPr>
        <w:rFonts w:ascii="Arial" w:hAnsi="Arial" w:cs="Arial"/>
        <w:noProof/>
        <w:sz w:val="20"/>
        <w:szCs w:val="20"/>
      </w:rPr>
      <w:t>11</w:t>
    </w:r>
    <w:r w:rsidRPr="005E7792">
      <w:rPr>
        <w:rFonts w:ascii="Arial" w:hAnsi="Arial" w:cs="Arial"/>
        <w:sz w:val="20"/>
        <w:szCs w:val="20"/>
      </w:rPr>
      <w:fldChar w:fldCharType="end"/>
    </w:r>
    <w:r>
      <w:rPr>
        <w:rFonts w:ascii="Arial" w:hAnsi="Arial" w:cs="Arial"/>
        <w:sz w:val="20"/>
        <w:szCs w:val="20"/>
      </w:rPr>
      <w:tab/>
    </w:r>
  </w:p>
  <w:p w:rsidR="008E044E" w:rsidRDefault="008E04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44E" w:rsidRDefault="008E044E" w:rsidP="000F4991">
    <w:pPr>
      <w:pStyle w:val="Footer"/>
      <w:ind w:left="-540"/>
      <w:rPr>
        <w:rFonts w:ascii="Arial" w:hAnsi="Arial" w:cs="Arial"/>
        <w:b/>
        <w:sz w:val="20"/>
        <w:szCs w:val="20"/>
      </w:rPr>
    </w:pPr>
  </w:p>
  <w:p w:rsidR="008E044E" w:rsidRDefault="008E044E" w:rsidP="000F4991">
    <w:pPr>
      <w:pStyle w:val="Footer"/>
      <w:ind w:left="-540"/>
      <w:rPr>
        <w:rFonts w:ascii="Arial" w:hAnsi="Arial" w:cs="Arial"/>
        <w:b/>
        <w:sz w:val="20"/>
        <w:szCs w:val="20"/>
      </w:rPr>
    </w:pPr>
  </w:p>
  <w:p w:rsidR="008E044E" w:rsidRDefault="008E044E" w:rsidP="000F4991">
    <w:pPr>
      <w:pStyle w:val="Footer"/>
      <w:ind w:left="-540"/>
      <w:rPr>
        <w:rFonts w:ascii="Arial" w:hAnsi="Arial" w:cs="Arial"/>
        <w:b/>
        <w:sz w:val="20"/>
        <w:szCs w:val="20"/>
      </w:rPr>
    </w:pPr>
  </w:p>
  <w:p w:rsidR="008E044E" w:rsidRPr="00F5763A" w:rsidRDefault="008E044E" w:rsidP="000F4991">
    <w:pPr>
      <w:pStyle w:val="Footer"/>
      <w:ind w:left="-540"/>
      <w:rPr>
        <w:rFonts w:ascii="Arial" w:hAnsi="Arial" w:cs="Arial"/>
        <w:b/>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44E" w:rsidRDefault="008E044E" w:rsidP="000F4991">
    <w:pPr>
      <w:pStyle w:val="Footer"/>
      <w:rPr>
        <w:rFonts w:ascii="Arial" w:hAnsi="Arial" w:cs="Arial"/>
        <w:b/>
        <w:sz w:val="20"/>
        <w:szCs w:val="20"/>
      </w:rPr>
    </w:pPr>
    <w:r>
      <w:rPr>
        <w:rFonts w:ascii="Arial" w:hAnsi="Arial" w:cs="Arial"/>
        <w:b/>
        <w:sz w:val="20"/>
        <w:szCs w:val="20"/>
      </w:rPr>
      <w:tab/>
    </w:r>
    <w:r w:rsidRPr="005E7792">
      <w:rPr>
        <w:rFonts w:ascii="Arial" w:hAnsi="Arial" w:cs="Arial"/>
        <w:sz w:val="20"/>
        <w:szCs w:val="20"/>
      </w:rPr>
      <w:t xml:space="preserve">Page </w:t>
    </w:r>
    <w:r w:rsidRPr="005E7792">
      <w:rPr>
        <w:rFonts w:ascii="Arial" w:hAnsi="Arial" w:cs="Arial"/>
        <w:sz w:val="20"/>
        <w:szCs w:val="20"/>
      </w:rPr>
      <w:fldChar w:fldCharType="begin"/>
    </w:r>
    <w:r w:rsidRPr="005E7792">
      <w:rPr>
        <w:rFonts w:ascii="Arial" w:hAnsi="Arial" w:cs="Arial"/>
        <w:sz w:val="20"/>
        <w:szCs w:val="20"/>
      </w:rPr>
      <w:instrText xml:space="preserve"> PAGE </w:instrText>
    </w:r>
    <w:r w:rsidRPr="005E7792">
      <w:rPr>
        <w:rFonts w:ascii="Arial" w:hAnsi="Arial" w:cs="Arial"/>
        <w:sz w:val="20"/>
        <w:szCs w:val="20"/>
      </w:rPr>
      <w:fldChar w:fldCharType="separate"/>
    </w:r>
    <w:r w:rsidR="00126EEC">
      <w:rPr>
        <w:rFonts w:ascii="Arial" w:hAnsi="Arial" w:cs="Arial"/>
        <w:noProof/>
        <w:sz w:val="20"/>
        <w:szCs w:val="20"/>
      </w:rPr>
      <w:t>3</w:t>
    </w:r>
    <w:r w:rsidRPr="005E7792">
      <w:rPr>
        <w:rFonts w:ascii="Arial" w:hAnsi="Arial" w:cs="Arial"/>
        <w:sz w:val="20"/>
        <w:szCs w:val="20"/>
      </w:rPr>
      <w:fldChar w:fldCharType="end"/>
    </w:r>
    <w:r w:rsidRPr="005E7792">
      <w:rPr>
        <w:rFonts w:ascii="Arial" w:hAnsi="Arial" w:cs="Arial"/>
        <w:sz w:val="20"/>
        <w:szCs w:val="20"/>
      </w:rPr>
      <w:t xml:space="preserve"> of </w:t>
    </w:r>
    <w:r w:rsidRPr="005E7792">
      <w:rPr>
        <w:rFonts w:ascii="Arial" w:hAnsi="Arial" w:cs="Arial"/>
        <w:sz w:val="20"/>
        <w:szCs w:val="20"/>
      </w:rPr>
      <w:fldChar w:fldCharType="begin"/>
    </w:r>
    <w:r w:rsidRPr="005E7792">
      <w:rPr>
        <w:rFonts w:ascii="Arial" w:hAnsi="Arial" w:cs="Arial"/>
        <w:sz w:val="20"/>
        <w:szCs w:val="20"/>
      </w:rPr>
      <w:instrText xml:space="preserve"> NUMPAGES </w:instrText>
    </w:r>
    <w:r w:rsidRPr="005E7792">
      <w:rPr>
        <w:rFonts w:ascii="Arial" w:hAnsi="Arial" w:cs="Arial"/>
        <w:sz w:val="20"/>
        <w:szCs w:val="20"/>
      </w:rPr>
      <w:fldChar w:fldCharType="separate"/>
    </w:r>
    <w:r w:rsidR="00126EEC">
      <w:rPr>
        <w:rFonts w:ascii="Arial" w:hAnsi="Arial" w:cs="Arial"/>
        <w:noProof/>
        <w:sz w:val="20"/>
        <w:szCs w:val="20"/>
      </w:rPr>
      <w:t>11</w:t>
    </w:r>
    <w:r w:rsidRPr="005E7792">
      <w:rPr>
        <w:rFonts w:ascii="Arial" w:hAnsi="Arial" w:cs="Arial"/>
        <w:sz w:val="20"/>
        <w:szCs w:val="20"/>
      </w:rPr>
      <w:fldChar w:fldCharType="end"/>
    </w:r>
    <w:r>
      <w:rPr>
        <w:rFonts w:ascii="Arial" w:hAnsi="Arial" w:cs="Arial"/>
        <w:sz w:val="20"/>
        <w:szCs w:val="20"/>
      </w:rPr>
      <w:tab/>
    </w:r>
  </w:p>
  <w:p w:rsidR="008E044E" w:rsidRDefault="008E044E">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44E" w:rsidRDefault="008E044E" w:rsidP="000F4991">
    <w:pPr>
      <w:pStyle w:val="Footer"/>
      <w:rPr>
        <w:rFonts w:ascii="Arial" w:hAnsi="Arial" w:cs="Arial"/>
        <w:b/>
        <w:sz w:val="20"/>
        <w:szCs w:val="20"/>
      </w:rPr>
    </w:pPr>
    <w:r>
      <w:rPr>
        <w:rFonts w:ascii="Arial" w:hAnsi="Arial" w:cs="Arial"/>
        <w:b/>
        <w:sz w:val="20"/>
        <w:szCs w:val="20"/>
      </w:rPr>
      <w:tab/>
    </w:r>
    <w:r w:rsidRPr="005E7792">
      <w:rPr>
        <w:rFonts w:ascii="Arial" w:hAnsi="Arial" w:cs="Arial"/>
        <w:sz w:val="20"/>
        <w:szCs w:val="20"/>
      </w:rPr>
      <w:t xml:space="preserve">Page </w:t>
    </w:r>
    <w:r w:rsidRPr="005E7792">
      <w:rPr>
        <w:rFonts w:ascii="Arial" w:hAnsi="Arial" w:cs="Arial"/>
        <w:sz w:val="20"/>
        <w:szCs w:val="20"/>
      </w:rPr>
      <w:fldChar w:fldCharType="begin"/>
    </w:r>
    <w:r w:rsidRPr="005E7792">
      <w:rPr>
        <w:rFonts w:ascii="Arial" w:hAnsi="Arial" w:cs="Arial"/>
        <w:sz w:val="20"/>
        <w:szCs w:val="20"/>
      </w:rPr>
      <w:instrText xml:space="preserve"> PAGE </w:instrText>
    </w:r>
    <w:r w:rsidRPr="005E7792">
      <w:rPr>
        <w:rFonts w:ascii="Arial" w:hAnsi="Arial" w:cs="Arial"/>
        <w:sz w:val="20"/>
        <w:szCs w:val="20"/>
      </w:rPr>
      <w:fldChar w:fldCharType="separate"/>
    </w:r>
    <w:r w:rsidR="00126EEC">
      <w:rPr>
        <w:rFonts w:ascii="Arial" w:hAnsi="Arial" w:cs="Arial"/>
        <w:noProof/>
        <w:sz w:val="20"/>
        <w:szCs w:val="20"/>
      </w:rPr>
      <w:t>11</w:t>
    </w:r>
    <w:r w:rsidRPr="005E7792">
      <w:rPr>
        <w:rFonts w:ascii="Arial" w:hAnsi="Arial" w:cs="Arial"/>
        <w:sz w:val="20"/>
        <w:szCs w:val="20"/>
      </w:rPr>
      <w:fldChar w:fldCharType="end"/>
    </w:r>
    <w:r w:rsidRPr="005E7792">
      <w:rPr>
        <w:rFonts w:ascii="Arial" w:hAnsi="Arial" w:cs="Arial"/>
        <w:sz w:val="20"/>
        <w:szCs w:val="20"/>
      </w:rPr>
      <w:t xml:space="preserve"> of </w:t>
    </w:r>
    <w:r w:rsidRPr="005E7792">
      <w:rPr>
        <w:rFonts w:ascii="Arial" w:hAnsi="Arial" w:cs="Arial"/>
        <w:sz w:val="20"/>
        <w:szCs w:val="20"/>
      </w:rPr>
      <w:fldChar w:fldCharType="begin"/>
    </w:r>
    <w:r w:rsidRPr="005E7792">
      <w:rPr>
        <w:rFonts w:ascii="Arial" w:hAnsi="Arial" w:cs="Arial"/>
        <w:sz w:val="20"/>
        <w:szCs w:val="20"/>
      </w:rPr>
      <w:instrText xml:space="preserve"> NUMPAGES </w:instrText>
    </w:r>
    <w:r w:rsidRPr="005E7792">
      <w:rPr>
        <w:rFonts w:ascii="Arial" w:hAnsi="Arial" w:cs="Arial"/>
        <w:sz w:val="20"/>
        <w:szCs w:val="20"/>
      </w:rPr>
      <w:fldChar w:fldCharType="separate"/>
    </w:r>
    <w:r w:rsidR="00126EEC">
      <w:rPr>
        <w:rFonts w:ascii="Arial" w:hAnsi="Arial" w:cs="Arial"/>
        <w:noProof/>
        <w:sz w:val="20"/>
        <w:szCs w:val="20"/>
      </w:rPr>
      <w:t>11</w:t>
    </w:r>
    <w:r w:rsidRPr="005E7792">
      <w:rPr>
        <w:rFonts w:ascii="Arial" w:hAnsi="Arial" w:cs="Arial"/>
        <w:sz w:val="20"/>
        <w:szCs w:val="20"/>
      </w:rPr>
      <w:fldChar w:fldCharType="end"/>
    </w:r>
    <w:r>
      <w:rPr>
        <w:rFonts w:ascii="Arial" w:hAnsi="Arial" w:cs="Arial"/>
        <w:sz w:val="20"/>
        <w:szCs w:val="20"/>
      </w:rPr>
      <w:tab/>
    </w:r>
  </w:p>
  <w:p w:rsidR="008E044E" w:rsidRDefault="008E04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2A9" w:rsidRDefault="009652A9" w:rsidP="00D31C60">
      <w:pPr>
        <w:spacing w:after="0" w:line="240" w:lineRule="auto"/>
      </w:pPr>
      <w:r>
        <w:separator/>
      </w:r>
    </w:p>
  </w:footnote>
  <w:footnote w:type="continuationSeparator" w:id="0">
    <w:p w:rsidR="009652A9" w:rsidRDefault="009652A9" w:rsidP="00D31C60">
      <w:pPr>
        <w:spacing w:after="0" w:line="240" w:lineRule="auto"/>
      </w:pPr>
      <w:r>
        <w:continuationSeparator/>
      </w:r>
    </w:p>
  </w:footnote>
  <w:footnote w:id="1">
    <w:p w:rsidR="008E044E" w:rsidRDefault="008E044E">
      <w:pPr>
        <w:pStyle w:val="FootnoteText"/>
      </w:pPr>
      <w:r>
        <w:rPr>
          <w:rStyle w:val="FootnoteReference"/>
        </w:rPr>
        <w:footnoteRef/>
      </w:r>
      <w:r>
        <w:t xml:space="preserve"> ERCOT Protocols 8.8.2.1</w:t>
      </w:r>
    </w:p>
  </w:footnote>
  <w:footnote w:id="2">
    <w:p w:rsidR="008E044E" w:rsidRDefault="008E044E">
      <w:pPr>
        <w:pStyle w:val="FootnoteText"/>
      </w:pPr>
      <w:r>
        <w:rPr>
          <w:rStyle w:val="FootnoteReference"/>
        </w:rPr>
        <w:footnoteRef/>
      </w:r>
      <w:r>
        <w:t xml:space="preserve"> ERCOT Nodal Protocols 3.10.4 (5)</w:t>
      </w:r>
    </w:p>
  </w:footnote>
  <w:footnote w:id="3">
    <w:p w:rsidR="001D1B30" w:rsidRDefault="001D1B30" w:rsidP="001D1B30">
      <w:pPr>
        <w:pStyle w:val="FootnoteText"/>
      </w:pPr>
      <w:r>
        <w:rPr>
          <w:rStyle w:val="FootnoteReference"/>
        </w:rPr>
        <w:t>[1]</w:t>
      </w:r>
      <w:r>
        <w:t xml:space="preserve"> ERCOT Nodal Protocols 3.10.4 (5)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44E" w:rsidRDefault="008E044E" w:rsidP="000F4991">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044E" w:rsidRDefault="008E044E" w:rsidP="000F4991">
    <w:pPr>
      <w:pStyle w:val="Header"/>
      <w:tabs>
        <w:tab w:val="clear" w:pos="8640"/>
        <w:tab w:val="right" w:pos="9180"/>
      </w:tabs>
      <w:ind w:right="-540"/>
      <w:jc w:val="right"/>
    </w:pPr>
  </w:p>
  <w:p w:rsidR="008E044E" w:rsidRDefault="008E044E" w:rsidP="000F4991">
    <w:pPr>
      <w:pStyle w:val="Header"/>
      <w:tabs>
        <w:tab w:val="clear" w:pos="8640"/>
        <w:tab w:val="right" w:pos="9180"/>
      </w:tabs>
      <w:ind w:right="-540"/>
      <w:jc w:val="right"/>
    </w:pPr>
  </w:p>
  <w:p w:rsidR="008E044E" w:rsidRPr="00FC237A" w:rsidRDefault="008E044E" w:rsidP="000F4991">
    <w:pPr>
      <w:pStyle w:val="Header"/>
      <w:tabs>
        <w:tab w:val="clear" w:pos="8640"/>
        <w:tab w:val="right" w:pos="9180"/>
      </w:tabs>
      <w:ind w:right="-540"/>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9.2pt;height:105.2pt">
          <v:imagedata r:id="rId1" o:title="ERCOT_logo_black"/>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238D1"/>
    <w:multiLevelType w:val="hybridMultilevel"/>
    <w:tmpl w:val="F390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920DA6"/>
    <w:multiLevelType w:val="hybridMultilevel"/>
    <w:tmpl w:val="8E5E1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6E5CFF"/>
    <w:multiLevelType w:val="hybridMultilevel"/>
    <w:tmpl w:val="BE9E5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7724E9"/>
    <w:multiLevelType w:val="hybridMultilevel"/>
    <w:tmpl w:val="3766C508"/>
    <w:lvl w:ilvl="0" w:tplc="48F683D6">
      <w:start w:val="3"/>
      <w:numFmt w:val="decimal"/>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27563F2C"/>
    <w:multiLevelType w:val="hybridMultilevel"/>
    <w:tmpl w:val="53C04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814F24"/>
    <w:multiLevelType w:val="hybridMultilevel"/>
    <w:tmpl w:val="59906E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1421D4"/>
    <w:multiLevelType w:val="hybridMultilevel"/>
    <w:tmpl w:val="ECF06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3641AC"/>
    <w:multiLevelType w:val="hybridMultilevel"/>
    <w:tmpl w:val="4CFE2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7C1082F"/>
    <w:multiLevelType w:val="hybridMultilevel"/>
    <w:tmpl w:val="21BEBF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F4C5361"/>
    <w:multiLevelType w:val="hybridMultilevel"/>
    <w:tmpl w:val="02388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1ED2556"/>
    <w:multiLevelType w:val="multilevel"/>
    <w:tmpl w:val="34D4FCEC"/>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1">
    <w:nsid w:val="53BF02AA"/>
    <w:multiLevelType w:val="multilevel"/>
    <w:tmpl w:val="0994B72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2">
    <w:nsid w:val="569673AC"/>
    <w:multiLevelType w:val="multilevel"/>
    <w:tmpl w:val="840084D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5D7F26C9"/>
    <w:multiLevelType w:val="hybridMultilevel"/>
    <w:tmpl w:val="5DE0E3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41A78A4"/>
    <w:multiLevelType w:val="multilevel"/>
    <w:tmpl w:val="D8ACF9A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6C8B5E5E"/>
    <w:multiLevelType w:val="hybridMultilevel"/>
    <w:tmpl w:val="276A9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2E2E10"/>
    <w:multiLevelType w:val="hybridMultilevel"/>
    <w:tmpl w:val="9A16EE6C"/>
    <w:lvl w:ilvl="0" w:tplc="04090001">
      <w:start w:val="1"/>
      <w:numFmt w:val="bullet"/>
      <w:lvlText w:val=""/>
      <w:lvlJc w:val="left"/>
      <w:pPr>
        <w:ind w:left="1484" w:hanging="360"/>
      </w:pPr>
      <w:rPr>
        <w:rFonts w:ascii="Symbol" w:hAnsi="Symbol" w:hint="default"/>
      </w:rPr>
    </w:lvl>
    <w:lvl w:ilvl="1" w:tplc="04090003" w:tentative="1">
      <w:start w:val="1"/>
      <w:numFmt w:val="bullet"/>
      <w:lvlText w:val="o"/>
      <w:lvlJc w:val="left"/>
      <w:pPr>
        <w:ind w:left="2204" w:hanging="360"/>
      </w:pPr>
      <w:rPr>
        <w:rFonts w:ascii="Courier New" w:hAnsi="Courier New" w:cs="Courier New" w:hint="default"/>
      </w:rPr>
    </w:lvl>
    <w:lvl w:ilvl="2" w:tplc="04090005" w:tentative="1">
      <w:start w:val="1"/>
      <w:numFmt w:val="bullet"/>
      <w:lvlText w:val=""/>
      <w:lvlJc w:val="left"/>
      <w:pPr>
        <w:ind w:left="2924" w:hanging="360"/>
      </w:pPr>
      <w:rPr>
        <w:rFonts w:ascii="Wingdings" w:hAnsi="Wingdings" w:hint="default"/>
      </w:rPr>
    </w:lvl>
    <w:lvl w:ilvl="3" w:tplc="04090001" w:tentative="1">
      <w:start w:val="1"/>
      <w:numFmt w:val="bullet"/>
      <w:lvlText w:val=""/>
      <w:lvlJc w:val="left"/>
      <w:pPr>
        <w:ind w:left="3644" w:hanging="360"/>
      </w:pPr>
      <w:rPr>
        <w:rFonts w:ascii="Symbol" w:hAnsi="Symbol" w:hint="default"/>
      </w:rPr>
    </w:lvl>
    <w:lvl w:ilvl="4" w:tplc="04090003" w:tentative="1">
      <w:start w:val="1"/>
      <w:numFmt w:val="bullet"/>
      <w:lvlText w:val="o"/>
      <w:lvlJc w:val="left"/>
      <w:pPr>
        <w:ind w:left="4364" w:hanging="360"/>
      </w:pPr>
      <w:rPr>
        <w:rFonts w:ascii="Courier New" w:hAnsi="Courier New" w:cs="Courier New" w:hint="default"/>
      </w:rPr>
    </w:lvl>
    <w:lvl w:ilvl="5" w:tplc="04090005" w:tentative="1">
      <w:start w:val="1"/>
      <w:numFmt w:val="bullet"/>
      <w:lvlText w:val=""/>
      <w:lvlJc w:val="left"/>
      <w:pPr>
        <w:ind w:left="5084" w:hanging="360"/>
      </w:pPr>
      <w:rPr>
        <w:rFonts w:ascii="Wingdings" w:hAnsi="Wingdings" w:hint="default"/>
      </w:rPr>
    </w:lvl>
    <w:lvl w:ilvl="6" w:tplc="04090001" w:tentative="1">
      <w:start w:val="1"/>
      <w:numFmt w:val="bullet"/>
      <w:lvlText w:val=""/>
      <w:lvlJc w:val="left"/>
      <w:pPr>
        <w:ind w:left="5804" w:hanging="360"/>
      </w:pPr>
      <w:rPr>
        <w:rFonts w:ascii="Symbol" w:hAnsi="Symbol" w:hint="default"/>
      </w:rPr>
    </w:lvl>
    <w:lvl w:ilvl="7" w:tplc="04090003" w:tentative="1">
      <w:start w:val="1"/>
      <w:numFmt w:val="bullet"/>
      <w:lvlText w:val="o"/>
      <w:lvlJc w:val="left"/>
      <w:pPr>
        <w:ind w:left="6524" w:hanging="360"/>
      </w:pPr>
      <w:rPr>
        <w:rFonts w:ascii="Courier New" w:hAnsi="Courier New" w:cs="Courier New" w:hint="default"/>
      </w:rPr>
    </w:lvl>
    <w:lvl w:ilvl="8" w:tplc="04090005" w:tentative="1">
      <w:start w:val="1"/>
      <w:numFmt w:val="bullet"/>
      <w:lvlText w:val=""/>
      <w:lvlJc w:val="left"/>
      <w:pPr>
        <w:ind w:left="7244" w:hanging="360"/>
      </w:pPr>
      <w:rPr>
        <w:rFonts w:ascii="Wingdings" w:hAnsi="Wingdings" w:hint="default"/>
      </w:rPr>
    </w:lvl>
  </w:abstractNum>
  <w:abstractNum w:abstractNumId="17">
    <w:nsid w:val="76E21124"/>
    <w:multiLevelType w:val="hybridMultilevel"/>
    <w:tmpl w:val="711A67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6EE5E58"/>
    <w:multiLevelType w:val="multilevel"/>
    <w:tmpl w:val="8A6A79EA"/>
    <w:lvl w:ilvl="0">
      <w:start w:val="1"/>
      <w:numFmt w:val="upperRoman"/>
      <w:pStyle w:val="Heading1"/>
      <w:lvlText w:val="%1."/>
      <w:lvlJc w:val="left"/>
      <w:pPr>
        <w:ind w:left="0" w:firstLine="0"/>
      </w:pPr>
      <w:rPr>
        <w:rFonts w:ascii="Calibri" w:hAnsi="Calibri" w:hint="default"/>
        <w:color w:val="auto"/>
        <w:sz w:val="24"/>
        <w:szCs w:val="24"/>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17"/>
  </w:num>
  <w:num w:numId="2">
    <w:abstractNumId w:val="14"/>
  </w:num>
  <w:num w:numId="3">
    <w:abstractNumId w:val="12"/>
  </w:num>
  <w:num w:numId="4">
    <w:abstractNumId w:val="10"/>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8"/>
  </w:num>
  <w:num w:numId="11">
    <w:abstractNumId w:val="13"/>
  </w:num>
  <w:num w:numId="12">
    <w:abstractNumId w:val="15"/>
  </w:num>
  <w:num w:numId="13">
    <w:abstractNumId w:val="4"/>
  </w:num>
  <w:num w:numId="14">
    <w:abstractNumId w:val="16"/>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0"/>
  </w:num>
  <w:num w:numId="18">
    <w:abstractNumId w:val="9"/>
  </w:num>
  <w:num w:numId="19">
    <w:abstractNumId w:val="6"/>
  </w:num>
  <w:num w:numId="20">
    <w:abstractNumId w:val="2"/>
  </w:num>
  <w:num w:numId="21">
    <w:abstractNumId w:val="11"/>
  </w:num>
  <w:num w:numId="22">
    <w:abstractNumId w:val="5"/>
  </w:num>
  <w:num w:numId="23">
    <w:abstractNumId w:val="11"/>
  </w:num>
  <w:num w:numId="2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801703"/>
    <w:rsid w:val="0000166D"/>
    <w:rsid w:val="00003559"/>
    <w:rsid w:val="000066FB"/>
    <w:rsid w:val="0002199E"/>
    <w:rsid w:val="00026AFE"/>
    <w:rsid w:val="00026D18"/>
    <w:rsid w:val="0003730C"/>
    <w:rsid w:val="00040CF9"/>
    <w:rsid w:val="00044DBD"/>
    <w:rsid w:val="00047528"/>
    <w:rsid w:val="00050614"/>
    <w:rsid w:val="0005566C"/>
    <w:rsid w:val="000601FA"/>
    <w:rsid w:val="00065D26"/>
    <w:rsid w:val="00066307"/>
    <w:rsid w:val="00076555"/>
    <w:rsid w:val="000A25BE"/>
    <w:rsid w:val="000A2B9E"/>
    <w:rsid w:val="000D3F53"/>
    <w:rsid w:val="000D514A"/>
    <w:rsid w:val="000F105A"/>
    <w:rsid w:val="000F4991"/>
    <w:rsid w:val="001043D6"/>
    <w:rsid w:val="001126BC"/>
    <w:rsid w:val="001162C0"/>
    <w:rsid w:val="00122E7C"/>
    <w:rsid w:val="00126EEC"/>
    <w:rsid w:val="00135F83"/>
    <w:rsid w:val="00143EE2"/>
    <w:rsid w:val="00150ECA"/>
    <w:rsid w:val="001530E1"/>
    <w:rsid w:val="00156286"/>
    <w:rsid w:val="00166974"/>
    <w:rsid w:val="00180358"/>
    <w:rsid w:val="001B258B"/>
    <w:rsid w:val="001B4E10"/>
    <w:rsid w:val="001D1B30"/>
    <w:rsid w:val="001D2A64"/>
    <w:rsid w:val="001D53BB"/>
    <w:rsid w:val="001E3823"/>
    <w:rsid w:val="001F66D4"/>
    <w:rsid w:val="002017FA"/>
    <w:rsid w:val="002234D6"/>
    <w:rsid w:val="0024055A"/>
    <w:rsid w:val="0026276E"/>
    <w:rsid w:val="002677BB"/>
    <w:rsid w:val="002720F6"/>
    <w:rsid w:val="00294224"/>
    <w:rsid w:val="002A3B66"/>
    <w:rsid w:val="002A46EC"/>
    <w:rsid w:val="002B3508"/>
    <w:rsid w:val="002C149C"/>
    <w:rsid w:val="002C4616"/>
    <w:rsid w:val="002D1CCC"/>
    <w:rsid w:val="002D21C3"/>
    <w:rsid w:val="002D2D17"/>
    <w:rsid w:val="002E48EB"/>
    <w:rsid w:val="002E64B5"/>
    <w:rsid w:val="0030010F"/>
    <w:rsid w:val="00332334"/>
    <w:rsid w:val="003345D8"/>
    <w:rsid w:val="0035330B"/>
    <w:rsid w:val="00357547"/>
    <w:rsid w:val="00367A87"/>
    <w:rsid w:val="00383C4E"/>
    <w:rsid w:val="00385707"/>
    <w:rsid w:val="00391CE6"/>
    <w:rsid w:val="00392542"/>
    <w:rsid w:val="003A602B"/>
    <w:rsid w:val="003A6263"/>
    <w:rsid w:val="003A7B4F"/>
    <w:rsid w:val="003C6085"/>
    <w:rsid w:val="003D7AD7"/>
    <w:rsid w:val="003E31EE"/>
    <w:rsid w:val="003E32B0"/>
    <w:rsid w:val="00401822"/>
    <w:rsid w:val="00402A40"/>
    <w:rsid w:val="00405E11"/>
    <w:rsid w:val="0041769A"/>
    <w:rsid w:val="004233D2"/>
    <w:rsid w:val="00451C6E"/>
    <w:rsid w:val="004779AD"/>
    <w:rsid w:val="00483989"/>
    <w:rsid w:val="004921CB"/>
    <w:rsid w:val="004C39DD"/>
    <w:rsid w:val="004D0F41"/>
    <w:rsid w:val="004E11A5"/>
    <w:rsid w:val="004E34B7"/>
    <w:rsid w:val="004E5D85"/>
    <w:rsid w:val="00503E5F"/>
    <w:rsid w:val="00524F8D"/>
    <w:rsid w:val="00530CEB"/>
    <w:rsid w:val="005317B6"/>
    <w:rsid w:val="005320D4"/>
    <w:rsid w:val="00551A87"/>
    <w:rsid w:val="0056245E"/>
    <w:rsid w:val="005663A0"/>
    <w:rsid w:val="00572FDD"/>
    <w:rsid w:val="00587258"/>
    <w:rsid w:val="005B15E0"/>
    <w:rsid w:val="005C2C5D"/>
    <w:rsid w:val="005C58BD"/>
    <w:rsid w:val="005C64DE"/>
    <w:rsid w:val="005D0838"/>
    <w:rsid w:val="005E522A"/>
    <w:rsid w:val="005F2367"/>
    <w:rsid w:val="00600182"/>
    <w:rsid w:val="0061069D"/>
    <w:rsid w:val="006157DA"/>
    <w:rsid w:val="00616DA5"/>
    <w:rsid w:val="00626A7C"/>
    <w:rsid w:val="00630487"/>
    <w:rsid w:val="00631E83"/>
    <w:rsid w:val="00632044"/>
    <w:rsid w:val="00635F7A"/>
    <w:rsid w:val="006439EE"/>
    <w:rsid w:val="00672D01"/>
    <w:rsid w:val="00677033"/>
    <w:rsid w:val="006818BF"/>
    <w:rsid w:val="00681EE5"/>
    <w:rsid w:val="006A4723"/>
    <w:rsid w:val="006B0053"/>
    <w:rsid w:val="006B23E8"/>
    <w:rsid w:val="006B45F2"/>
    <w:rsid w:val="006B7690"/>
    <w:rsid w:val="006C7DAD"/>
    <w:rsid w:val="006D0CC8"/>
    <w:rsid w:val="0070514E"/>
    <w:rsid w:val="00706960"/>
    <w:rsid w:val="00715E30"/>
    <w:rsid w:val="00723B4C"/>
    <w:rsid w:val="00733B56"/>
    <w:rsid w:val="00734405"/>
    <w:rsid w:val="0075218A"/>
    <w:rsid w:val="00755869"/>
    <w:rsid w:val="00760EC7"/>
    <w:rsid w:val="00766868"/>
    <w:rsid w:val="007669B2"/>
    <w:rsid w:val="007A72E9"/>
    <w:rsid w:val="007A7CC4"/>
    <w:rsid w:val="007A7DF8"/>
    <w:rsid w:val="007B0ECC"/>
    <w:rsid w:val="007E7510"/>
    <w:rsid w:val="007F6196"/>
    <w:rsid w:val="00801703"/>
    <w:rsid w:val="008033AF"/>
    <w:rsid w:val="00810754"/>
    <w:rsid w:val="00814D3B"/>
    <w:rsid w:val="00817317"/>
    <w:rsid w:val="008173FB"/>
    <w:rsid w:val="00825258"/>
    <w:rsid w:val="00825EBD"/>
    <w:rsid w:val="00833FA2"/>
    <w:rsid w:val="00836848"/>
    <w:rsid w:val="00854770"/>
    <w:rsid w:val="008575DE"/>
    <w:rsid w:val="0086559F"/>
    <w:rsid w:val="00865FF1"/>
    <w:rsid w:val="00866978"/>
    <w:rsid w:val="00870BAE"/>
    <w:rsid w:val="00887A39"/>
    <w:rsid w:val="008E044E"/>
    <w:rsid w:val="008E32D3"/>
    <w:rsid w:val="008F1314"/>
    <w:rsid w:val="00910261"/>
    <w:rsid w:val="00912170"/>
    <w:rsid w:val="00916026"/>
    <w:rsid w:val="00917191"/>
    <w:rsid w:val="0092036C"/>
    <w:rsid w:val="00932829"/>
    <w:rsid w:val="00937BEC"/>
    <w:rsid w:val="0095173A"/>
    <w:rsid w:val="009550A6"/>
    <w:rsid w:val="00960E3A"/>
    <w:rsid w:val="009652A9"/>
    <w:rsid w:val="009673A5"/>
    <w:rsid w:val="00987296"/>
    <w:rsid w:val="00993AD0"/>
    <w:rsid w:val="009A20F8"/>
    <w:rsid w:val="009A4BA2"/>
    <w:rsid w:val="009B12FC"/>
    <w:rsid w:val="009B2835"/>
    <w:rsid w:val="009D3663"/>
    <w:rsid w:val="009D4A8B"/>
    <w:rsid w:val="009D55AC"/>
    <w:rsid w:val="00A1425D"/>
    <w:rsid w:val="00A1453A"/>
    <w:rsid w:val="00A16018"/>
    <w:rsid w:val="00A16B8C"/>
    <w:rsid w:val="00A20C0D"/>
    <w:rsid w:val="00A24D7B"/>
    <w:rsid w:val="00A37F04"/>
    <w:rsid w:val="00A40530"/>
    <w:rsid w:val="00A42F68"/>
    <w:rsid w:val="00A45DEF"/>
    <w:rsid w:val="00A528BC"/>
    <w:rsid w:val="00A54D59"/>
    <w:rsid w:val="00A611FF"/>
    <w:rsid w:val="00A64159"/>
    <w:rsid w:val="00A65A15"/>
    <w:rsid w:val="00A71F23"/>
    <w:rsid w:val="00A75821"/>
    <w:rsid w:val="00A75C05"/>
    <w:rsid w:val="00A77537"/>
    <w:rsid w:val="00A977EA"/>
    <w:rsid w:val="00AA1C23"/>
    <w:rsid w:val="00AA55C2"/>
    <w:rsid w:val="00AA5832"/>
    <w:rsid w:val="00AB4CAD"/>
    <w:rsid w:val="00AB7256"/>
    <w:rsid w:val="00AC5FDC"/>
    <w:rsid w:val="00AE543F"/>
    <w:rsid w:val="00B049A1"/>
    <w:rsid w:val="00B27F0E"/>
    <w:rsid w:val="00B30785"/>
    <w:rsid w:val="00B32797"/>
    <w:rsid w:val="00B473FF"/>
    <w:rsid w:val="00B63ED9"/>
    <w:rsid w:val="00BB06F2"/>
    <w:rsid w:val="00BB1EDD"/>
    <w:rsid w:val="00BB290A"/>
    <w:rsid w:val="00BB2B2F"/>
    <w:rsid w:val="00BB649F"/>
    <w:rsid w:val="00BC05F3"/>
    <w:rsid w:val="00BE407E"/>
    <w:rsid w:val="00C055CB"/>
    <w:rsid w:val="00C16990"/>
    <w:rsid w:val="00C20A47"/>
    <w:rsid w:val="00C30766"/>
    <w:rsid w:val="00C363F8"/>
    <w:rsid w:val="00C40BA1"/>
    <w:rsid w:val="00C536D4"/>
    <w:rsid w:val="00C71B51"/>
    <w:rsid w:val="00C73CA1"/>
    <w:rsid w:val="00C83346"/>
    <w:rsid w:val="00C87FA9"/>
    <w:rsid w:val="00C975D0"/>
    <w:rsid w:val="00CA2AAC"/>
    <w:rsid w:val="00CA6C2D"/>
    <w:rsid w:val="00CB241C"/>
    <w:rsid w:val="00CE2810"/>
    <w:rsid w:val="00CF6892"/>
    <w:rsid w:val="00D03C46"/>
    <w:rsid w:val="00D1027D"/>
    <w:rsid w:val="00D2073F"/>
    <w:rsid w:val="00D21FB1"/>
    <w:rsid w:val="00D2293A"/>
    <w:rsid w:val="00D22AED"/>
    <w:rsid w:val="00D31C60"/>
    <w:rsid w:val="00D45C74"/>
    <w:rsid w:val="00D639BC"/>
    <w:rsid w:val="00D65190"/>
    <w:rsid w:val="00D7012A"/>
    <w:rsid w:val="00D90646"/>
    <w:rsid w:val="00DB0B79"/>
    <w:rsid w:val="00DB5D03"/>
    <w:rsid w:val="00DD49B4"/>
    <w:rsid w:val="00DE6B4F"/>
    <w:rsid w:val="00DF2169"/>
    <w:rsid w:val="00DF5B82"/>
    <w:rsid w:val="00DF5BAF"/>
    <w:rsid w:val="00DF7E05"/>
    <w:rsid w:val="00E029A3"/>
    <w:rsid w:val="00E0741B"/>
    <w:rsid w:val="00E077BF"/>
    <w:rsid w:val="00E34017"/>
    <w:rsid w:val="00E34E7A"/>
    <w:rsid w:val="00E509B1"/>
    <w:rsid w:val="00E60C4A"/>
    <w:rsid w:val="00E62969"/>
    <w:rsid w:val="00E9043A"/>
    <w:rsid w:val="00EB0629"/>
    <w:rsid w:val="00EB6F50"/>
    <w:rsid w:val="00EC213E"/>
    <w:rsid w:val="00EE2A0F"/>
    <w:rsid w:val="00EF2D51"/>
    <w:rsid w:val="00EF49F5"/>
    <w:rsid w:val="00EF65E8"/>
    <w:rsid w:val="00F131DC"/>
    <w:rsid w:val="00F209FA"/>
    <w:rsid w:val="00F26323"/>
    <w:rsid w:val="00F43065"/>
    <w:rsid w:val="00F45AF2"/>
    <w:rsid w:val="00F628B9"/>
    <w:rsid w:val="00F656D9"/>
    <w:rsid w:val="00F67250"/>
    <w:rsid w:val="00F90201"/>
    <w:rsid w:val="00FA5A54"/>
    <w:rsid w:val="00FC5127"/>
    <w:rsid w:val="00FD35E0"/>
    <w:rsid w:val="00FE02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55A"/>
  </w:style>
  <w:style w:type="paragraph" w:styleId="Heading1">
    <w:name w:val="heading 1"/>
    <w:basedOn w:val="Normal"/>
    <w:next w:val="Normal"/>
    <w:link w:val="Heading1Char"/>
    <w:uiPriority w:val="9"/>
    <w:qFormat/>
    <w:rsid w:val="003345D8"/>
    <w:pPr>
      <w:keepNext/>
      <w:keepLines/>
      <w:numPr>
        <w:numId w:val="2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345D8"/>
    <w:pPr>
      <w:keepNext/>
      <w:keepLines/>
      <w:numPr>
        <w:ilvl w:val="1"/>
        <w:numId w:val="2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345D8"/>
    <w:pPr>
      <w:keepNext/>
      <w:keepLines/>
      <w:numPr>
        <w:ilvl w:val="2"/>
        <w:numId w:val="2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345D8"/>
    <w:pPr>
      <w:keepNext/>
      <w:keepLines/>
      <w:numPr>
        <w:ilvl w:val="3"/>
        <w:numId w:val="2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345D8"/>
    <w:pPr>
      <w:keepNext/>
      <w:keepLines/>
      <w:numPr>
        <w:ilvl w:val="4"/>
        <w:numId w:val="2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345D8"/>
    <w:pPr>
      <w:keepNext/>
      <w:keepLines/>
      <w:numPr>
        <w:ilvl w:val="5"/>
        <w:numId w:val="2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345D8"/>
    <w:pPr>
      <w:keepNext/>
      <w:keepLines/>
      <w:numPr>
        <w:ilvl w:val="6"/>
        <w:numId w:val="2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345D8"/>
    <w:pPr>
      <w:keepNext/>
      <w:keepLines/>
      <w:numPr>
        <w:ilvl w:val="7"/>
        <w:numId w:val="2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345D8"/>
    <w:pPr>
      <w:keepNext/>
      <w:keepLines/>
      <w:numPr>
        <w:ilvl w:val="8"/>
        <w:numId w:val="2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703"/>
    <w:pPr>
      <w:ind w:left="720"/>
      <w:contextualSpacing/>
    </w:pPr>
  </w:style>
  <w:style w:type="paragraph" w:styleId="BalloonText">
    <w:name w:val="Balloon Text"/>
    <w:basedOn w:val="Normal"/>
    <w:link w:val="BalloonTextChar"/>
    <w:uiPriority w:val="99"/>
    <w:semiHidden/>
    <w:unhideWhenUsed/>
    <w:rsid w:val="00551A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A87"/>
    <w:rPr>
      <w:rFonts w:ascii="Tahoma" w:hAnsi="Tahoma" w:cs="Tahoma"/>
      <w:sz w:val="16"/>
      <w:szCs w:val="16"/>
    </w:rPr>
  </w:style>
  <w:style w:type="character" w:customStyle="1" w:styleId="Heading1Char">
    <w:name w:val="Heading 1 Char"/>
    <w:basedOn w:val="DefaultParagraphFont"/>
    <w:link w:val="Heading1"/>
    <w:uiPriority w:val="9"/>
    <w:rsid w:val="003345D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345D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3345D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345D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3345D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3345D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3345D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345D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345D8"/>
    <w:rPr>
      <w:rFonts w:asciiTheme="majorHAnsi" w:eastAsiaTheme="majorEastAsia" w:hAnsiTheme="majorHAnsi" w:cstheme="majorBidi"/>
      <w:i/>
      <w:iCs/>
      <w:color w:val="404040" w:themeColor="text1" w:themeTint="BF"/>
      <w:sz w:val="20"/>
      <w:szCs w:val="20"/>
    </w:rPr>
  </w:style>
  <w:style w:type="paragraph" w:styleId="EndnoteText">
    <w:name w:val="endnote text"/>
    <w:basedOn w:val="Normal"/>
    <w:link w:val="EndnoteTextChar"/>
    <w:uiPriority w:val="99"/>
    <w:semiHidden/>
    <w:unhideWhenUsed/>
    <w:rsid w:val="00D31C6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31C60"/>
    <w:rPr>
      <w:sz w:val="20"/>
      <w:szCs w:val="20"/>
    </w:rPr>
  </w:style>
  <w:style w:type="character" w:styleId="EndnoteReference">
    <w:name w:val="endnote reference"/>
    <w:basedOn w:val="DefaultParagraphFont"/>
    <w:uiPriority w:val="99"/>
    <w:semiHidden/>
    <w:unhideWhenUsed/>
    <w:rsid w:val="00D31C60"/>
    <w:rPr>
      <w:vertAlign w:val="superscript"/>
    </w:rPr>
  </w:style>
  <w:style w:type="paragraph" w:customStyle="1" w:styleId="BodyTextNumbered">
    <w:name w:val="Body Text Numbered"/>
    <w:basedOn w:val="BodyText"/>
    <w:link w:val="BodyTextNumberedChar"/>
    <w:rsid w:val="00733B56"/>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
    <w:name w:val="Body Text Numbered Char"/>
    <w:basedOn w:val="DefaultParagraphFont"/>
    <w:link w:val="BodyTextNumbered"/>
    <w:rsid w:val="00733B56"/>
    <w:rPr>
      <w:rFonts w:ascii="Times New Roman" w:eastAsia="Times New Roman" w:hAnsi="Times New Roman" w:cs="Times New Roman"/>
      <w:iCs/>
      <w:sz w:val="24"/>
      <w:szCs w:val="20"/>
    </w:rPr>
  </w:style>
  <w:style w:type="paragraph" w:styleId="BodyText">
    <w:name w:val="Body Text"/>
    <w:basedOn w:val="Normal"/>
    <w:link w:val="BodyTextChar"/>
    <w:uiPriority w:val="99"/>
    <w:semiHidden/>
    <w:unhideWhenUsed/>
    <w:rsid w:val="00733B56"/>
    <w:pPr>
      <w:spacing w:after="120"/>
    </w:pPr>
  </w:style>
  <w:style w:type="character" w:customStyle="1" w:styleId="BodyTextChar">
    <w:name w:val="Body Text Char"/>
    <w:basedOn w:val="DefaultParagraphFont"/>
    <w:link w:val="BodyText"/>
    <w:uiPriority w:val="99"/>
    <w:semiHidden/>
    <w:rsid w:val="00733B56"/>
  </w:style>
  <w:style w:type="character" w:styleId="CommentReference">
    <w:name w:val="annotation reference"/>
    <w:basedOn w:val="DefaultParagraphFont"/>
    <w:uiPriority w:val="99"/>
    <w:semiHidden/>
    <w:unhideWhenUsed/>
    <w:rsid w:val="001126BC"/>
    <w:rPr>
      <w:sz w:val="16"/>
      <w:szCs w:val="16"/>
    </w:rPr>
  </w:style>
  <w:style w:type="paragraph" w:styleId="CommentText">
    <w:name w:val="annotation text"/>
    <w:basedOn w:val="Normal"/>
    <w:link w:val="CommentTextChar"/>
    <w:uiPriority w:val="99"/>
    <w:semiHidden/>
    <w:unhideWhenUsed/>
    <w:rsid w:val="001126BC"/>
    <w:pPr>
      <w:spacing w:line="240" w:lineRule="auto"/>
    </w:pPr>
    <w:rPr>
      <w:sz w:val="20"/>
      <w:szCs w:val="20"/>
    </w:rPr>
  </w:style>
  <w:style w:type="character" w:customStyle="1" w:styleId="CommentTextChar">
    <w:name w:val="Comment Text Char"/>
    <w:basedOn w:val="DefaultParagraphFont"/>
    <w:link w:val="CommentText"/>
    <w:uiPriority w:val="99"/>
    <w:semiHidden/>
    <w:rsid w:val="001126BC"/>
    <w:rPr>
      <w:sz w:val="20"/>
      <w:szCs w:val="20"/>
    </w:rPr>
  </w:style>
  <w:style w:type="paragraph" w:styleId="CommentSubject">
    <w:name w:val="annotation subject"/>
    <w:basedOn w:val="CommentText"/>
    <w:next w:val="CommentText"/>
    <w:link w:val="CommentSubjectChar"/>
    <w:uiPriority w:val="99"/>
    <w:semiHidden/>
    <w:unhideWhenUsed/>
    <w:rsid w:val="001126BC"/>
    <w:rPr>
      <w:b/>
      <w:bCs/>
    </w:rPr>
  </w:style>
  <w:style w:type="character" w:customStyle="1" w:styleId="CommentSubjectChar">
    <w:name w:val="Comment Subject Char"/>
    <w:basedOn w:val="CommentTextChar"/>
    <w:link w:val="CommentSubject"/>
    <w:uiPriority w:val="99"/>
    <w:semiHidden/>
    <w:rsid w:val="001126BC"/>
    <w:rPr>
      <w:b/>
      <w:bCs/>
    </w:rPr>
  </w:style>
  <w:style w:type="paragraph" w:styleId="NormalWeb">
    <w:name w:val="Normal (Web)"/>
    <w:basedOn w:val="Normal"/>
    <w:uiPriority w:val="99"/>
    <w:semiHidden/>
    <w:unhideWhenUsed/>
    <w:rsid w:val="001F66D4"/>
    <w:pPr>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8F13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F1314"/>
    <w:rPr>
      <w:sz w:val="20"/>
      <w:szCs w:val="20"/>
    </w:rPr>
  </w:style>
  <w:style w:type="character" w:styleId="FootnoteReference">
    <w:name w:val="footnote reference"/>
    <w:basedOn w:val="DefaultParagraphFont"/>
    <w:uiPriority w:val="99"/>
    <w:semiHidden/>
    <w:unhideWhenUsed/>
    <w:rsid w:val="008F1314"/>
    <w:rPr>
      <w:vertAlign w:val="superscript"/>
    </w:rPr>
  </w:style>
  <w:style w:type="character" w:styleId="Hyperlink">
    <w:name w:val="Hyperlink"/>
    <w:basedOn w:val="DefaultParagraphFont"/>
    <w:uiPriority w:val="99"/>
    <w:rsid w:val="00723B4C"/>
    <w:rPr>
      <w:color w:val="0000FF"/>
      <w:u w:val="single"/>
    </w:rPr>
  </w:style>
  <w:style w:type="paragraph" w:styleId="TOCHeading">
    <w:name w:val="TOC Heading"/>
    <w:basedOn w:val="Heading1"/>
    <w:next w:val="Normal"/>
    <w:uiPriority w:val="39"/>
    <w:semiHidden/>
    <w:unhideWhenUsed/>
    <w:qFormat/>
    <w:rsid w:val="000F4991"/>
    <w:pPr>
      <w:numPr>
        <w:numId w:val="0"/>
      </w:numPr>
      <w:outlineLvl w:val="9"/>
    </w:pPr>
  </w:style>
  <w:style w:type="paragraph" w:styleId="TOC1">
    <w:name w:val="toc 1"/>
    <w:basedOn w:val="Normal"/>
    <w:next w:val="Normal"/>
    <w:autoRedefine/>
    <w:uiPriority w:val="39"/>
    <w:unhideWhenUsed/>
    <w:rsid w:val="000F4991"/>
    <w:pPr>
      <w:spacing w:after="100"/>
    </w:pPr>
  </w:style>
  <w:style w:type="paragraph" w:styleId="TOC2">
    <w:name w:val="toc 2"/>
    <w:basedOn w:val="Normal"/>
    <w:next w:val="Normal"/>
    <w:autoRedefine/>
    <w:uiPriority w:val="39"/>
    <w:unhideWhenUsed/>
    <w:rsid w:val="000F4991"/>
    <w:pPr>
      <w:spacing w:after="100"/>
      <w:ind w:left="220"/>
    </w:pPr>
  </w:style>
  <w:style w:type="paragraph" w:styleId="TOC3">
    <w:name w:val="toc 3"/>
    <w:basedOn w:val="Normal"/>
    <w:next w:val="Normal"/>
    <w:autoRedefine/>
    <w:uiPriority w:val="39"/>
    <w:unhideWhenUsed/>
    <w:rsid w:val="000F4991"/>
    <w:pPr>
      <w:spacing w:after="100"/>
      <w:ind w:left="440"/>
    </w:pPr>
  </w:style>
  <w:style w:type="paragraph" w:styleId="Header">
    <w:name w:val="header"/>
    <w:basedOn w:val="Normal"/>
    <w:link w:val="HeaderChar"/>
    <w:rsid w:val="000F499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0F4991"/>
    <w:rPr>
      <w:rFonts w:ascii="Times New Roman" w:eastAsia="Times New Roman" w:hAnsi="Times New Roman" w:cs="Times New Roman"/>
      <w:sz w:val="24"/>
      <w:szCs w:val="24"/>
    </w:rPr>
  </w:style>
  <w:style w:type="paragraph" w:styleId="Footer">
    <w:name w:val="footer"/>
    <w:basedOn w:val="Normal"/>
    <w:link w:val="FooterChar"/>
    <w:rsid w:val="000F4991"/>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rsid w:val="000F4991"/>
    <w:rPr>
      <w:rFonts w:ascii="Times New Roman" w:eastAsia="Times New Roman" w:hAnsi="Times New Roman" w:cs="Times New Roman"/>
      <w:sz w:val="24"/>
      <w:szCs w:val="24"/>
    </w:rPr>
  </w:style>
  <w:style w:type="paragraph" w:customStyle="1" w:styleId="Title1">
    <w:name w:val="Title1"/>
    <w:basedOn w:val="Normal"/>
    <w:rsid w:val="000F4991"/>
    <w:pPr>
      <w:spacing w:after="0" w:line="240" w:lineRule="auto"/>
      <w:jc w:val="center"/>
    </w:pPr>
    <w:rPr>
      <w:rFonts w:ascii="Arial Bold" w:eastAsia="Times New Roman" w:hAnsi="Arial Bold" w:cs="Times New Roman"/>
      <w:sz w:val="44"/>
      <w:szCs w:val="44"/>
    </w:rPr>
  </w:style>
  <w:style w:type="paragraph" w:styleId="Revision">
    <w:name w:val="Revision"/>
    <w:hidden/>
    <w:uiPriority w:val="99"/>
    <w:semiHidden/>
    <w:rsid w:val="00A77537"/>
    <w:pPr>
      <w:spacing w:after="0" w:line="240" w:lineRule="auto"/>
    </w:pPr>
  </w:style>
  <w:style w:type="paragraph" w:customStyle="1" w:styleId="TableBody">
    <w:name w:val="Table Body"/>
    <w:basedOn w:val="BodyText"/>
    <w:rsid w:val="00616DA5"/>
    <w:pPr>
      <w:spacing w:after="60" w:line="240" w:lineRule="auto"/>
    </w:pPr>
    <w:rPr>
      <w:rFonts w:ascii="Times New Roman" w:eastAsia="Times New Roman" w:hAnsi="Times New Roman" w:cs="Times New Roman"/>
      <w:iCs/>
      <w:sz w:val="20"/>
      <w:szCs w:val="20"/>
    </w:rPr>
  </w:style>
  <w:style w:type="paragraph" w:customStyle="1" w:styleId="TableHead">
    <w:name w:val="Table Head"/>
    <w:basedOn w:val="BodyText"/>
    <w:rsid w:val="00616DA5"/>
    <w:pPr>
      <w:spacing w:line="240" w:lineRule="auto"/>
    </w:pPr>
    <w:rPr>
      <w:rFonts w:ascii="Times New Roman" w:eastAsia="Times New Roman" w:hAnsi="Times New Roman" w:cs="Times New Roman"/>
      <w:b/>
      <w:iCs/>
      <w:sz w:val="20"/>
      <w:szCs w:val="20"/>
    </w:rPr>
  </w:style>
  <w:style w:type="paragraph" w:customStyle="1" w:styleId="note">
    <w:name w:val="note"/>
    <w:basedOn w:val="Normal"/>
    <w:rsid w:val="00616DA5"/>
    <w:pPr>
      <w:spacing w:after="0" w:line="240" w:lineRule="auto"/>
    </w:pPr>
    <w:rPr>
      <w:rFonts w:ascii="Times New Roman" w:eastAsia="Times New Roman"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511532800">
      <w:bodyDiv w:val="1"/>
      <w:marLeft w:val="0"/>
      <w:marRight w:val="0"/>
      <w:marTop w:val="0"/>
      <w:marBottom w:val="0"/>
      <w:divBdr>
        <w:top w:val="none" w:sz="0" w:space="0" w:color="auto"/>
        <w:left w:val="none" w:sz="0" w:space="0" w:color="auto"/>
        <w:bottom w:val="none" w:sz="0" w:space="0" w:color="auto"/>
        <w:right w:val="none" w:sz="0" w:space="0" w:color="auto"/>
      </w:divBdr>
    </w:div>
    <w:div w:id="560167175">
      <w:bodyDiv w:val="1"/>
      <w:marLeft w:val="0"/>
      <w:marRight w:val="0"/>
      <w:marTop w:val="0"/>
      <w:marBottom w:val="0"/>
      <w:divBdr>
        <w:top w:val="none" w:sz="0" w:space="0" w:color="auto"/>
        <w:left w:val="none" w:sz="0" w:space="0" w:color="auto"/>
        <w:bottom w:val="none" w:sz="0" w:space="0" w:color="auto"/>
        <w:right w:val="none" w:sz="0" w:space="0" w:color="auto"/>
      </w:divBdr>
    </w:div>
    <w:div w:id="565411496">
      <w:bodyDiv w:val="1"/>
      <w:marLeft w:val="0"/>
      <w:marRight w:val="0"/>
      <w:marTop w:val="0"/>
      <w:marBottom w:val="0"/>
      <w:divBdr>
        <w:top w:val="none" w:sz="0" w:space="0" w:color="auto"/>
        <w:left w:val="none" w:sz="0" w:space="0" w:color="auto"/>
        <w:bottom w:val="none" w:sz="0" w:space="0" w:color="auto"/>
        <w:right w:val="none" w:sz="0" w:space="0" w:color="auto"/>
      </w:divBdr>
      <w:divsChild>
        <w:div w:id="1448432987">
          <w:marLeft w:val="0"/>
          <w:marRight w:val="0"/>
          <w:marTop w:val="0"/>
          <w:marBottom w:val="0"/>
          <w:divBdr>
            <w:top w:val="single" w:sz="2" w:space="0" w:color="FFFFFF"/>
            <w:left w:val="single" w:sz="48" w:space="0" w:color="FCFBF5"/>
            <w:bottom w:val="single" w:sz="2" w:space="0" w:color="FFFFFF"/>
            <w:right w:val="single" w:sz="2" w:space="0" w:color="FFFFFF"/>
          </w:divBdr>
          <w:divsChild>
            <w:div w:id="1460564782">
              <w:marLeft w:val="0"/>
              <w:marRight w:val="0"/>
              <w:marTop w:val="0"/>
              <w:marBottom w:val="0"/>
              <w:divBdr>
                <w:top w:val="none" w:sz="0" w:space="0" w:color="auto"/>
                <w:left w:val="none" w:sz="0" w:space="0" w:color="auto"/>
                <w:bottom w:val="none" w:sz="0" w:space="0" w:color="auto"/>
                <w:right w:val="none" w:sz="0" w:space="0" w:color="auto"/>
              </w:divBdr>
              <w:divsChild>
                <w:div w:id="850492877">
                  <w:marLeft w:val="-25"/>
                  <w:marRight w:val="-100"/>
                  <w:marTop w:val="0"/>
                  <w:marBottom w:val="0"/>
                  <w:divBdr>
                    <w:top w:val="none" w:sz="0" w:space="0" w:color="auto"/>
                    <w:left w:val="none" w:sz="0" w:space="0" w:color="auto"/>
                    <w:bottom w:val="none" w:sz="0" w:space="0" w:color="auto"/>
                    <w:right w:val="none" w:sz="0" w:space="0" w:color="auto"/>
                  </w:divBdr>
                  <w:divsChild>
                    <w:div w:id="70472100">
                      <w:marLeft w:val="0"/>
                      <w:marRight w:val="0"/>
                      <w:marTop w:val="0"/>
                      <w:marBottom w:val="0"/>
                      <w:divBdr>
                        <w:top w:val="none" w:sz="0" w:space="0" w:color="auto"/>
                        <w:left w:val="none" w:sz="0" w:space="0" w:color="auto"/>
                        <w:bottom w:val="none" w:sz="0" w:space="0" w:color="auto"/>
                        <w:right w:val="none" w:sz="0" w:space="0" w:color="auto"/>
                      </w:divBdr>
                      <w:divsChild>
                        <w:div w:id="1735078515">
                          <w:marLeft w:val="-188"/>
                          <w:marRight w:val="-188"/>
                          <w:marTop w:val="0"/>
                          <w:marBottom w:val="0"/>
                          <w:divBdr>
                            <w:top w:val="none" w:sz="0" w:space="0" w:color="auto"/>
                            <w:left w:val="none" w:sz="0" w:space="0" w:color="auto"/>
                            <w:bottom w:val="none" w:sz="0" w:space="0" w:color="auto"/>
                            <w:right w:val="none" w:sz="0" w:space="0" w:color="auto"/>
                          </w:divBdr>
                          <w:divsChild>
                            <w:div w:id="533271729">
                              <w:marLeft w:val="0"/>
                              <w:marRight w:val="0"/>
                              <w:marTop w:val="0"/>
                              <w:marBottom w:val="0"/>
                              <w:divBdr>
                                <w:top w:val="none" w:sz="0" w:space="0" w:color="auto"/>
                                <w:left w:val="none" w:sz="0" w:space="0" w:color="auto"/>
                                <w:bottom w:val="none" w:sz="0" w:space="0" w:color="auto"/>
                                <w:right w:val="none" w:sz="0" w:space="0" w:color="auto"/>
                              </w:divBdr>
                              <w:divsChild>
                                <w:div w:id="8083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3274076">
      <w:bodyDiv w:val="1"/>
      <w:marLeft w:val="0"/>
      <w:marRight w:val="0"/>
      <w:marTop w:val="0"/>
      <w:marBottom w:val="0"/>
      <w:divBdr>
        <w:top w:val="none" w:sz="0" w:space="0" w:color="auto"/>
        <w:left w:val="none" w:sz="0" w:space="0" w:color="auto"/>
        <w:bottom w:val="none" w:sz="0" w:space="0" w:color="auto"/>
        <w:right w:val="none" w:sz="0" w:space="0" w:color="auto"/>
      </w:divBdr>
    </w:div>
    <w:div w:id="892035718">
      <w:bodyDiv w:val="1"/>
      <w:marLeft w:val="0"/>
      <w:marRight w:val="0"/>
      <w:marTop w:val="0"/>
      <w:marBottom w:val="0"/>
      <w:divBdr>
        <w:top w:val="none" w:sz="0" w:space="0" w:color="auto"/>
        <w:left w:val="none" w:sz="0" w:space="0" w:color="auto"/>
        <w:bottom w:val="none" w:sz="0" w:space="0" w:color="auto"/>
        <w:right w:val="none" w:sz="0" w:space="0" w:color="auto"/>
      </w:divBdr>
    </w:div>
    <w:div w:id="1222519382">
      <w:bodyDiv w:val="1"/>
      <w:marLeft w:val="0"/>
      <w:marRight w:val="0"/>
      <w:marTop w:val="0"/>
      <w:marBottom w:val="0"/>
      <w:divBdr>
        <w:top w:val="none" w:sz="0" w:space="0" w:color="auto"/>
        <w:left w:val="none" w:sz="0" w:space="0" w:color="auto"/>
        <w:bottom w:val="none" w:sz="0" w:space="0" w:color="auto"/>
        <w:right w:val="none" w:sz="0" w:space="0" w:color="auto"/>
      </w:divBdr>
      <w:divsChild>
        <w:div w:id="2067407923">
          <w:marLeft w:val="0"/>
          <w:marRight w:val="0"/>
          <w:marTop w:val="0"/>
          <w:marBottom w:val="0"/>
          <w:divBdr>
            <w:top w:val="single" w:sz="2" w:space="0" w:color="FFFFFF"/>
            <w:left w:val="single" w:sz="48" w:space="0" w:color="FCFBF5"/>
            <w:bottom w:val="single" w:sz="2" w:space="0" w:color="FFFFFF"/>
            <w:right w:val="single" w:sz="2" w:space="0" w:color="FFFFFF"/>
          </w:divBdr>
          <w:divsChild>
            <w:div w:id="200020439">
              <w:marLeft w:val="0"/>
              <w:marRight w:val="0"/>
              <w:marTop w:val="0"/>
              <w:marBottom w:val="0"/>
              <w:divBdr>
                <w:top w:val="none" w:sz="0" w:space="0" w:color="auto"/>
                <w:left w:val="none" w:sz="0" w:space="0" w:color="auto"/>
                <w:bottom w:val="none" w:sz="0" w:space="0" w:color="auto"/>
                <w:right w:val="none" w:sz="0" w:space="0" w:color="auto"/>
              </w:divBdr>
              <w:divsChild>
                <w:div w:id="1770009604">
                  <w:marLeft w:val="-25"/>
                  <w:marRight w:val="-100"/>
                  <w:marTop w:val="0"/>
                  <w:marBottom w:val="0"/>
                  <w:divBdr>
                    <w:top w:val="none" w:sz="0" w:space="0" w:color="auto"/>
                    <w:left w:val="none" w:sz="0" w:space="0" w:color="auto"/>
                    <w:bottom w:val="none" w:sz="0" w:space="0" w:color="auto"/>
                    <w:right w:val="none" w:sz="0" w:space="0" w:color="auto"/>
                  </w:divBdr>
                  <w:divsChild>
                    <w:div w:id="1082141855">
                      <w:marLeft w:val="0"/>
                      <w:marRight w:val="0"/>
                      <w:marTop w:val="0"/>
                      <w:marBottom w:val="0"/>
                      <w:divBdr>
                        <w:top w:val="none" w:sz="0" w:space="0" w:color="auto"/>
                        <w:left w:val="none" w:sz="0" w:space="0" w:color="auto"/>
                        <w:bottom w:val="none" w:sz="0" w:space="0" w:color="auto"/>
                        <w:right w:val="none" w:sz="0" w:space="0" w:color="auto"/>
                      </w:divBdr>
                      <w:divsChild>
                        <w:div w:id="1375085235">
                          <w:marLeft w:val="-188"/>
                          <w:marRight w:val="-188"/>
                          <w:marTop w:val="0"/>
                          <w:marBottom w:val="0"/>
                          <w:divBdr>
                            <w:top w:val="none" w:sz="0" w:space="0" w:color="auto"/>
                            <w:left w:val="none" w:sz="0" w:space="0" w:color="auto"/>
                            <w:bottom w:val="none" w:sz="0" w:space="0" w:color="auto"/>
                            <w:right w:val="none" w:sz="0" w:space="0" w:color="auto"/>
                          </w:divBdr>
                          <w:divsChild>
                            <w:div w:id="745343799">
                              <w:marLeft w:val="0"/>
                              <w:marRight w:val="0"/>
                              <w:marTop w:val="0"/>
                              <w:marBottom w:val="0"/>
                              <w:divBdr>
                                <w:top w:val="none" w:sz="0" w:space="0" w:color="auto"/>
                                <w:left w:val="none" w:sz="0" w:space="0" w:color="auto"/>
                                <w:bottom w:val="none" w:sz="0" w:space="0" w:color="auto"/>
                                <w:right w:val="none" w:sz="0" w:space="0" w:color="auto"/>
                              </w:divBdr>
                              <w:divsChild>
                                <w:div w:id="101083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6637045">
      <w:bodyDiv w:val="1"/>
      <w:marLeft w:val="0"/>
      <w:marRight w:val="0"/>
      <w:marTop w:val="0"/>
      <w:marBottom w:val="0"/>
      <w:divBdr>
        <w:top w:val="none" w:sz="0" w:space="0" w:color="auto"/>
        <w:left w:val="none" w:sz="0" w:space="0" w:color="auto"/>
        <w:bottom w:val="none" w:sz="0" w:space="0" w:color="auto"/>
        <w:right w:val="none" w:sz="0" w:space="0" w:color="auto"/>
      </w:divBdr>
    </w:div>
    <w:div w:id="1526750883">
      <w:bodyDiv w:val="1"/>
      <w:marLeft w:val="0"/>
      <w:marRight w:val="0"/>
      <w:marTop w:val="0"/>
      <w:marBottom w:val="0"/>
      <w:divBdr>
        <w:top w:val="none" w:sz="0" w:space="0" w:color="auto"/>
        <w:left w:val="none" w:sz="0" w:space="0" w:color="auto"/>
        <w:bottom w:val="none" w:sz="0" w:space="0" w:color="auto"/>
        <w:right w:val="none" w:sz="0" w:space="0" w:color="auto"/>
      </w:divBdr>
    </w:div>
    <w:div w:id="180927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rcot.com/gridinfo/transmission/opsys-change-schedule" TargetMode="Externa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1786D-42BD-41CE-B11B-C811E7FDB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1775</Words>
  <Characters>10121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11873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WRickerson</dc:creator>
  <cp:lastModifiedBy>WRickerson</cp:lastModifiedBy>
  <cp:revision>2</cp:revision>
  <cp:lastPrinted>2010-05-27T19:56:00Z</cp:lastPrinted>
  <dcterms:created xsi:type="dcterms:W3CDTF">2010-05-27T21:39:00Z</dcterms:created>
  <dcterms:modified xsi:type="dcterms:W3CDTF">2010-05-27T21:39:00Z</dcterms:modified>
</cp:coreProperties>
</file>