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6B56A5" w:rsidRPr="006B56A5" w:rsidRDefault="00AE2997" w:rsidP="00807737">
            <w:pPr>
              <w:rPr>
                <w:rFonts w:cs="Arial"/>
              </w:rPr>
            </w:pPr>
            <w:r>
              <w:rPr>
                <w:rFonts w:cs="Arial"/>
                <w:b/>
              </w:rPr>
              <w:t>MD-11 Wind-powered Generation and Base Point Deviation in the Nodal Protocols</w:t>
            </w:r>
            <w:r w:rsidR="00C870DF" w:rsidRPr="00DF59FA">
              <w:rPr>
                <w:rFonts w:cs="Arial"/>
                <w:b/>
              </w:rPr>
              <w:t>:</w:t>
            </w:r>
            <w:r w:rsidR="00C870DF" w:rsidRPr="00DF59FA">
              <w:rPr>
                <w:rFonts w:cs="Arial"/>
              </w:rPr>
              <w:t xml:space="preserve">  </w:t>
            </w:r>
            <w:r>
              <w:rPr>
                <w:rFonts w:cs="Arial"/>
              </w:rPr>
              <w:t>The nodal protocols specify that WGRs shall be held accountable for deviations from their base point when the Security Constrained Economic Dispatch (SCED) calculations must curtail them below the High Sustained Limit (HSL) used by SCED.  The need to curtail is signaled by the fact that the base point received by the WGR is 2 MW or more below the HSL sent to ERCOT by the WGR.  Insuring that the HSL used by the WGR and that used by SCED is the subject</w:t>
            </w:r>
            <w:r w:rsidR="00CA2C7B">
              <w:rPr>
                <w:rFonts w:cs="Arial"/>
              </w:rPr>
              <w:t xml:space="preserve"> of issue MD-09.  This issue </w:t>
            </w:r>
            <w:r>
              <w:rPr>
                <w:rFonts w:cs="Arial"/>
              </w:rPr>
              <w:t xml:space="preserve">has resulted from the fact that the settlement equations use the HSL from the current operating plan and not the HSL used by SCED to trigger base point settlement charge calculations.  The settlement trigger needs to be changed to use the HSL used by SCED.  Since a software change is required to </w:t>
            </w:r>
            <w:r w:rsidR="00807737">
              <w:rPr>
                <w:rFonts w:cs="Arial"/>
              </w:rPr>
              <w:t xml:space="preserve">fix this issue, resolution will have to wait for nodal revisions implemented after go live.  The possible effect of this error is inappropriate charges to WGRs that must be resolved by a </w:t>
            </w:r>
            <w:r w:rsidR="00CA2C7B">
              <w:rPr>
                <w:rFonts w:cs="Arial"/>
              </w:rPr>
              <w:t xml:space="preserve">routine </w:t>
            </w:r>
            <w:r w:rsidR="00807737">
              <w:rPr>
                <w:rFonts w:cs="Arial"/>
              </w:rPr>
              <w:t>dispute process.  Dispute processes for settlement issues may be considered routine, but they do take up market participant and ERCOT staff time.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807737">
            <w:pPr>
              <w:rPr>
                <w:rFonts w:cs="Arial"/>
              </w:rPr>
            </w:pPr>
            <w:r w:rsidRPr="00DF59FA">
              <w:rPr>
                <w:rFonts w:cs="Arial"/>
              </w:rPr>
              <w:t>Low</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807737">
            <w:pPr>
              <w:rPr>
                <w:rFonts w:cs="Arial"/>
              </w:rPr>
            </w:pPr>
            <w:r w:rsidRPr="00DF59FA">
              <w:rPr>
                <w:rFonts w:cs="Arial"/>
                <w:u w:val="single"/>
              </w:rPr>
              <w:t>Policy</w:t>
            </w:r>
            <w:r w:rsidRPr="00DF59FA">
              <w:rPr>
                <w:rFonts w:cs="Arial"/>
              </w:rPr>
              <w:t xml:space="preserve">:  </w:t>
            </w:r>
            <w:r w:rsidR="00807737">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807737">
            <w:pPr>
              <w:rPr>
                <w:rFonts w:cs="Arial"/>
              </w:rPr>
            </w:pPr>
            <w:r w:rsidRPr="00DF59FA">
              <w:rPr>
                <w:rFonts w:cs="Arial"/>
                <w:u w:val="single"/>
              </w:rPr>
              <w:t>Reliability</w:t>
            </w:r>
            <w:r w:rsidRPr="00DF59FA">
              <w:rPr>
                <w:rFonts w:cs="Arial"/>
              </w:rPr>
              <w:t xml:space="preserve">: </w:t>
            </w:r>
            <w:r w:rsidR="00807737">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807737">
            <w:pPr>
              <w:rPr>
                <w:rFonts w:cs="Arial"/>
              </w:rPr>
            </w:pPr>
            <w:r w:rsidRPr="00DF59FA">
              <w:rPr>
                <w:rFonts w:cs="Arial"/>
                <w:u w:val="single"/>
              </w:rPr>
              <w:t>Technical</w:t>
            </w:r>
            <w:r w:rsidRPr="00DF59FA">
              <w:rPr>
                <w:rFonts w:cs="Arial"/>
              </w:rPr>
              <w:t xml:space="preserve">:  </w:t>
            </w:r>
            <w:r w:rsidR="00807737">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807737">
            <w:pPr>
              <w:rPr>
                <w:rFonts w:cs="Arial"/>
              </w:rPr>
            </w:pPr>
            <w:r w:rsidRPr="00DF59FA">
              <w:rPr>
                <w:rFonts w:cs="Arial"/>
                <w:u w:val="single"/>
              </w:rPr>
              <w:t>Market</w:t>
            </w:r>
            <w:r w:rsidRPr="00DF59FA">
              <w:rPr>
                <w:rFonts w:cs="Arial"/>
              </w:rPr>
              <w:t xml:space="preserve">:  </w:t>
            </w:r>
            <w:r w:rsidR="00807737">
              <w:rPr>
                <w:rFonts w:cs="Arial"/>
              </w:rPr>
              <w:t>Can expose WGRs to higher costs if not resolved.</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807737">
            <w:pPr>
              <w:rPr>
                <w:rFonts w:cs="Arial"/>
              </w:rPr>
            </w:pPr>
            <w:r w:rsidRPr="00DF59FA">
              <w:rPr>
                <w:rFonts w:cs="Arial"/>
                <w:u w:val="single"/>
              </w:rPr>
              <w:t>Performance/Compliance</w:t>
            </w:r>
            <w:r w:rsidRPr="00DF59FA">
              <w:rPr>
                <w:rFonts w:cs="Arial"/>
              </w:rPr>
              <w:t xml:space="preserve">:  </w:t>
            </w:r>
            <w:r w:rsidR="00807737">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807737">
            <w:pPr>
              <w:rPr>
                <w:rFonts w:cs="Arial"/>
              </w:rPr>
            </w:pPr>
            <w:r w:rsidRPr="00DF59FA">
              <w:rPr>
                <w:rFonts w:cs="Arial"/>
                <w:u w:val="single"/>
              </w:rPr>
              <w:t>Cost Allocation</w:t>
            </w:r>
            <w:r w:rsidRPr="00DF59FA">
              <w:rPr>
                <w:rFonts w:cs="Arial"/>
              </w:rPr>
              <w:t xml:space="preserve">:  </w:t>
            </w:r>
            <w:r w:rsidR="00807737">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C870DF" w:rsidRPr="00807737" w:rsidRDefault="00C870DF" w:rsidP="00F46B67">
            <w:pPr>
              <w:rPr>
                <w:rFonts w:cs="Arial"/>
              </w:rPr>
            </w:pPr>
            <w:r w:rsidRPr="00DF59FA">
              <w:rPr>
                <w:rFonts w:cs="Arial"/>
                <w:u w:val="single"/>
              </w:rPr>
              <w:t>Recommendation</w:t>
            </w:r>
            <w:r w:rsidR="00807737">
              <w:rPr>
                <w:rFonts w:cs="Arial"/>
                <w:u w:val="single"/>
              </w:rPr>
              <w:t>:</w:t>
            </w:r>
            <w:r w:rsidR="00807737">
              <w:rPr>
                <w:rFonts w:cs="Arial"/>
              </w:rPr>
              <w:t xml:space="preserve"> Prepare a nodal revision request fixing this and other WGR related issues requiring a software change (see MD-</w:t>
            </w:r>
            <w:r w:rsidR="00F46B67">
              <w:rPr>
                <w:rFonts w:cs="Arial"/>
              </w:rPr>
              <w:t>09, MD-10</w:t>
            </w:r>
            <w:r w:rsidR="00807737">
              <w:rPr>
                <w:rFonts w:cs="Arial"/>
              </w:rPr>
              <w:t>)</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807737">
            <w:pPr>
              <w:rPr>
                <w:rFonts w:cs="Arial"/>
              </w:rPr>
            </w:pPr>
            <w:r w:rsidRPr="00DF59FA">
              <w:rPr>
                <w:rFonts w:cs="Arial"/>
                <w:u w:val="single"/>
              </w:rPr>
              <w:t>ERCOT (E X)</w:t>
            </w:r>
            <w:r w:rsidRPr="00DF59FA">
              <w:rPr>
                <w:rFonts w:cs="Arial"/>
              </w:rPr>
              <w:t xml:space="preserve">:  </w:t>
            </w:r>
            <w:r w:rsidR="00807737">
              <w:rPr>
                <w:rFonts w:cs="Arial"/>
              </w:rPr>
              <w:t>Assist with analyzing and resolving the issue.  Implement needed changes.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6B56A5" w:rsidRDefault="00C870DF" w:rsidP="00807737">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6B56A5" w:rsidRDefault="006B56A5" w:rsidP="00807737">
            <w:pPr>
              <w:rPr>
                <w:rFonts w:cs="Arial"/>
              </w:rPr>
            </w:pPr>
          </w:p>
          <w:p w:rsidR="00C870DF" w:rsidRPr="00DF59FA" w:rsidRDefault="00807737" w:rsidP="00807737">
            <w:pPr>
              <w:rPr>
                <w:rFonts w:cs="Arial"/>
              </w:rPr>
            </w:pPr>
            <w:r w:rsidRPr="006B56A5">
              <w:rPr>
                <w:rFonts w:cs="Arial"/>
                <w:u w:val="single"/>
              </w:rPr>
              <w:t>WGRs</w:t>
            </w:r>
            <w:r>
              <w:rPr>
                <w:rFonts w:cs="Arial"/>
              </w:rPr>
              <w:t xml:space="preserve"> assist with analyzing and resolving the issue.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807737" w:rsidP="00DF59FA">
            <w:pPr>
              <w:rPr>
                <w:rFonts w:cs="Arial"/>
              </w:rPr>
            </w:pPr>
            <w:r>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Pr="00DF59FA" w:rsidRDefault="00807737" w:rsidP="00DF59FA">
            <w:pPr>
              <w:rPr>
                <w:rFonts w:cs="Arial"/>
              </w:rPr>
            </w:pPr>
            <w:r>
              <w:rPr>
                <w:rFonts w:cs="Arial"/>
              </w:rPr>
              <w:t>Initiate the nodal revision request by July 2010.</w:t>
            </w:r>
          </w:p>
        </w:tc>
      </w:tr>
    </w:tbl>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01A59"/>
    <w:rsid w:val="000311A8"/>
    <w:rsid w:val="00051EEF"/>
    <w:rsid w:val="00093C0A"/>
    <w:rsid w:val="000A426F"/>
    <w:rsid w:val="000B06D7"/>
    <w:rsid w:val="002D3EA8"/>
    <w:rsid w:val="0046112A"/>
    <w:rsid w:val="00485B39"/>
    <w:rsid w:val="00501196"/>
    <w:rsid w:val="00501F22"/>
    <w:rsid w:val="00526BB7"/>
    <w:rsid w:val="00526DB2"/>
    <w:rsid w:val="005436D1"/>
    <w:rsid w:val="005B4A73"/>
    <w:rsid w:val="006B56A5"/>
    <w:rsid w:val="00807737"/>
    <w:rsid w:val="008F7A76"/>
    <w:rsid w:val="00900A93"/>
    <w:rsid w:val="0090608F"/>
    <w:rsid w:val="009B3541"/>
    <w:rsid w:val="00A50D04"/>
    <w:rsid w:val="00AA10B1"/>
    <w:rsid w:val="00AE2997"/>
    <w:rsid w:val="00B33637"/>
    <w:rsid w:val="00BB5223"/>
    <w:rsid w:val="00C870DF"/>
    <w:rsid w:val="00C932F7"/>
    <w:rsid w:val="00CA2C7B"/>
    <w:rsid w:val="00CB1EE4"/>
    <w:rsid w:val="00DF59FA"/>
    <w:rsid w:val="00E07F44"/>
    <w:rsid w:val="00E750EB"/>
    <w:rsid w:val="00EF15C3"/>
    <w:rsid w:val="00F2721D"/>
    <w:rsid w:val="00F46B67"/>
    <w:rsid w:val="00F52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7</cp:revision>
  <dcterms:created xsi:type="dcterms:W3CDTF">2010-04-14T16:05:00Z</dcterms:created>
  <dcterms:modified xsi:type="dcterms:W3CDTF">2010-04-17T14:04:00Z</dcterms:modified>
</cp:coreProperties>
</file>