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FA" w:rsidRPr="00DF59FA" w:rsidRDefault="00DF59FA"/>
    <w:p w:rsidR="00C870DF" w:rsidRPr="00DF59FA" w:rsidRDefault="00C870DF"/>
    <w:tbl>
      <w:tblPr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2095"/>
        <w:gridCol w:w="7481"/>
      </w:tblGrid>
      <w:tr w:rsidR="00C870DF" w:rsidRPr="00DF59FA" w:rsidTr="00DF59FA">
        <w:tc>
          <w:tcPr>
            <w:tcW w:w="9576" w:type="dxa"/>
            <w:gridSpan w:val="2"/>
            <w:vAlign w:val="center"/>
          </w:tcPr>
          <w:p w:rsidR="00190976" w:rsidRDefault="00907508" w:rsidP="00190976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SO-10 </w:t>
            </w:r>
            <w:r w:rsidR="00D555E1">
              <w:rPr>
                <w:rFonts w:cs="Arial"/>
                <w:b/>
              </w:rPr>
              <w:t>Voltage Control Process</w:t>
            </w:r>
            <w:r w:rsidR="00C870DF" w:rsidRPr="00DF59FA">
              <w:rPr>
                <w:rFonts w:cs="Arial"/>
                <w:b/>
              </w:rPr>
              <w:t>:</w:t>
            </w:r>
            <w:r w:rsidR="00C870DF" w:rsidRPr="00DF59FA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T</w:t>
            </w:r>
            <w:r w:rsidR="00D555E1">
              <w:rPr>
                <w:rFonts w:cs="Arial"/>
              </w:rPr>
              <w:t xml:space="preserve">his issue </w:t>
            </w:r>
            <w:r>
              <w:rPr>
                <w:rFonts w:cs="Arial"/>
              </w:rPr>
              <w:t xml:space="preserve">has been raised </w:t>
            </w:r>
            <w:r w:rsidR="00D555E1">
              <w:rPr>
                <w:rFonts w:cs="Arial"/>
              </w:rPr>
              <w:t xml:space="preserve">in recognition of the fact that the West Texas / Panhandle will have many different transmission providers serving a large concentration of wind-powered generation.  There has long been </w:t>
            </w:r>
            <w:r w:rsidR="00190976">
              <w:rPr>
                <w:rFonts w:cs="Arial"/>
              </w:rPr>
              <w:t xml:space="preserve">a </w:t>
            </w:r>
            <w:r w:rsidR="00D555E1">
              <w:rPr>
                <w:rFonts w:cs="Arial"/>
              </w:rPr>
              <w:t xml:space="preserve">need to coordinate voltage in response to large daily swings in load and the accompanying swings in generation.  </w:t>
            </w:r>
            <w:r w:rsidR="00190976">
              <w:rPr>
                <w:rFonts w:cs="Arial"/>
              </w:rPr>
              <w:t>Transmission Service Providers (TSPs) have designed, installed, and operated the needed reactive devices for their systems. Operationally, t</w:t>
            </w:r>
            <w:r w:rsidR="00D555E1">
              <w:rPr>
                <w:rFonts w:cs="Arial"/>
              </w:rPr>
              <w:t xml:space="preserve">he typical pattern has been to </w:t>
            </w:r>
            <w:r w:rsidR="006C7B2D">
              <w:rPr>
                <w:rFonts w:cs="Arial"/>
              </w:rPr>
              <w:t xml:space="preserve">do ERCOT wide seasonal studies setting voltage profiles and then letting the Transmission Service Providers (TSPs) manage the day to day and hour to hour variations.  </w:t>
            </w:r>
            <w:r w:rsidR="00190976">
              <w:rPr>
                <w:rFonts w:cs="Arial"/>
              </w:rPr>
              <w:t>Coordination of reactive designs between TSPs was needed only for special circumstances.</w:t>
            </w:r>
          </w:p>
          <w:p w:rsidR="00190976" w:rsidRDefault="00190976" w:rsidP="00190976">
            <w:pPr>
              <w:rPr>
                <w:rFonts w:cs="Arial"/>
              </w:rPr>
            </w:pPr>
          </w:p>
          <w:p w:rsidR="00C870DF" w:rsidRPr="00DF59FA" w:rsidRDefault="009B07B8" w:rsidP="009B07B8">
            <w:pPr>
              <w:rPr>
                <w:rFonts w:cs="Arial"/>
                <w:b/>
              </w:rPr>
            </w:pPr>
            <w:r>
              <w:rPr>
                <w:rFonts w:cs="Arial"/>
              </w:rPr>
              <w:t xml:space="preserve">The eight individual TSPs systems involved in the CREZ projects are intertwined with each other.  One TSPs voltage control efforts can be expected to have a large impact on anther TSPs facilities. </w:t>
            </w:r>
            <w:r w:rsidR="006C7B2D">
              <w:rPr>
                <w:rFonts w:cs="Arial"/>
              </w:rPr>
              <w:t>The large concentration of wind-power served by eight different TSPs requires a detailed and coordinated design effort and operating strategy.  Thus this issue has both a planning and operations component.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Priority</w:t>
            </w:r>
          </w:p>
        </w:tc>
        <w:tc>
          <w:tcPr>
            <w:tcW w:w="7481" w:type="dxa"/>
            <w:vAlign w:val="center"/>
          </w:tcPr>
          <w:p w:rsidR="00C870DF" w:rsidRPr="00DF59FA" w:rsidRDefault="001E467C" w:rsidP="001E467C">
            <w:pPr>
              <w:rPr>
                <w:rFonts w:cs="Arial"/>
              </w:rPr>
            </w:pPr>
            <w:r>
              <w:rPr>
                <w:rFonts w:cs="Arial"/>
              </w:rPr>
              <w:t>Medium</w:t>
            </w:r>
            <w:r w:rsidR="006C7B2D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operations</w:t>
            </w:r>
            <w:r w:rsidR="006C7B2D">
              <w:rPr>
                <w:rFonts w:cs="Arial"/>
              </w:rPr>
              <w:t xml:space="preserve"> component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Considerations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6C7B2D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Policy</w:t>
            </w:r>
            <w:r w:rsidRPr="00DF59FA">
              <w:rPr>
                <w:rFonts w:cs="Arial"/>
              </w:rPr>
              <w:t xml:space="preserve">: </w:t>
            </w:r>
            <w:r w:rsidR="006C7B2D">
              <w:rPr>
                <w:rFonts w:cs="Arial"/>
              </w:rPr>
              <w:t xml:space="preserve"> None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1E467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Reliability</w:t>
            </w:r>
            <w:r w:rsidRPr="00DF59FA">
              <w:rPr>
                <w:rFonts w:cs="Arial"/>
              </w:rPr>
              <w:t xml:space="preserve">:  </w:t>
            </w:r>
            <w:r w:rsidR="006C7B2D">
              <w:rPr>
                <w:rFonts w:cs="Arial"/>
              </w:rPr>
              <w:t xml:space="preserve">Voltage control is a key reliability issue.  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6C7B2D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Technical</w:t>
            </w:r>
            <w:r w:rsidRPr="00DF59FA">
              <w:rPr>
                <w:rFonts w:cs="Arial"/>
              </w:rPr>
              <w:t xml:space="preserve">:  </w:t>
            </w:r>
            <w:r w:rsidR="006C7B2D">
              <w:rPr>
                <w:rFonts w:cs="Arial"/>
              </w:rPr>
              <w:t xml:space="preserve">Currently available technology will provide the needed </w:t>
            </w:r>
            <w:r w:rsidR="00960791">
              <w:rPr>
                <w:rFonts w:cs="Arial"/>
              </w:rPr>
              <w:t xml:space="preserve">reactive </w:t>
            </w:r>
            <w:r w:rsidR="006C7B2D">
              <w:rPr>
                <w:rFonts w:cs="Arial"/>
              </w:rPr>
              <w:t>components.</w:t>
            </w:r>
            <w:r w:rsidR="001E467C">
              <w:rPr>
                <w:rFonts w:cs="Arial"/>
              </w:rPr>
              <w:t xml:space="preserve">  However new operating practices and requiring new coordination strategies may be needed.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6C7B2D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</w:t>
            </w:r>
            <w:r w:rsidRPr="00DF59FA">
              <w:rPr>
                <w:rFonts w:cs="Arial"/>
              </w:rPr>
              <w:t xml:space="preserve">:  </w:t>
            </w:r>
            <w:r w:rsidR="006C7B2D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1E467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Performance/Compliance</w:t>
            </w:r>
            <w:r w:rsidRPr="00DF59FA">
              <w:rPr>
                <w:rFonts w:cs="Arial"/>
              </w:rPr>
              <w:t xml:space="preserve">:  </w:t>
            </w:r>
            <w:r w:rsidR="006C7B2D">
              <w:rPr>
                <w:rFonts w:cs="Arial"/>
              </w:rPr>
              <w:t xml:space="preserve">Existing performance and compliance should be adequate </w:t>
            </w:r>
            <w:r w:rsidR="001E467C">
              <w:rPr>
                <w:rFonts w:cs="Arial"/>
              </w:rPr>
              <w:t>unless radically different operating procedures are developed</w:t>
            </w:r>
            <w:r w:rsidR="00960791">
              <w:rPr>
                <w:rFonts w:cs="Arial"/>
              </w:rPr>
              <w:t>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1E467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Cost Allocation</w:t>
            </w:r>
            <w:r w:rsidRPr="00DF59FA">
              <w:rPr>
                <w:rFonts w:cs="Arial"/>
              </w:rPr>
              <w:t xml:space="preserve">:  </w:t>
            </w:r>
            <w:r w:rsidR="00960791">
              <w:rPr>
                <w:rFonts w:cs="Arial"/>
              </w:rPr>
              <w:t>No new cost allocation issues are anticipated.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Strategy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1E467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Recommendation.</w:t>
            </w:r>
            <w:r w:rsidRPr="00DF59FA">
              <w:rPr>
                <w:rFonts w:cs="Arial"/>
              </w:rPr>
              <w:t xml:space="preserve">  </w:t>
            </w:r>
            <w:r w:rsidR="001E467C">
              <w:rPr>
                <w:rFonts w:cs="Arial"/>
              </w:rPr>
              <w:t>Include an operational analysis in the reactive design study to evaluate the level of coordination needed to respond to load and generation changes in West Texas / Panhandle.</w:t>
            </w:r>
            <w:r w:rsidR="001440ED">
              <w:rPr>
                <w:rFonts w:cs="Arial"/>
              </w:rPr>
              <w:t xml:space="preserve">  Evaluate the adequacy of current voltage control procedures.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Activities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960791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ERCOT (E X)</w:t>
            </w:r>
            <w:r w:rsidRPr="00DF59FA">
              <w:rPr>
                <w:rFonts w:cs="Arial"/>
              </w:rPr>
              <w:t xml:space="preserve">:  </w:t>
            </w:r>
            <w:r w:rsidR="00960791">
              <w:rPr>
                <w:rFonts w:cs="Arial"/>
              </w:rPr>
              <w:t>ERCOT assist in developing a study scope and procuring study resources.</w:t>
            </w:r>
            <w:r w:rsidR="001440ED">
              <w:rPr>
                <w:rFonts w:cs="Arial"/>
              </w:rPr>
              <w:t xml:space="preserve">  ERCOT lead the effort to assess the adequacy of standard voltage control procedures when operating the CREZ system.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907508" w:rsidRDefault="00C870DF" w:rsidP="001440ED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 Participants</w:t>
            </w:r>
            <w:r w:rsidR="00CB1EE4" w:rsidRPr="00DF59FA">
              <w:rPr>
                <w:rFonts w:cs="Arial"/>
                <w:u w:val="single"/>
              </w:rPr>
              <w:t xml:space="preserve"> (MP X)</w:t>
            </w:r>
            <w:r w:rsidRPr="00DF59FA">
              <w:rPr>
                <w:rFonts w:cs="Arial"/>
              </w:rPr>
              <w:t xml:space="preserve">:  </w:t>
            </w:r>
          </w:p>
          <w:p w:rsidR="00907508" w:rsidRDefault="00907508" w:rsidP="001440ED">
            <w:pPr>
              <w:rPr>
                <w:rFonts w:cs="Arial"/>
              </w:rPr>
            </w:pPr>
          </w:p>
          <w:p w:rsidR="00C870DF" w:rsidRPr="00DF59FA" w:rsidRDefault="00960791" w:rsidP="001440ED">
            <w:pPr>
              <w:rPr>
                <w:rFonts w:cs="Arial"/>
              </w:rPr>
            </w:pPr>
            <w:r w:rsidRPr="00907508">
              <w:rPr>
                <w:rFonts w:cs="Arial"/>
                <w:u w:val="single"/>
              </w:rPr>
              <w:t>TSPs</w:t>
            </w:r>
            <w:r w:rsidR="001440ED">
              <w:rPr>
                <w:rFonts w:cs="Arial"/>
              </w:rPr>
              <w:t>, generators, and all other market participants actively participate in the evaluation of voltage control procedures for the CREZ system.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Follow-Up</w:t>
            </w:r>
          </w:p>
        </w:tc>
        <w:tc>
          <w:tcPr>
            <w:tcW w:w="7481" w:type="dxa"/>
            <w:vAlign w:val="center"/>
          </w:tcPr>
          <w:p w:rsidR="00C870DF" w:rsidRPr="00DF59FA" w:rsidRDefault="001440ED" w:rsidP="001440ED">
            <w:pPr>
              <w:rPr>
                <w:rFonts w:cs="Arial"/>
              </w:rPr>
            </w:pPr>
            <w:r>
              <w:rPr>
                <w:rFonts w:cs="Arial"/>
              </w:rPr>
              <w:t xml:space="preserve">The Reliability and Operations Subcommittee needs to review ERCOT and TSP </w:t>
            </w:r>
            <w:r>
              <w:rPr>
                <w:rFonts w:cs="Arial"/>
              </w:rPr>
              <w:lastRenderedPageBreak/>
              <w:t>plans for voltage control of the CREZ system.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lastRenderedPageBreak/>
              <w:t>Schedule</w:t>
            </w:r>
          </w:p>
        </w:tc>
        <w:tc>
          <w:tcPr>
            <w:tcW w:w="7481" w:type="dxa"/>
            <w:vAlign w:val="center"/>
          </w:tcPr>
          <w:p w:rsidR="00C870DF" w:rsidRDefault="00960791" w:rsidP="00DF59FA">
            <w:pPr>
              <w:rPr>
                <w:rFonts w:cs="Arial"/>
              </w:rPr>
            </w:pPr>
            <w:r>
              <w:rPr>
                <w:rFonts w:cs="Arial"/>
              </w:rPr>
              <w:t>The reactive design study is currently underway.</w:t>
            </w:r>
          </w:p>
          <w:p w:rsidR="00960791" w:rsidRDefault="001440ED" w:rsidP="00DF59FA">
            <w:pPr>
              <w:rPr>
                <w:rFonts w:cs="Arial"/>
              </w:rPr>
            </w:pPr>
            <w:r>
              <w:rPr>
                <w:rFonts w:cs="Arial"/>
              </w:rPr>
              <w:t>June</w:t>
            </w:r>
            <w:r w:rsidR="00960791">
              <w:rPr>
                <w:rFonts w:cs="Arial"/>
              </w:rPr>
              <w:t xml:space="preserve"> 2010 – reactive </w:t>
            </w:r>
            <w:r>
              <w:rPr>
                <w:rFonts w:cs="Arial"/>
              </w:rPr>
              <w:t>operational review</w:t>
            </w:r>
            <w:r w:rsidR="00960791">
              <w:rPr>
                <w:rFonts w:cs="Arial"/>
              </w:rPr>
              <w:t xml:space="preserve"> </w:t>
            </w:r>
            <w:r w:rsidR="001726A8">
              <w:rPr>
                <w:rFonts w:cs="Arial"/>
              </w:rPr>
              <w:t>portion of the study completed</w:t>
            </w:r>
            <w:r w:rsidR="008A3285">
              <w:rPr>
                <w:rFonts w:cs="Arial"/>
              </w:rPr>
              <w:t>.</w:t>
            </w:r>
          </w:p>
          <w:p w:rsidR="00960791" w:rsidRPr="00DF59FA" w:rsidRDefault="001440ED" w:rsidP="001440ED">
            <w:pPr>
              <w:rPr>
                <w:rFonts w:cs="Arial"/>
              </w:rPr>
            </w:pPr>
            <w:r>
              <w:rPr>
                <w:rFonts w:cs="Arial"/>
              </w:rPr>
              <w:t>June 2011 – ERCOT and</w:t>
            </w:r>
            <w:r w:rsidR="00960791">
              <w:rPr>
                <w:rFonts w:cs="Arial"/>
              </w:rPr>
              <w:t xml:space="preserve"> TSPs </w:t>
            </w:r>
            <w:r>
              <w:rPr>
                <w:rFonts w:cs="Arial"/>
              </w:rPr>
              <w:t>establish any needed new procedures</w:t>
            </w:r>
            <w:r w:rsidR="00190976">
              <w:rPr>
                <w:rFonts w:cs="Arial"/>
              </w:rPr>
              <w:t>.</w:t>
            </w:r>
          </w:p>
        </w:tc>
      </w:tr>
    </w:tbl>
    <w:p w:rsidR="00C870DF" w:rsidRPr="00DF59FA" w:rsidRDefault="00C870DF"/>
    <w:sectPr w:rsidR="00C870DF" w:rsidRPr="00DF59FA" w:rsidSect="008F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70DF"/>
    <w:rsid w:val="001440ED"/>
    <w:rsid w:val="001726A8"/>
    <w:rsid w:val="00190976"/>
    <w:rsid w:val="001E467C"/>
    <w:rsid w:val="00501F22"/>
    <w:rsid w:val="00526BB7"/>
    <w:rsid w:val="005B4A73"/>
    <w:rsid w:val="006C7B2D"/>
    <w:rsid w:val="00784E86"/>
    <w:rsid w:val="008A3285"/>
    <w:rsid w:val="008F7A76"/>
    <w:rsid w:val="00907508"/>
    <w:rsid w:val="00960791"/>
    <w:rsid w:val="009B07B8"/>
    <w:rsid w:val="009B3541"/>
    <w:rsid w:val="00AA10B1"/>
    <w:rsid w:val="00B10CBF"/>
    <w:rsid w:val="00B14B14"/>
    <w:rsid w:val="00C133F3"/>
    <w:rsid w:val="00C870DF"/>
    <w:rsid w:val="00CB1EE4"/>
    <w:rsid w:val="00D555E1"/>
    <w:rsid w:val="00DF59FA"/>
    <w:rsid w:val="00E07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DF"/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J. Bruce</dc:creator>
  <cp:lastModifiedBy>Wind Coalition</cp:lastModifiedBy>
  <cp:revision>5</cp:revision>
  <dcterms:created xsi:type="dcterms:W3CDTF">2010-04-14T16:55:00Z</dcterms:created>
  <dcterms:modified xsi:type="dcterms:W3CDTF">2010-04-17T14:08:00Z</dcterms:modified>
</cp:coreProperties>
</file>