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9FA" w:rsidRPr="00DF59FA" w:rsidRDefault="00DF59FA"/>
    <w:p w:rsidR="00C870DF" w:rsidRPr="00DF59FA" w:rsidRDefault="00C870DF"/>
    <w:tbl>
      <w:tblPr>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CellMar>
          <w:top w:w="115" w:type="dxa"/>
          <w:left w:w="115" w:type="dxa"/>
          <w:bottom w:w="115" w:type="dxa"/>
          <w:right w:w="115" w:type="dxa"/>
        </w:tblCellMar>
        <w:tblLook w:val="04A0"/>
      </w:tblPr>
      <w:tblGrid>
        <w:gridCol w:w="2095"/>
        <w:gridCol w:w="7481"/>
      </w:tblGrid>
      <w:tr w:rsidR="00C870DF" w:rsidRPr="00DF59FA" w:rsidTr="00DF59FA">
        <w:tc>
          <w:tcPr>
            <w:tcW w:w="9576" w:type="dxa"/>
            <w:gridSpan w:val="2"/>
            <w:vAlign w:val="center"/>
          </w:tcPr>
          <w:p w:rsidR="00C870DF" w:rsidRPr="00DF59FA" w:rsidRDefault="00215AB8" w:rsidP="001564EC">
            <w:pPr>
              <w:rPr>
                <w:rFonts w:cs="Arial"/>
                <w:b/>
              </w:rPr>
            </w:pPr>
            <w:r>
              <w:rPr>
                <w:rFonts w:cs="Arial"/>
                <w:b/>
              </w:rPr>
              <w:t>SO-34 SCED Line Ratings</w:t>
            </w:r>
            <w:r w:rsidR="00C870DF" w:rsidRPr="00DF59FA">
              <w:rPr>
                <w:rFonts w:cs="Arial"/>
                <w:b/>
              </w:rPr>
              <w:t>:</w:t>
            </w:r>
            <w:r w:rsidR="00C870DF" w:rsidRPr="00DF59FA">
              <w:rPr>
                <w:rFonts w:cs="Arial"/>
              </w:rPr>
              <w:t xml:space="preserve">  </w:t>
            </w:r>
            <w:r>
              <w:rPr>
                <w:rFonts w:cs="Arial"/>
              </w:rPr>
              <w:t xml:space="preserve">The Security Constrained Economic Dispatch (SCED) software determines the allowed output level of all generators in ERCOT respecting transmission line limits.  The transmission line limits are provided by the Transmission Service Providers </w:t>
            </w:r>
            <w:r w:rsidR="001564EC">
              <w:rPr>
                <w:rFonts w:cs="Arial"/>
              </w:rPr>
              <w:t xml:space="preserve">(TSPs) </w:t>
            </w:r>
            <w:r>
              <w:rPr>
                <w:rFonts w:cs="Arial"/>
              </w:rPr>
              <w:t xml:space="preserve">and in many cases are periodically modified based on expected temperatures.  The temperatures used must be the highest temperature reasonably possible during the time period and for the region of the estimate.  It is possible to provide actual temperatures in local geographic areas on a real-time basis. </w:t>
            </w:r>
            <w:r w:rsidR="001564EC">
              <w:rPr>
                <w:rFonts w:cs="Arial"/>
              </w:rPr>
              <w:t xml:space="preserve">The use of the higher temperature estimate insures that the rating of the line will be conservative since a high temperature limits the current carrying capability of the line. </w:t>
            </w:r>
            <w:r>
              <w:rPr>
                <w:rFonts w:cs="Arial"/>
              </w:rPr>
              <w:t xml:space="preserve"> If the more local real-time temperatures can be used to give SCED updated line ratings then it may be possible to increase the </w:t>
            </w:r>
            <w:r w:rsidR="001564EC">
              <w:rPr>
                <w:rFonts w:cs="Arial"/>
              </w:rPr>
              <w:t>use</w:t>
            </w:r>
            <w:r>
              <w:rPr>
                <w:rFonts w:cs="Arial"/>
              </w:rPr>
              <w:t xml:space="preserve"> of the transmission system </w:t>
            </w:r>
            <w:r w:rsidR="001564EC">
              <w:rPr>
                <w:rFonts w:cs="Arial"/>
              </w:rPr>
              <w:t xml:space="preserve">reliably since a more realistic line rating will be used.  Increased use of existing facilities is a benefit to all parties.  Implementation in the new nodal software is possible but new procedures, monitoring systems, telemetry, and software will be needed.   </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Priority</w:t>
            </w:r>
          </w:p>
        </w:tc>
        <w:tc>
          <w:tcPr>
            <w:tcW w:w="7481" w:type="dxa"/>
            <w:vAlign w:val="center"/>
          </w:tcPr>
          <w:p w:rsidR="00C870DF" w:rsidRPr="00DF59FA" w:rsidRDefault="00C870DF" w:rsidP="001564EC">
            <w:pPr>
              <w:rPr>
                <w:rFonts w:cs="Arial"/>
              </w:rPr>
            </w:pPr>
            <w:r w:rsidRPr="00DF59FA">
              <w:rPr>
                <w:rFonts w:cs="Arial"/>
              </w:rPr>
              <w:t>Medium</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Considerations</w:t>
            </w:r>
          </w:p>
        </w:tc>
        <w:tc>
          <w:tcPr>
            <w:tcW w:w="7481" w:type="dxa"/>
            <w:vAlign w:val="center"/>
          </w:tcPr>
          <w:p w:rsidR="00C870DF" w:rsidRPr="00DF59FA" w:rsidRDefault="00C870DF" w:rsidP="001564EC">
            <w:pPr>
              <w:rPr>
                <w:rFonts w:cs="Arial"/>
              </w:rPr>
            </w:pPr>
            <w:r w:rsidRPr="00DF59FA">
              <w:rPr>
                <w:rFonts w:cs="Arial"/>
                <w:u w:val="single"/>
              </w:rPr>
              <w:t>Policy</w:t>
            </w:r>
            <w:r w:rsidRPr="00DF59FA">
              <w:rPr>
                <w:rFonts w:cs="Arial"/>
              </w:rPr>
              <w:t xml:space="preserve">:  </w:t>
            </w:r>
            <w:r w:rsidR="001564EC">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1564EC">
            <w:pPr>
              <w:rPr>
                <w:rFonts w:cs="Arial"/>
              </w:rPr>
            </w:pPr>
            <w:r w:rsidRPr="00DF59FA">
              <w:rPr>
                <w:rFonts w:cs="Arial"/>
                <w:u w:val="single"/>
              </w:rPr>
              <w:t>Reliability</w:t>
            </w:r>
            <w:r w:rsidRPr="00DF59FA">
              <w:rPr>
                <w:rFonts w:cs="Arial"/>
              </w:rPr>
              <w:t xml:space="preserve">:  </w:t>
            </w:r>
            <w:r w:rsidR="001564EC">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1564EC">
            <w:pPr>
              <w:rPr>
                <w:rFonts w:cs="Arial"/>
              </w:rPr>
            </w:pPr>
            <w:r w:rsidRPr="00DF59FA">
              <w:rPr>
                <w:rFonts w:cs="Arial"/>
                <w:u w:val="single"/>
              </w:rPr>
              <w:t>Technical</w:t>
            </w:r>
            <w:r w:rsidRPr="00DF59FA">
              <w:rPr>
                <w:rFonts w:cs="Arial"/>
              </w:rPr>
              <w:t xml:space="preserve">:  </w:t>
            </w:r>
            <w:r w:rsidR="001564EC">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1564EC">
            <w:pPr>
              <w:rPr>
                <w:rFonts w:cs="Arial"/>
              </w:rPr>
            </w:pPr>
            <w:r w:rsidRPr="00DF59FA">
              <w:rPr>
                <w:rFonts w:cs="Arial"/>
                <w:u w:val="single"/>
              </w:rPr>
              <w:t>Market</w:t>
            </w:r>
            <w:r w:rsidRPr="00DF59FA">
              <w:rPr>
                <w:rFonts w:cs="Arial"/>
              </w:rPr>
              <w:t xml:space="preserve">:  </w:t>
            </w:r>
            <w:r w:rsidR="001564EC">
              <w:rPr>
                <w:rFonts w:cs="Arial"/>
              </w:rPr>
              <w:t>This can have a significant effect on the market allowing production costs to decrease significantly.</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1564EC">
            <w:pPr>
              <w:rPr>
                <w:rFonts w:cs="Arial"/>
              </w:rPr>
            </w:pPr>
            <w:r w:rsidRPr="00DF59FA">
              <w:rPr>
                <w:rFonts w:cs="Arial"/>
                <w:u w:val="single"/>
              </w:rPr>
              <w:t>Performance/Compliance</w:t>
            </w:r>
            <w:r w:rsidRPr="00DF59FA">
              <w:rPr>
                <w:rFonts w:cs="Arial"/>
              </w:rPr>
              <w:t xml:space="preserve">:  </w:t>
            </w:r>
            <w:r w:rsidR="001564EC">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1564EC">
            <w:pPr>
              <w:rPr>
                <w:rFonts w:cs="Arial"/>
              </w:rPr>
            </w:pPr>
            <w:r w:rsidRPr="00DF59FA">
              <w:rPr>
                <w:rFonts w:cs="Arial"/>
                <w:u w:val="single"/>
              </w:rPr>
              <w:t>Cost Allocation</w:t>
            </w:r>
            <w:r w:rsidRPr="00DF59FA">
              <w:rPr>
                <w:rFonts w:cs="Arial"/>
              </w:rPr>
              <w:t xml:space="preserve">:  </w:t>
            </w:r>
            <w:r w:rsidR="001564EC">
              <w:rPr>
                <w:rFonts w:cs="Arial"/>
              </w:rPr>
              <w:t>None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Strategy</w:t>
            </w:r>
          </w:p>
        </w:tc>
        <w:tc>
          <w:tcPr>
            <w:tcW w:w="7481" w:type="dxa"/>
            <w:vAlign w:val="center"/>
          </w:tcPr>
          <w:p w:rsidR="00501F22" w:rsidRPr="00DF59FA" w:rsidRDefault="001564EC" w:rsidP="00DF59FA">
            <w:pPr>
              <w:rPr>
                <w:rFonts w:cs="Arial"/>
              </w:rPr>
            </w:pPr>
            <w:r>
              <w:rPr>
                <w:rFonts w:cs="Arial"/>
              </w:rPr>
              <w:t>Get the most out of existing transmission assets.</w:t>
            </w:r>
          </w:p>
          <w:p w:rsidR="00501F22" w:rsidRPr="00DF59FA" w:rsidRDefault="00501F22" w:rsidP="00DF59FA">
            <w:pPr>
              <w:rPr>
                <w:rFonts w:cs="Arial"/>
              </w:rPr>
            </w:pPr>
          </w:p>
          <w:p w:rsidR="00C870DF" w:rsidRPr="00DF59FA" w:rsidRDefault="00C870DF" w:rsidP="001564EC">
            <w:pPr>
              <w:rPr>
                <w:rFonts w:cs="Arial"/>
              </w:rPr>
            </w:pPr>
            <w:r w:rsidRPr="00DF59FA">
              <w:rPr>
                <w:rFonts w:cs="Arial"/>
                <w:u w:val="single"/>
              </w:rPr>
              <w:t>Recommendation</w:t>
            </w:r>
            <w:r w:rsidR="001564EC">
              <w:rPr>
                <w:rFonts w:cs="Arial"/>
                <w:u w:val="single"/>
              </w:rPr>
              <w:t xml:space="preserve">: </w:t>
            </w:r>
            <w:r w:rsidR="001564EC">
              <w:rPr>
                <w:rFonts w:cs="Arial"/>
              </w:rPr>
              <w:t xml:space="preserve"> Establish </w:t>
            </w:r>
            <w:r w:rsidR="001564EC" w:rsidRPr="00DF59FA">
              <w:rPr>
                <w:rFonts w:cs="Arial"/>
              </w:rPr>
              <w:t>procedures</w:t>
            </w:r>
            <w:r w:rsidR="001564EC">
              <w:rPr>
                <w:rFonts w:cs="Arial"/>
              </w:rPr>
              <w:t xml:space="preserve"> and systems to allow TSPs to update line ratings near to real time.</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Activities</w:t>
            </w:r>
          </w:p>
        </w:tc>
        <w:tc>
          <w:tcPr>
            <w:tcW w:w="7481" w:type="dxa"/>
            <w:vAlign w:val="center"/>
          </w:tcPr>
          <w:p w:rsidR="00C870DF" w:rsidRPr="00DF59FA" w:rsidRDefault="00C870DF" w:rsidP="001564EC">
            <w:pPr>
              <w:rPr>
                <w:rFonts w:cs="Arial"/>
              </w:rPr>
            </w:pPr>
            <w:r w:rsidRPr="00DF59FA">
              <w:rPr>
                <w:rFonts w:cs="Arial"/>
                <w:u w:val="single"/>
              </w:rPr>
              <w:t>ERCOT (E X)</w:t>
            </w:r>
            <w:r w:rsidRPr="00DF59FA">
              <w:rPr>
                <w:rFonts w:cs="Arial"/>
              </w:rPr>
              <w:t xml:space="preserve">:  </w:t>
            </w:r>
            <w:r w:rsidR="001564EC">
              <w:rPr>
                <w:rFonts w:cs="Arial"/>
              </w:rPr>
              <w:t xml:space="preserve">After nodal go live, commit resources to evaluate the cost and the schedule to implement real time </w:t>
            </w:r>
            <w:r w:rsidR="00FB2E82">
              <w:rPr>
                <w:rFonts w:cs="Arial"/>
              </w:rPr>
              <w:t>updating of transmission line ratings.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5F67A1" w:rsidRDefault="00C870DF" w:rsidP="00FB2E82">
            <w:pPr>
              <w:rPr>
                <w:rFonts w:cs="Arial"/>
              </w:rPr>
            </w:pPr>
            <w:r w:rsidRPr="00DF59FA">
              <w:rPr>
                <w:rFonts w:cs="Arial"/>
                <w:u w:val="single"/>
              </w:rPr>
              <w:t>Market Participants</w:t>
            </w:r>
            <w:r w:rsidR="00CB1EE4" w:rsidRPr="00DF59FA">
              <w:rPr>
                <w:rFonts w:cs="Arial"/>
                <w:u w:val="single"/>
              </w:rPr>
              <w:t xml:space="preserve"> (MP X)</w:t>
            </w:r>
            <w:r w:rsidRPr="00DF59FA">
              <w:rPr>
                <w:rFonts w:cs="Arial"/>
              </w:rPr>
              <w:t xml:space="preserve">: </w:t>
            </w:r>
          </w:p>
          <w:p w:rsidR="005F67A1" w:rsidRDefault="005F67A1" w:rsidP="00FB2E82">
            <w:pPr>
              <w:rPr>
                <w:rFonts w:cs="Arial"/>
              </w:rPr>
            </w:pPr>
          </w:p>
          <w:p w:rsidR="00C870DF" w:rsidRPr="00DF59FA" w:rsidRDefault="00C870DF" w:rsidP="00FB2E82">
            <w:pPr>
              <w:rPr>
                <w:rFonts w:cs="Arial"/>
              </w:rPr>
            </w:pPr>
            <w:r w:rsidRPr="005F67A1">
              <w:rPr>
                <w:rFonts w:cs="Arial"/>
                <w:u w:val="single"/>
              </w:rPr>
              <w:t xml:space="preserve"> </w:t>
            </w:r>
            <w:r w:rsidR="00FB2E82" w:rsidRPr="005F67A1">
              <w:rPr>
                <w:rFonts w:cs="Arial"/>
                <w:u w:val="single"/>
              </w:rPr>
              <w:t>TSPs</w:t>
            </w:r>
            <w:r w:rsidR="00FB2E82">
              <w:rPr>
                <w:rFonts w:cs="Arial"/>
              </w:rPr>
              <w:t xml:space="preserve"> assist in specifying procedures and systems to allow real-time updating of transmission line ratings and provide ERCOT with the necessary information to implement the system.</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Follow-Up</w:t>
            </w:r>
          </w:p>
        </w:tc>
        <w:tc>
          <w:tcPr>
            <w:tcW w:w="7481" w:type="dxa"/>
            <w:vAlign w:val="center"/>
          </w:tcPr>
          <w:p w:rsidR="00C870DF" w:rsidRPr="00DF59FA" w:rsidRDefault="00FB2E82" w:rsidP="00DF59FA">
            <w:pPr>
              <w:rPr>
                <w:rFonts w:cs="Arial"/>
              </w:rPr>
            </w:pPr>
            <w:r>
              <w:rPr>
                <w:rFonts w:cs="Arial"/>
              </w:rPr>
              <w:t>None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Schedule</w:t>
            </w:r>
          </w:p>
        </w:tc>
        <w:tc>
          <w:tcPr>
            <w:tcW w:w="7481" w:type="dxa"/>
            <w:vAlign w:val="center"/>
          </w:tcPr>
          <w:p w:rsidR="00C870DF" w:rsidRPr="00DF59FA" w:rsidRDefault="00FB2E82" w:rsidP="00DF59FA">
            <w:pPr>
              <w:rPr>
                <w:rFonts w:cs="Arial"/>
              </w:rPr>
            </w:pPr>
            <w:r>
              <w:rPr>
                <w:rFonts w:cs="Arial"/>
              </w:rPr>
              <w:t>After nodal go live and no later than July 2011 have the scope, schedule, and cost of updating line ratings near real time defined.</w:t>
            </w:r>
          </w:p>
        </w:tc>
      </w:tr>
    </w:tbl>
    <w:p w:rsidR="00C870DF" w:rsidRPr="00DF59FA" w:rsidRDefault="00C870DF" w:rsidP="005F67A1"/>
    <w:sectPr w:rsidR="00C870DF" w:rsidRPr="00DF59FA" w:rsidSect="008F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70DF"/>
    <w:rsid w:val="00001A59"/>
    <w:rsid w:val="000311A8"/>
    <w:rsid w:val="00051EEF"/>
    <w:rsid w:val="00093C0A"/>
    <w:rsid w:val="000B06D7"/>
    <w:rsid w:val="000C3515"/>
    <w:rsid w:val="001564EC"/>
    <w:rsid w:val="001F3190"/>
    <w:rsid w:val="00215AB8"/>
    <w:rsid w:val="002D3EA8"/>
    <w:rsid w:val="00485B39"/>
    <w:rsid w:val="00501196"/>
    <w:rsid w:val="00501F22"/>
    <w:rsid w:val="00526BB7"/>
    <w:rsid w:val="005436D1"/>
    <w:rsid w:val="005B4A73"/>
    <w:rsid w:val="005F67A1"/>
    <w:rsid w:val="008F7A76"/>
    <w:rsid w:val="00900A93"/>
    <w:rsid w:val="0090608F"/>
    <w:rsid w:val="009B3541"/>
    <w:rsid w:val="00A50D04"/>
    <w:rsid w:val="00AA10B1"/>
    <w:rsid w:val="00B33637"/>
    <w:rsid w:val="00C870DF"/>
    <w:rsid w:val="00CB1EE4"/>
    <w:rsid w:val="00DF59FA"/>
    <w:rsid w:val="00E07F44"/>
    <w:rsid w:val="00EF15C3"/>
    <w:rsid w:val="00F2721D"/>
    <w:rsid w:val="00F526D4"/>
    <w:rsid w:val="00FB2E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DF"/>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319</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Bruce</dc:creator>
  <cp:lastModifiedBy>Wind Coalition</cp:lastModifiedBy>
  <cp:revision>4</cp:revision>
  <dcterms:created xsi:type="dcterms:W3CDTF">2010-04-14T16:04:00Z</dcterms:created>
  <dcterms:modified xsi:type="dcterms:W3CDTF">2010-04-17T14:10:00Z</dcterms:modified>
</cp:coreProperties>
</file>