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A6A" w:rsidRDefault="00423477" w:rsidP="00111A6A">
      <w:pPr>
        <w:spacing w:before="120" w:after="60"/>
        <w:jc w:val="center"/>
        <w:rPr>
          <w:rFonts w:ascii="Arial" w:hAnsi="Arial"/>
          <w:b/>
          <w:sz w:val="32"/>
          <w:szCs w:val="28"/>
        </w:rPr>
      </w:pPr>
      <w:r>
        <w:rPr>
          <w:rFonts w:ascii="Arial" w:hAnsi="Arial"/>
          <w:b/>
          <w:sz w:val="32"/>
          <w:szCs w:val="28"/>
        </w:rPr>
        <w:t>VCWG Proposed Alternative to Verifiable Cost Whitepaper</w:t>
      </w:r>
    </w:p>
    <w:p w:rsidR="00423477" w:rsidRPr="00111A6A" w:rsidRDefault="00423477" w:rsidP="00111A6A">
      <w:pPr>
        <w:spacing w:before="120" w:after="60"/>
        <w:jc w:val="center"/>
        <w:rPr>
          <w:rFonts w:ascii="Arial" w:hAnsi="Arial"/>
          <w:b/>
          <w:sz w:val="28"/>
          <w:szCs w:val="28"/>
        </w:rPr>
      </w:pPr>
    </w:p>
    <w:p w:rsidR="005B386F" w:rsidRDefault="005B386F" w:rsidP="00EC673C">
      <w:pPr>
        <w:jc w:val="both"/>
        <w:rPr>
          <w:rFonts w:ascii="Arial" w:eastAsia="Times New Roman" w:hAnsi="Arial"/>
          <w:b/>
        </w:rPr>
      </w:pPr>
    </w:p>
    <w:p w:rsidR="00EC673C" w:rsidRPr="00111A6A" w:rsidRDefault="00EC673C" w:rsidP="00EC673C">
      <w:pPr>
        <w:jc w:val="both"/>
        <w:rPr>
          <w:rFonts w:ascii="Arial" w:eastAsia="Times New Roman" w:hAnsi="Arial"/>
          <w:b/>
        </w:rPr>
      </w:pPr>
      <w:r w:rsidRPr="00111A6A">
        <w:rPr>
          <w:rFonts w:ascii="Arial" w:eastAsia="Times New Roman" w:hAnsi="Arial"/>
          <w:b/>
        </w:rPr>
        <w:t>Summary of Proposed Strategy:</w:t>
      </w:r>
    </w:p>
    <w:p w:rsidR="00C8279F" w:rsidRDefault="00423477" w:rsidP="00EC673C">
      <w:pPr>
        <w:jc w:val="both"/>
        <w:rPr>
          <w:rFonts w:ascii="Arial" w:hAnsi="Arial"/>
        </w:rPr>
      </w:pPr>
      <w:r>
        <w:rPr>
          <w:rFonts w:ascii="Arial" w:hAnsi="Arial"/>
        </w:rPr>
        <w:t>VCWG</w:t>
      </w:r>
      <w:r w:rsidR="00EC673C" w:rsidRPr="00111A6A">
        <w:rPr>
          <w:rFonts w:ascii="Arial" w:hAnsi="Arial"/>
        </w:rPr>
        <w:t xml:space="preserve"> believes that a revised methodology for </w:t>
      </w:r>
      <w:r w:rsidR="00EC673C">
        <w:rPr>
          <w:rFonts w:ascii="Arial" w:hAnsi="Arial"/>
        </w:rPr>
        <w:t>Verifiable Cost</w:t>
      </w:r>
      <w:r w:rsidR="00D44AE0">
        <w:rPr>
          <w:rFonts w:ascii="Arial" w:hAnsi="Arial"/>
        </w:rPr>
        <w:t xml:space="preserve">, which </w:t>
      </w:r>
      <w:r w:rsidR="00C042FD">
        <w:rPr>
          <w:rFonts w:ascii="Arial" w:hAnsi="Arial"/>
        </w:rPr>
        <w:t>introduces</w:t>
      </w:r>
      <w:r w:rsidR="00D44AE0">
        <w:rPr>
          <w:rFonts w:ascii="Arial" w:hAnsi="Arial"/>
        </w:rPr>
        <w:t xml:space="preserve"> a </w:t>
      </w:r>
      <w:r w:rsidR="005B386F">
        <w:rPr>
          <w:rFonts w:ascii="Arial" w:hAnsi="Arial"/>
        </w:rPr>
        <w:t>generic</w:t>
      </w:r>
      <w:r w:rsidR="005B386F" w:rsidRPr="00111A6A">
        <w:rPr>
          <w:rFonts w:ascii="Arial" w:hAnsi="Arial"/>
        </w:rPr>
        <w:t xml:space="preserve"> </w:t>
      </w:r>
      <w:r w:rsidR="005B386F">
        <w:rPr>
          <w:rFonts w:ascii="Arial" w:hAnsi="Arial"/>
        </w:rPr>
        <w:t>c</w:t>
      </w:r>
      <w:r w:rsidR="005B386F" w:rsidRPr="00111A6A">
        <w:rPr>
          <w:rFonts w:ascii="Arial" w:hAnsi="Arial"/>
        </w:rPr>
        <w:t xml:space="preserve">ost </w:t>
      </w:r>
      <w:r w:rsidR="00EC673C" w:rsidRPr="00111A6A">
        <w:rPr>
          <w:rFonts w:ascii="Arial" w:hAnsi="Arial"/>
        </w:rPr>
        <w:t>component</w:t>
      </w:r>
      <w:r w:rsidR="00D36A88">
        <w:rPr>
          <w:rFonts w:ascii="Arial" w:hAnsi="Arial"/>
        </w:rPr>
        <w:t xml:space="preserve"> </w:t>
      </w:r>
      <w:r w:rsidR="00C042FD">
        <w:rPr>
          <w:rFonts w:ascii="Arial" w:hAnsi="Arial"/>
        </w:rPr>
        <w:t>to Verifiable Cost</w:t>
      </w:r>
      <w:r w:rsidR="00D36A88">
        <w:rPr>
          <w:rFonts w:ascii="Arial" w:hAnsi="Arial"/>
        </w:rPr>
        <w:t xml:space="preserve"> (referred to as “Standard Costs” herein)</w:t>
      </w:r>
      <w:r w:rsidR="00C042FD">
        <w:rPr>
          <w:rFonts w:ascii="Arial" w:hAnsi="Arial"/>
        </w:rPr>
        <w:t xml:space="preserve">, </w:t>
      </w:r>
      <w:r w:rsidR="00EC673C" w:rsidRPr="00111A6A">
        <w:rPr>
          <w:rFonts w:ascii="Arial" w:hAnsi="Arial"/>
        </w:rPr>
        <w:t>can be implemented before the Texas Nodal Market Implementation Date</w:t>
      </w:r>
      <w:r>
        <w:rPr>
          <w:rFonts w:ascii="Arial" w:hAnsi="Arial"/>
        </w:rPr>
        <w:t xml:space="preserve">. The assumptions </w:t>
      </w:r>
      <w:r w:rsidR="000D1782">
        <w:rPr>
          <w:rFonts w:ascii="Arial" w:hAnsi="Arial"/>
        </w:rPr>
        <w:t xml:space="preserve">made within this white paper </w:t>
      </w:r>
      <w:r>
        <w:rPr>
          <w:rFonts w:ascii="Arial" w:hAnsi="Arial"/>
        </w:rPr>
        <w:t xml:space="preserve">used to derive a </w:t>
      </w:r>
      <w:r w:rsidR="00C042FD">
        <w:rPr>
          <w:rFonts w:ascii="Arial" w:hAnsi="Arial"/>
        </w:rPr>
        <w:t>Standard Cost</w:t>
      </w:r>
      <w:r w:rsidR="00F334C8">
        <w:rPr>
          <w:rStyle w:val="FootnoteReference"/>
          <w:rFonts w:ascii="Arial" w:hAnsi="Arial"/>
        </w:rPr>
        <w:footnoteReference w:id="1"/>
      </w:r>
      <w:r w:rsidR="00C042FD">
        <w:rPr>
          <w:rFonts w:ascii="Arial" w:hAnsi="Arial"/>
        </w:rPr>
        <w:t xml:space="preserve"> </w:t>
      </w:r>
      <w:r>
        <w:rPr>
          <w:rFonts w:ascii="Arial" w:hAnsi="Arial"/>
        </w:rPr>
        <w:t xml:space="preserve">are based on publicly available data which VCWG believes </w:t>
      </w:r>
      <w:r w:rsidR="000D1782">
        <w:rPr>
          <w:rFonts w:ascii="Arial" w:hAnsi="Arial"/>
        </w:rPr>
        <w:t xml:space="preserve">to be a reasonable method. </w:t>
      </w:r>
      <w:r>
        <w:rPr>
          <w:rFonts w:ascii="Arial" w:hAnsi="Arial"/>
        </w:rPr>
        <w:t xml:space="preserve"> </w:t>
      </w:r>
      <w:r w:rsidR="00C8279F">
        <w:rPr>
          <w:rFonts w:ascii="Arial" w:hAnsi="Arial"/>
        </w:rPr>
        <w:t xml:space="preserve"> </w:t>
      </w:r>
    </w:p>
    <w:p w:rsidR="00596F8A" w:rsidRDefault="00C8279F" w:rsidP="00EC673C">
      <w:pPr>
        <w:jc w:val="both"/>
        <w:rPr>
          <w:rFonts w:ascii="Arial" w:hAnsi="Arial"/>
        </w:rPr>
      </w:pPr>
      <w:r>
        <w:rPr>
          <w:rFonts w:ascii="Arial" w:hAnsi="Arial"/>
        </w:rPr>
        <w:t xml:space="preserve">The following is a summary of the rules proposed to </w:t>
      </w:r>
      <w:r w:rsidR="008A17BC">
        <w:rPr>
          <w:rFonts w:ascii="Arial" w:hAnsi="Arial"/>
        </w:rPr>
        <w:t>implement</w:t>
      </w:r>
      <w:r>
        <w:rPr>
          <w:rFonts w:ascii="Arial" w:hAnsi="Arial"/>
        </w:rPr>
        <w:t xml:space="preserve"> </w:t>
      </w:r>
      <w:r w:rsidR="008A17BC">
        <w:rPr>
          <w:rFonts w:ascii="Arial" w:hAnsi="Arial"/>
        </w:rPr>
        <w:t xml:space="preserve">a Standard </w:t>
      </w:r>
      <w:r w:rsidR="00F334C8">
        <w:rPr>
          <w:rFonts w:ascii="Arial" w:hAnsi="Arial"/>
        </w:rPr>
        <w:t xml:space="preserve">Cost </w:t>
      </w:r>
      <w:r w:rsidR="008A17BC">
        <w:rPr>
          <w:rFonts w:ascii="Arial" w:hAnsi="Arial"/>
        </w:rPr>
        <w:t>structure along with calculation examples</w:t>
      </w:r>
      <w:r w:rsidR="00FA2F13">
        <w:rPr>
          <w:rFonts w:ascii="Arial" w:hAnsi="Arial"/>
        </w:rPr>
        <w:t xml:space="preserve"> </w:t>
      </w:r>
      <w:r w:rsidR="008A17BC">
        <w:rPr>
          <w:rFonts w:ascii="Arial" w:hAnsi="Arial"/>
        </w:rPr>
        <w:t xml:space="preserve">which compare the proposed costs to the current Zonal costs. </w:t>
      </w:r>
    </w:p>
    <w:p w:rsidR="00596F8A" w:rsidRPr="00111A6A" w:rsidRDefault="00596F8A" w:rsidP="00596F8A">
      <w:pPr>
        <w:spacing w:before="120" w:after="60" w:line="240" w:lineRule="auto"/>
        <w:jc w:val="both"/>
        <w:outlineLvl w:val="0"/>
        <w:rPr>
          <w:rFonts w:ascii="Arial" w:eastAsia="Times New Roman" w:hAnsi="Arial"/>
          <w:b/>
        </w:rPr>
      </w:pPr>
      <w:r w:rsidRPr="00111A6A">
        <w:rPr>
          <w:rFonts w:ascii="Arial" w:eastAsia="Times New Roman" w:hAnsi="Arial"/>
          <w:b/>
        </w:rPr>
        <w:t>Proposed Framework</w:t>
      </w:r>
      <w:r w:rsidR="000F7DE5">
        <w:rPr>
          <w:rFonts w:ascii="Arial" w:eastAsia="Times New Roman" w:hAnsi="Arial"/>
          <w:b/>
        </w:rPr>
        <w:t>:</w:t>
      </w:r>
    </w:p>
    <w:p w:rsidR="00D36A88" w:rsidRDefault="00D36A88" w:rsidP="00596F8A">
      <w:pPr>
        <w:jc w:val="both"/>
        <w:rPr>
          <w:rFonts w:ascii="Arial" w:hAnsi="Arial"/>
        </w:rPr>
      </w:pPr>
      <w:r>
        <w:rPr>
          <w:rFonts w:ascii="Arial" w:hAnsi="Arial"/>
        </w:rPr>
        <w:t>Resource Entities</w:t>
      </w:r>
      <w:r w:rsidR="000D1782">
        <w:rPr>
          <w:rFonts w:ascii="Arial" w:hAnsi="Arial"/>
        </w:rPr>
        <w:t xml:space="preserve"> will</w:t>
      </w:r>
      <w:r>
        <w:rPr>
          <w:rFonts w:ascii="Arial" w:hAnsi="Arial"/>
        </w:rPr>
        <w:t xml:space="preserve"> have the option of selecting their method of compensation for RUC instructions by either submitting Verifiable Costs according to the ERCOT Nodal Verifiable Cost Manual or by utilizing a Standard Cost structure.  The Standard Cost structure consists of a fuel component, which is entirely verifiable and based on fuel verification methodologies already established within the Nodal Protocols and the Verifiable Cost manual, and a standard cost component, comprised of startup and variable costs which</w:t>
      </w:r>
      <w:r w:rsidR="00D40563">
        <w:rPr>
          <w:rFonts w:ascii="Arial" w:hAnsi="Arial"/>
        </w:rPr>
        <w:t xml:space="preserve"> are calculated based on a fixed cost structure by Resource type.</w:t>
      </w:r>
    </w:p>
    <w:p w:rsidR="00D40563" w:rsidRDefault="00F334C8" w:rsidP="00D40563">
      <w:pPr>
        <w:jc w:val="both"/>
        <w:rPr>
          <w:rFonts w:ascii="Arial" w:hAnsi="Arial"/>
        </w:rPr>
      </w:pPr>
      <w:r w:rsidRPr="00413332">
        <w:rPr>
          <w:rFonts w:ascii="Arial" w:hAnsi="Arial"/>
        </w:rPr>
        <w:t>Resourc</w:t>
      </w:r>
      <w:r w:rsidR="00D40563">
        <w:rPr>
          <w:rFonts w:ascii="Arial" w:hAnsi="Arial"/>
        </w:rPr>
        <w:t xml:space="preserve">e Entities who chose not to make an </w:t>
      </w:r>
      <w:r w:rsidRPr="00413332">
        <w:rPr>
          <w:rFonts w:ascii="Arial" w:hAnsi="Arial"/>
        </w:rPr>
        <w:t>elect</w:t>
      </w:r>
      <w:r w:rsidR="00D40563">
        <w:rPr>
          <w:rFonts w:ascii="Arial" w:hAnsi="Arial"/>
        </w:rPr>
        <w:t xml:space="preserve">ion for either the </w:t>
      </w:r>
      <w:r>
        <w:rPr>
          <w:rFonts w:ascii="Arial" w:hAnsi="Arial"/>
        </w:rPr>
        <w:t>Standard</w:t>
      </w:r>
      <w:r w:rsidRPr="00413332">
        <w:rPr>
          <w:rFonts w:ascii="Arial" w:hAnsi="Arial"/>
        </w:rPr>
        <w:t xml:space="preserve"> or Verifiable</w:t>
      </w:r>
      <w:r w:rsidR="00D40563">
        <w:rPr>
          <w:rFonts w:ascii="Arial" w:hAnsi="Arial"/>
        </w:rPr>
        <w:t xml:space="preserve"> cost structure </w:t>
      </w:r>
      <w:r w:rsidR="00D400CB">
        <w:rPr>
          <w:rFonts w:ascii="Arial" w:hAnsi="Arial"/>
        </w:rPr>
        <w:t>will be compensated utilizing Generic C</w:t>
      </w:r>
      <w:r w:rsidRPr="00413332">
        <w:rPr>
          <w:rFonts w:ascii="Arial" w:hAnsi="Arial"/>
        </w:rPr>
        <w:t>osts according to the Nodal Protocols section 4.4.9.2.3</w:t>
      </w:r>
      <w:r>
        <w:rPr>
          <w:rFonts w:ascii="Arial" w:hAnsi="Arial"/>
        </w:rPr>
        <w:t xml:space="preserve"> (Note: These generic costs are not fully compensatory)</w:t>
      </w:r>
      <w:r w:rsidRPr="00413332">
        <w:rPr>
          <w:rFonts w:ascii="Arial" w:hAnsi="Arial"/>
        </w:rPr>
        <w:t>.</w:t>
      </w:r>
      <w:r w:rsidR="00D40563">
        <w:rPr>
          <w:rFonts w:ascii="Arial" w:hAnsi="Arial"/>
        </w:rPr>
        <w:t xml:space="preserve">  However, prior to or u</w:t>
      </w:r>
      <w:r w:rsidR="00D40563" w:rsidRPr="00413332">
        <w:rPr>
          <w:rFonts w:ascii="Arial" w:hAnsi="Arial"/>
        </w:rPr>
        <w:t xml:space="preserve">pon the </w:t>
      </w:r>
      <w:r w:rsidR="00D40563">
        <w:rPr>
          <w:rFonts w:ascii="Arial" w:hAnsi="Arial"/>
        </w:rPr>
        <w:t>fifth</w:t>
      </w:r>
      <w:r w:rsidR="00D40563" w:rsidRPr="00413332">
        <w:rPr>
          <w:rFonts w:ascii="Arial" w:hAnsi="Arial"/>
        </w:rPr>
        <w:t xml:space="preserve"> RUC instruction in a rolling twelve month period</w:t>
      </w:r>
      <w:r w:rsidR="00D40563">
        <w:rPr>
          <w:rFonts w:ascii="Arial" w:hAnsi="Arial"/>
        </w:rPr>
        <w:t xml:space="preserve"> for a single Resource</w:t>
      </w:r>
      <w:r w:rsidR="00D40563" w:rsidRPr="00413332">
        <w:rPr>
          <w:rFonts w:ascii="Arial" w:hAnsi="Arial"/>
        </w:rPr>
        <w:t xml:space="preserve">, the </w:t>
      </w:r>
      <w:r w:rsidR="00D40563">
        <w:rPr>
          <w:rFonts w:ascii="Arial" w:hAnsi="Arial"/>
        </w:rPr>
        <w:t>Resource Entity</w:t>
      </w:r>
      <w:r w:rsidR="00D40563" w:rsidRPr="00413332">
        <w:rPr>
          <w:rFonts w:ascii="Arial" w:hAnsi="Arial"/>
        </w:rPr>
        <w:t xml:space="preserve"> will be required to choose between submitting </w:t>
      </w:r>
      <w:r w:rsidR="00D40563">
        <w:rPr>
          <w:rFonts w:ascii="Arial" w:hAnsi="Arial"/>
        </w:rPr>
        <w:t>Verifiable or Standard Cost</w:t>
      </w:r>
      <w:r w:rsidR="00D40563" w:rsidRPr="00413332">
        <w:rPr>
          <w:rFonts w:ascii="Arial" w:hAnsi="Arial"/>
        </w:rPr>
        <w:t>s</w:t>
      </w:r>
      <w:r w:rsidR="00D40563">
        <w:rPr>
          <w:rFonts w:ascii="Arial" w:hAnsi="Arial"/>
        </w:rPr>
        <w:t xml:space="preserve">.  </w:t>
      </w:r>
      <w:r w:rsidR="00D40563" w:rsidRPr="00413332">
        <w:rPr>
          <w:rFonts w:ascii="Arial" w:hAnsi="Arial"/>
        </w:rPr>
        <w:t xml:space="preserve"> </w:t>
      </w:r>
    </w:p>
    <w:p w:rsidR="00596F8A" w:rsidRDefault="00596F8A" w:rsidP="00596F8A">
      <w:pPr>
        <w:jc w:val="both"/>
        <w:rPr>
          <w:rFonts w:ascii="Arial" w:hAnsi="Arial"/>
        </w:rPr>
      </w:pPr>
      <w:r w:rsidRPr="00413332">
        <w:rPr>
          <w:rFonts w:ascii="Arial" w:hAnsi="Arial"/>
        </w:rPr>
        <w:t xml:space="preserve">Should the proposed </w:t>
      </w:r>
      <w:r w:rsidR="00D44AE0">
        <w:rPr>
          <w:rFonts w:ascii="Arial" w:hAnsi="Arial"/>
        </w:rPr>
        <w:t>Standard</w:t>
      </w:r>
      <w:r w:rsidRPr="00413332">
        <w:rPr>
          <w:rFonts w:ascii="Arial" w:hAnsi="Arial"/>
        </w:rPr>
        <w:t xml:space="preserve"> Cost structure be implemented, Resource</w:t>
      </w:r>
      <w:r w:rsidR="00D40563">
        <w:rPr>
          <w:rFonts w:ascii="Arial" w:hAnsi="Arial"/>
        </w:rPr>
        <w:t xml:space="preserve"> Entities</w:t>
      </w:r>
      <w:r w:rsidRPr="00413332">
        <w:rPr>
          <w:rFonts w:ascii="Arial" w:hAnsi="Arial"/>
        </w:rPr>
        <w:t xml:space="preserve"> who have already submitted </w:t>
      </w:r>
      <w:r>
        <w:rPr>
          <w:rFonts w:ascii="Arial" w:hAnsi="Arial"/>
        </w:rPr>
        <w:t>Verifiable Cost</w:t>
      </w:r>
      <w:r w:rsidRPr="00413332">
        <w:rPr>
          <w:rFonts w:ascii="Arial" w:hAnsi="Arial"/>
        </w:rPr>
        <w:t xml:space="preserve">s will have the opportunity to elect </w:t>
      </w:r>
      <w:r w:rsidR="00D40563">
        <w:rPr>
          <w:rFonts w:ascii="Arial" w:hAnsi="Arial"/>
        </w:rPr>
        <w:t xml:space="preserve">the </w:t>
      </w:r>
      <w:r w:rsidR="00F334C8">
        <w:rPr>
          <w:rFonts w:ascii="Arial" w:hAnsi="Arial"/>
        </w:rPr>
        <w:t xml:space="preserve">Standard </w:t>
      </w:r>
      <w:r w:rsidR="00D40563">
        <w:rPr>
          <w:rFonts w:ascii="Arial" w:hAnsi="Arial"/>
        </w:rPr>
        <w:t xml:space="preserve">Cost method prior to </w:t>
      </w:r>
      <w:r w:rsidRPr="00413332">
        <w:rPr>
          <w:rFonts w:ascii="Arial" w:hAnsi="Arial"/>
        </w:rPr>
        <w:t>the initial Texas Nodal Market Implementation Date.</w:t>
      </w:r>
    </w:p>
    <w:p w:rsidR="00D40563" w:rsidRDefault="00D40563">
      <w:pPr>
        <w:spacing w:after="0" w:line="240" w:lineRule="auto"/>
        <w:rPr>
          <w:rFonts w:ascii="Arial" w:hAnsi="Arial"/>
        </w:rPr>
      </w:pPr>
      <w:r>
        <w:rPr>
          <w:rFonts w:ascii="Arial" w:hAnsi="Arial"/>
        </w:rPr>
        <w:br w:type="page"/>
      </w:r>
    </w:p>
    <w:p w:rsidR="00596F8A" w:rsidRPr="00111A6A" w:rsidRDefault="00596F8A" w:rsidP="00596F8A">
      <w:pPr>
        <w:jc w:val="both"/>
        <w:rPr>
          <w:rFonts w:ascii="Arial" w:eastAsia="Times New Roman" w:hAnsi="Arial"/>
          <w:b/>
        </w:rPr>
      </w:pPr>
      <w:r>
        <w:rPr>
          <w:rFonts w:ascii="Arial" w:eastAsia="Times New Roman" w:hAnsi="Arial"/>
          <w:b/>
        </w:rPr>
        <w:t xml:space="preserve">Verifiable </w:t>
      </w:r>
      <w:r w:rsidR="00D40563">
        <w:rPr>
          <w:rFonts w:ascii="Arial" w:eastAsia="Times New Roman" w:hAnsi="Arial"/>
          <w:b/>
        </w:rPr>
        <w:t xml:space="preserve">Fuel </w:t>
      </w:r>
      <w:r>
        <w:rPr>
          <w:rFonts w:ascii="Arial" w:eastAsia="Times New Roman" w:hAnsi="Arial"/>
          <w:b/>
        </w:rPr>
        <w:t>Cost</w:t>
      </w:r>
      <w:r w:rsidR="008A17BC">
        <w:rPr>
          <w:rFonts w:ascii="Arial" w:eastAsia="Times New Roman" w:hAnsi="Arial"/>
          <w:b/>
        </w:rPr>
        <w:t xml:space="preserve"> Component</w:t>
      </w:r>
      <w:r w:rsidRPr="00111A6A">
        <w:rPr>
          <w:rFonts w:ascii="Arial" w:eastAsia="Times New Roman" w:hAnsi="Arial"/>
          <w:b/>
        </w:rPr>
        <w:t>:</w:t>
      </w:r>
    </w:p>
    <w:p w:rsidR="00596F8A" w:rsidRPr="00111A6A" w:rsidRDefault="00596F8A" w:rsidP="00596F8A">
      <w:pPr>
        <w:spacing w:before="120" w:after="60"/>
        <w:ind w:left="720"/>
        <w:jc w:val="both"/>
        <w:rPr>
          <w:rFonts w:ascii="Arial" w:eastAsia="Times New Roman" w:hAnsi="Arial"/>
        </w:rPr>
      </w:pPr>
      <w:r w:rsidRPr="00111A6A">
        <w:rPr>
          <w:rFonts w:ascii="Arial" w:hAnsi="Arial"/>
          <w:b/>
          <w:i/>
        </w:rPr>
        <w:t>Fuel Consumption</w:t>
      </w:r>
      <w:r w:rsidRPr="00111A6A">
        <w:rPr>
          <w:rFonts w:ascii="Arial" w:hAnsi="Arial"/>
          <w:i/>
        </w:rPr>
        <w:t xml:space="preserve"> </w:t>
      </w:r>
      <w:r>
        <w:rPr>
          <w:rFonts w:ascii="Arial" w:hAnsi="Arial"/>
          <w:i/>
        </w:rPr>
        <w:t xml:space="preserve">– </w:t>
      </w:r>
      <w:r w:rsidRPr="00111A6A">
        <w:rPr>
          <w:rFonts w:ascii="Arial" w:hAnsi="Arial"/>
        </w:rPr>
        <w:t>Fuel</w:t>
      </w:r>
      <w:r w:rsidRPr="00111A6A">
        <w:rPr>
          <w:rFonts w:ascii="Arial" w:eastAsia="Times New Roman" w:hAnsi="Arial"/>
        </w:rPr>
        <w:t xml:space="preserve"> usage during startup, shutdown, and operation at the LSL is verifiable information which </w:t>
      </w:r>
      <w:r w:rsidR="00D40563">
        <w:rPr>
          <w:rFonts w:ascii="Arial" w:eastAsia="Times New Roman" w:hAnsi="Arial"/>
        </w:rPr>
        <w:t xml:space="preserve">the </w:t>
      </w:r>
      <w:r w:rsidRPr="00111A6A">
        <w:rPr>
          <w:rFonts w:ascii="Arial" w:eastAsia="Times New Roman" w:hAnsi="Arial"/>
        </w:rPr>
        <w:t xml:space="preserve">Resource </w:t>
      </w:r>
      <w:r w:rsidR="00203618">
        <w:rPr>
          <w:rFonts w:ascii="Arial" w:eastAsia="Times New Roman" w:hAnsi="Arial"/>
        </w:rPr>
        <w:t>Entity</w:t>
      </w:r>
      <w:r w:rsidRPr="00111A6A">
        <w:rPr>
          <w:rFonts w:ascii="Arial" w:eastAsia="Times New Roman" w:hAnsi="Arial"/>
        </w:rPr>
        <w:t xml:space="preserve"> </w:t>
      </w:r>
      <w:r w:rsidR="005632FE">
        <w:rPr>
          <w:rFonts w:ascii="Arial" w:eastAsia="Times New Roman" w:hAnsi="Arial"/>
        </w:rPr>
        <w:t>will</w:t>
      </w:r>
      <w:r w:rsidR="00D40563">
        <w:rPr>
          <w:rFonts w:ascii="Arial" w:eastAsia="Times New Roman" w:hAnsi="Arial"/>
        </w:rPr>
        <w:t xml:space="preserve"> </w:t>
      </w:r>
      <w:r w:rsidRPr="00111A6A">
        <w:rPr>
          <w:rFonts w:ascii="Arial" w:eastAsia="Times New Roman" w:hAnsi="Arial"/>
        </w:rPr>
        <w:t>provide to ERCOT on a regular basis</w:t>
      </w:r>
      <w:r w:rsidR="00EF7BC2">
        <w:rPr>
          <w:rFonts w:ascii="Arial" w:eastAsia="Times New Roman" w:hAnsi="Arial"/>
        </w:rPr>
        <w:t xml:space="preserve"> according to the procedures in the</w:t>
      </w:r>
      <w:r>
        <w:rPr>
          <w:rFonts w:ascii="Arial" w:eastAsia="Times New Roman" w:hAnsi="Arial"/>
        </w:rPr>
        <w:t xml:space="preserve"> </w:t>
      </w:r>
      <w:r w:rsidR="00D40563">
        <w:rPr>
          <w:rFonts w:ascii="Arial" w:eastAsia="Times New Roman" w:hAnsi="Arial"/>
        </w:rPr>
        <w:t xml:space="preserve">Verifiable Cost </w:t>
      </w:r>
      <w:r>
        <w:rPr>
          <w:rFonts w:ascii="Arial" w:eastAsia="Times New Roman" w:hAnsi="Arial"/>
        </w:rPr>
        <w:t>Manual</w:t>
      </w:r>
      <w:r w:rsidR="00EF7BC2">
        <w:rPr>
          <w:rFonts w:ascii="Arial" w:eastAsia="Times New Roman" w:hAnsi="Arial"/>
        </w:rPr>
        <w:t>.</w:t>
      </w:r>
    </w:p>
    <w:p w:rsidR="00596F8A" w:rsidRPr="00111A6A" w:rsidRDefault="00596F8A" w:rsidP="00596F8A">
      <w:pPr>
        <w:spacing w:before="120" w:after="60"/>
        <w:ind w:left="720"/>
        <w:jc w:val="both"/>
        <w:rPr>
          <w:rFonts w:ascii="Arial" w:hAnsi="Arial"/>
        </w:rPr>
      </w:pPr>
      <w:r w:rsidRPr="00111A6A">
        <w:rPr>
          <w:rFonts w:ascii="Arial" w:eastAsia="Times New Roman" w:hAnsi="Arial"/>
          <w:b/>
          <w:i/>
        </w:rPr>
        <w:t>Mitigated Offer Cap</w:t>
      </w:r>
      <w:r w:rsidRPr="00111A6A">
        <w:rPr>
          <w:rFonts w:ascii="Arial" w:eastAsia="Times New Roman" w:hAnsi="Arial"/>
          <w:i/>
        </w:rPr>
        <w:t xml:space="preserve"> </w:t>
      </w:r>
      <w:r>
        <w:rPr>
          <w:rFonts w:ascii="Arial" w:eastAsia="Times New Roman" w:hAnsi="Arial"/>
          <w:i/>
        </w:rPr>
        <w:t xml:space="preserve">– </w:t>
      </w:r>
      <w:r w:rsidRPr="00111A6A">
        <w:rPr>
          <w:rFonts w:ascii="Arial" w:eastAsia="Times New Roman" w:hAnsi="Arial"/>
        </w:rPr>
        <w:t xml:space="preserve">Heat rate curves provided </w:t>
      </w:r>
      <w:r w:rsidR="00D40563">
        <w:rPr>
          <w:rFonts w:ascii="Arial" w:eastAsia="Times New Roman" w:hAnsi="Arial"/>
        </w:rPr>
        <w:t xml:space="preserve">to ERCOT </w:t>
      </w:r>
      <w:r w:rsidRPr="00111A6A">
        <w:rPr>
          <w:rFonts w:ascii="Arial" w:eastAsia="Times New Roman" w:hAnsi="Arial"/>
        </w:rPr>
        <w:t xml:space="preserve">by Market Participants are an equitable method to use when considering the Mitigated Offer Curve. </w:t>
      </w:r>
      <w:r>
        <w:rPr>
          <w:rFonts w:ascii="Arial" w:eastAsia="Times New Roman" w:hAnsi="Arial"/>
        </w:rPr>
        <w:t xml:space="preserve">The rules for submitting a heat rate curve </w:t>
      </w:r>
      <w:r w:rsidR="00D40563">
        <w:rPr>
          <w:rFonts w:ascii="Arial" w:eastAsia="Times New Roman" w:hAnsi="Arial"/>
        </w:rPr>
        <w:t xml:space="preserve">data </w:t>
      </w:r>
      <w:r>
        <w:rPr>
          <w:rFonts w:ascii="Arial" w:eastAsia="Times New Roman" w:hAnsi="Arial"/>
        </w:rPr>
        <w:t xml:space="preserve">will be </w:t>
      </w:r>
      <w:r w:rsidR="00EF7BC2">
        <w:rPr>
          <w:rFonts w:ascii="Arial" w:eastAsia="Times New Roman" w:hAnsi="Arial"/>
        </w:rPr>
        <w:t xml:space="preserve">extracted </w:t>
      </w:r>
      <w:r>
        <w:rPr>
          <w:rFonts w:ascii="Arial" w:eastAsia="Times New Roman" w:hAnsi="Arial"/>
        </w:rPr>
        <w:t xml:space="preserve">from </w:t>
      </w:r>
      <w:r w:rsidR="00D40563">
        <w:rPr>
          <w:rFonts w:ascii="Arial" w:eastAsia="Times New Roman" w:hAnsi="Arial"/>
        </w:rPr>
        <w:t xml:space="preserve">the Verifiable Cost </w:t>
      </w:r>
      <w:r>
        <w:rPr>
          <w:rFonts w:ascii="Arial" w:eastAsia="Times New Roman" w:hAnsi="Arial"/>
        </w:rPr>
        <w:t xml:space="preserve">Manual. </w:t>
      </w:r>
    </w:p>
    <w:p w:rsidR="00607DD1" w:rsidRDefault="00596F8A" w:rsidP="00596F8A">
      <w:pPr>
        <w:spacing w:before="120" w:after="60"/>
        <w:ind w:left="720"/>
        <w:jc w:val="both"/>
        <w:rPr>
          <w:rFonts w:ascii="Arial" w:eastAsia="Times New Roman" w:hAnsi="Arial"/>
        </w:rPr>
      </w:pPr>
      <w:r w:rsidRPr="00111A6A">
        <w:rPr>
          <w:rFonts w:ascii="Arial" w:eastAsia="Times New Roman" w:hAnsi="Arial"/>
          <w:b/>
          <w:i/>
        </w:rPr>
        <w:t>Emissions</w:t>
      </w:r>
      <w:r w:rsidRPr="00111A6A">
        <w:rPr>
          <w:rFonts w:ascii="Arial" w:eastAsia="Times New Roman" w:hAnsi="Arial"/>
          <w:i/>
        </w:rPr>
        <w:t xml:space="preserve"> </w:t>
      </w:r>
      <w:r>
        <w:rPr>
          <w:rFonts w:ascii="Arial" w:eastAsia="Times New Roman" w:hAnsi="Arial"/>
          <w:i/>
        </w:rPr>
        <w:t xml:space="preserve">– </w:t>
      </w:r>
      <w:r w:rsidRPr="00111A6A">
        <w:rPr>
          <w:rFonts w:ascii="Arial" w:eastAsia="Times New Roman" w:hAnsi="Arial"/>
        </w:rPr>
        <w:t xml:space="preserve">Emission </w:t>
      </w:r>
      <w:r w:rsidR="00D63BD4">
        <w:rPr>
          <w:rFonts w:ascii="Arial" w:eastAsia="Times New Roman" w:hAnsi="Arial"/>
        </w:rPr>
        <w:t>costs will be verified according to the rules outlined in the Verifiable Cost Manual.</w:t>
      </w:r>
    </w:p>
    <w:p w:rsidR="00A31383" w:rsidRDefault="00A31383" w:rsidP="00A31383">
      <w:pPr>
        <w:spacing w:before="120" w:after="60" w:line="240" w:lineRule="auto"/>
        <w:ind w:left="720"/>
        <w:jc w:val="both"/>
        <w:outlineLvl w:val="0"/>
        <w:rPr>
          <w:rFonts w:ascii="Arial" w:eastAsia="Times New Roman" w:hAnsi="Arial"/>
        </w:rPr>
      </w:pPr>
      <w:r w:rsidRPr="00111A6A">
        <w:rPr>
          <w:rFonts w:ascii="Arial" w:eastAsia="Times New Roman" w:hAnsi="Arial"/>
          <w:b/>
          <w:i/>
        </w:rPr>
        <w:t>Fuel Cost</w:t>
      </w:r>
      <w:r w:rsidRPr="00111A6A">
        <w:rPr>
          <w:rFonts w:ascii="Arial" w:eastAsia="Times New Roman" w:hAnsi="Arial"/>
          <w:i/>
        </w:rPr>
        <w:t xml:space="preserve"> – </w:t>
      </w:r>
      <w:r w:rsidRPr="00111A6A">
        <w:rPr>
          <w:rFonts w:ascii="Arial" w:eastAsia="Times New Roman" w:hAnsi="Arial"/>
        </w:rPr>
        <w:t xml:space="preserve">As approved in NPRR 174, </w:t>
      </w:r>
      <w:r w:rsidR="00D40563">
        <w:rPr>
          <w:rFonts w:ascii="Arial" w:eastAsia="Times New Roman" w:hAnsi="Arial"/>
        </w:rPr>
        <w:t xml:space="preserve">fuel cost can be established utilizing </w:t>
      </w:r>
      <w:r w:rsidRPr="00111A6A">
        <w:rPr>
          <w:rFonts w:ascii="Arial" w:eastAsia="Times New Roman" w:hAnsi="Arial"/>
        </w:rPr>
        <w:t xml:space="preserve">the Fuel Index Price (FIP) plus a $.50 adder. </w:t>
      </w:r>
    </w:p>
    <w:p w:rsidR="00A31383" w:rsidRPr="00111A6A" w:rsidRDefault="00A31383" w:rsidP="00596F8A">
      <w:pPr>
        <w:spacing w:before="120" w:after="60"/>
        <w:ind w:left="720"/>
        <w:jc w:val="both"/>
        <w:rPr>
          <w:rFonts w:ascii="Arial" w:eastAsia="Times New Roman" w:hAnsi="Arial"/>
        </w:rPr>
      </w:pPr>
    </w:p>
    <w:p w:rsidR="00596F8A" w:rsidRPr="00111A6A" w:rsidRDefault="00203618" w:rsidP="00596F8A">
      <w:pPr>
        <w:jc w:val="both"/>
        <w:rPr>
          <w:rFonts w:ascii="Arial" w:hAnsi="Arial"/>
          <w:b/>
        </w:rPr>
      </w:pPr>
      <w:r>
        <w:rPr>
          <w:rFonts w:ascii="Arial" w:eastAsia="Times New Roman" w:hAnsi="Arial"/>
          <w:b/>
        </w:rPr>
        <w:t>Standard</w:t>
      </w:r>
      <w:r w:rsidR="00596F8A" w:rsidRPr="00111A6A">
        <w:rPr>
          <w:rFonts w:ascii="Arial" w:eastAsia="Times New Roman" w:hAnsi="Arial"/>
          <w:b/>
        </w:rPr>
        <w:t xml:space="preserve"> Costs</w:t>
      </w:r>
      <w:r w:rsidR="00F549F5">
        <w:rPr>
          <w:rFonts w:ascii="Arial" w:eastAsia="Times New Roman" w:hAnsi="Arial"/>
          <w:b/>
        </w:rPr>
        <w:t xml:space="preserve"> Component</w:t>
      </w:r>
      <w:r w:rsidR="00596F8A" w:rsidRPr="00111A6A">
        <w:rPr>
          <w:rFonts w:ascii="Arial" w:eastAsia="Times New Roman" w:hAnsi="Arial"/>
          <w:b/>
        </w:rPr>
        <w:t xml:space="preserve">: </w:t>
      </w:r>
    </w:p>
    <w:p w:rsidR="00596F8A" w:rsidRDefault="00596F8A" w:rsidP="00596F8A">
      <w:pPr>
        <w:ind w:left="720"/>
        <w:jc w:val="both"/>
        <w:rPr>
          <w:rFonts w:ascii="Arial" w:eastAsia="Times New Roman" w:hAnsi="Arial"/>
        </w:rPr>
      </w:pPr>
      <w:r w:rsidRPr="00111A6A">
        <w:rPr>
          <w:rFonts w:ascii="Arial" w:eastAsia="Times New Roman" w:hAnsi="Arial"/>
          <w:b/>
          <w:i/>
        </w:rPr>
        <w:t>Start-up</w:t>
      </w:r>
      <w:r w:rsidRPr="00111A6A">
        <w:rPr>
          <w:rFonts w:ascii="Arial" w:eastAsia="Times New Roman" w:hAnsi="Arial"/>
          <w:i/>
        </w:rPr>
        <w:t xml:space="preserve"> </w:t>
      </w:r>
      <w:r>
        <w:rPr>
          <w:rFonts w:ascii="Arial" w:eastAsia="Times New Roman" w:hAnsi="Arial"/>
        </w:rPr>
        <w:t xml:space="preserve">– The Startup costs in Table 1 are primarily up-lifted from the current Zonal Protocols with the exception of </w:t>
      </w:r>
      <w:r w:rsidR="00D400CB">
        <w:rPr>
          <w:rFonts w:ascii="Arial" w:eastAsia="Times New Roman" w:hAnsi="Arial"/>
        </w:rPr>
        <w:t xml:space="preserve">Advanced </w:t>
      </w:r>
      <w:r>
        <w:rPr>
          <w:rFonts w:ascii="Arial" w:eastAsia="Times New Roman" w:hAnsi="Arial"/>
        </w:rPr>
        <w:t xml:space="preserve">Simple Cycle units. </w:t>
      </w:r>
      <w:r w:rsidR="00D400CB">
        <w:rPr>
          <w:rFonts w:ascii="Arial" w:eastAsia="Times New Roman" w:hAnsi="Arial"/>
        </w:rPr>
        <w:t xml:space="preserve">Advanced </w:t>
      </w:r>
      <w:r>
        <w:rPr>
          <w:rFonts w:ascii="Arial" w:eastAsia="Times New Roman" w:hAnsi="Arial"/>
        </w:rPr>
        <w:t xml:space="preserve">Simple Cycle units have been reduced to better reflect the operating costs of current technology. </w:t>
      </w:r>
    </w:p>
    <w:p w:rsidR="00D400CB" w:rsidRDefault="00D400CB" w:rsidP="00D400CB">
      <w:pPr>
        <w:ind w:left="720"/>
        <w:jc w:val="both"/>
        <w:rPr>
          <w:rFonts w:ascii="Arial" w:eastAsia="Times New Roman" w:hAnsi="Arial"/>
        </w:rPr>
      </w:pPr>
      <w:r w:rsidRPr="00111A6A">
        <w:rPr>
          <w:rFonts w:ascii="Arial" w:eastAsia="Times New Roman" w:hAnsi="Arial"/>
          <w:b/>
          <w:i/>
        </w:rPr>
        <w:t>V</w:t>
      </w:r>
      <w:r>
        <w:rPr>
          <w:rFonts w:ascii="Arial" w:eastAsia="Times New Roman" w:hAnsi="Arial"/>
          <w:b/>
          <w:i/>
        </w:rPr>
        <w:t xml:space="preserve">ariable </w:t>
      </w:r>
      <w:r w:rsidRPr="00111A6A">
        <w:rPr>
          <w:rFonts w:ascii="Arial" w:eastAsia="Times New Roman" w:hAnsi="Arial"/>
          <w:b/>
          <w:i/>
        </w:rPr>
        <w:t>O&amp;M</w:t>
      </w:r>
      <w:r w:rsidRPr="00111A6A">
        <w:rPr>
          <w:rFonts w:ascii="Arial" w:eastAsia="Times New Roman" w:hAnsi="Arial"/>
          <w:i/>
        </w:rPr>
        <w:t xml:space="preserve"> –</w:t>
      </w:r>
      <w:r>
        <w:rPr>
          <w:rFonts w:ascii="Arial" w:eastAsia="Times New Roman" w:hAnsi="Arial"/>
        </w:rPr>
        <w:t xml:space="preserve"> Variable O&amp;M costs include scheduled outage maintenance, including annual maintenance and overhauls, forced outage maintenance, water supply costs and environmental equipment maintenance. The California Energy Commission Comparative Co</w:t>
      </w:r>
      <w:r w:rsidRPr="00111A6A">
        <w:rPr>
          <w:rFonts w:ascii="Arial" w:eastAsia="Times New Roman" w:hAnsi="Arial"/>
        </w:rPr>
        <w:t>s</w:t>
      </w:r>
      <w:r>
        <w:rPr>
          <w:rFonts w:ascii="Arial" w:eastAsia="Times New Roman" w:hAnsi="Arial"/>
        </w:rPr>
        <w:t xml:space="preserve">ts of California Central Station Electricity Generation </w:t>
      </w:r>
      <w:bookmarkStart w:id="0" w:name="_Ref250568219"/>
      <w:r w:rsidR="00D63BD4">
        <w:rPr>
          <w:rFonts w:ascii="Arial" w:eastAsia="Times New Roman" w:hAnsi="Arial"/>
        </w:rPr>
        <w:t>Report</w:t>
      </w:r>
      <w:r w:rsidR="00D63BD4">
        <w:rPr>
          <w:rStyle w:val="EndnoteReference"/>
          <w:rFonts w:ascii="Arial" w:eastAsia="Times New Roman" w:hAnsi="Arial"/>
        </w:rPr>
        <w:endnoteReference w:id="1"/>
      </w:r>
      <w:bookmarkEnd w:id="0"/>
      <w:r w:rsidR="00D63BD4">
        <w:rPr>
          <w:rFonts w:ascii="Arial" w:eastAsia="Times New Roman" w:hAnsi="Arial"/>
        </w:rPr>
        <w:t xml:space="preserve"> </w:t>
      </w:r>
      <w:r>
        <w:rPr>
          <w:rFonts w:ascii="Arial" w:eastAsia="Times New Roman" w:hAnsi="Arial"/>
        </w:rPr>
        <w:t>can be used to established generic Variable O&amp;M costs. These costs are outlined in Table 1 Below</w:t>
      </w:r>
      <w:r w:rsidRPr="00111A6A">
        <w:rPr>
          <w:rFonts w:ascii="Arial" w:eastAsia="Times New Roman" w:hAnsi="Arial"/>
        </w:rPr>
        <w:t>.</w:t>
      </w:r>
      <w:r>
        <w:rPr>
          <w:rFonts w:ascii="Arial" w:eastAsia="Times New Roman" w:hAnsi="Arial"/>
        </w:rPr>
        <w:t xml:space="preserve"> </w:t>
      </w:r>
    </w:p>
    <w:p w:rsidR="00607DD1" w:rsidRDefault="00B760D3" w:rsidP="00D400CB">
      <w:pPr>
        <w:pStyle w:val="Caption"/>
        <w:rPr>
          <w:color w:val="auto"/>
        </w:rPr>
      </w:pPr>
      <w:r w:rsidRPr="00B760D3">
        <w:rPr>
          <w:color w:val="auto"/>
        </w:rPr>
        <w:t xml:space="preserve">Table </w:t>
      </w:r>
      <w:r w:rsidR="004D4404" w:rsidRPr="00B760D3">
        <w:rPr>
          <w:color w:val="auto"/>
        </w:rPr>
        <w:fldChar w:fldCharType="begin"/>
      </w:r>
      <w:r w:rsidRPr="00B760D3">
        <w:rPr>
          <w:color w:val="auto"/>
        </w:rPr>
        <w:instrText xml:space="preserve"> SEQ Table \* ARABIC </w:instrText>
      </w:r>
      <w:r w:rsidR="004D4404" w:rsidRPr="00B760D3">
        <w:rPr>
          <w:color w:val="auto"/>
        </w:rPr>
        <w:fldChar w:fldCharType="separate"/>
      </w:r>
      <w:r w:rsidR="008F107A">
        <w:rPr>
          <w:noProof/>
          <w:color w:val="auto"/>
        </w:rPr>
        <w:t>1</w:t>
      </w:r>
      <w:r w:rsidR="004D4404" w:rsidRPr="00B760D3">
        <w:rPr>
          <w:color w:val="auto"/>
        </w:rPr>
        <w:fldChar w:fldCharType="end"/>
      </w:r>
    </w:p>
    <w:p w:rsidR="005A471D" w:rsidRPr="005A471D" w:rsidRDefault="00F21459" w:rsidP="005A471D">
      <w:r w:rsidRPr="00F21459">
        <w:drawing>
          <wp:inline distT="0" distB="0" distL="0" distR="0">
            <wp:extent cx="5943600" cy="3247507"/>
            <wp:effectExtent l="19050" t="0" r="0" b="0"/>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5943600" cy="3247507"/>
                    </a:xfrm>
                    <a:prstGeom prst="rect">
                      <a:avLst/>
                    </a:prstGeom>
                    <a:noFill/>
                    <a:ln w="9525">
                      <a:noFill/>
                      <a:miter lim="800000"/>
                      <a:headEnd/>
                      <a:tailEnd/>
                    </a:ln>
                  </pic:spPr>
                </pic:pic>
              </a:graphicData>
            </a:graphic>
          </wp:inline>
        </w:drawing>
      </w:r>
    </w:p>
    <w:p w:rsidR="00596F8A" w:rsidRPr="009E6E1F" w:rsidRDefault="00F549F5" w:rsidP="00D400CB">
      <w:pPr>
        <w:spacing w:after="0" w:line="240" w:lineRule="auto"/>
        <w:rPr>
          <w:rFonts w:ascii="Arial" w:hAnsi="Arial"/>
          <w:b/>
          <w:u w:val="single"/>
        </w:rPr>
      </w:pPr>
      <w:r>
        <w:rPr>
          <w:rFonts w:ascii="Arial" w:hAnsi="Arial"/>
          <w:b/>
          <w:u w:val="single"/>
        </w:rPr>
        <w:br w:type="page"/>
      </w:r>
      <w:r w:rsidR="00FA2F13">
        <w:rPr>
          <w:rFonts w:ascii="Arial" w:hAnsi="Arial"/>
          <w:b/>
          <w:u w:val="single"/>
        </w:rPr>
        <w:t xml:space="preserve">Calculation </w:t>
      </w:r>
      <w:r w:rsidR="009E6E1F" w:rsidRPr="009E6E1F">
        <w:rPr>
          <w:rFonts w:ascii="Arial" w:hAnsi="Arial"/>
          <w:b/>
          <w:u w:val="single"/>
        </w:rPr>
        <w:t>Example 1:</w:t>
      </w:r>
    </w:p>
    <w:p w:rsidR="00596F8A" w:rsidRDefault="00243D63" w:rsidP="00EC673C">
      <w:pPr>
        <w:jc w:val="both"/>
        <w:rPr>
          <w:rFonts w:ascii="Arial" w:hAnsi="Arial"/>
        </w:rPr>
      </w:pPr>
      <w:r w:rsidRPr="00243D63">
        <w:rPr>
          <w:noProof/>
        </w:rPr>
        <w:drawing>
          <wp:inline distT="0" distB="0" distL="0" distR="0">
            <wp:extent cx="5943600" cy="2334516"/>
            <wp:effectExtent l="1905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5943600" cy="2334516"/>
                    </a:xfrm>
                    <a:prstGeom prst="rect">
                      <a:avLst/>
                    </a:prstGeom>
                    <a:noFill/>
                    <a:ln w="9525">
                      <a:noFill/>
                      <a:miter lim="800000"/>
                      <a:headEnd/>
                      <a:tailEnd/>
                    </a:ln>
                  </pic:spPr>
                </pic:pic>
              </a:graphicData>
            </a:graphic>
          </wp:inline>
        </w:drawing>
      </w:r>
    </w:p>
    <w:p w:rsidR="009E6E1F" w:rsidRDefault="00F353BD" w:rsidP="00EC673C">
      <w:pPr>
        <w:jc w:val="both"/>
        <w:rPr>
          <w:rFonts w:ascii="Arial" w:hAnsi="Arial"/>
        </w:rPr>
      </w:pPr>
      <w:r w:rsidRPr="00F353BD">
        <w:rPr>
          <w:noProof/>
        </w:rPr>
        <w:drawing>
          <wp:inline distT="0" distB="0" distL="0" distR="0">
            <wp:extent cx="5943600" cy="2234866"/>
            <wp:effectExtent l="1905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5943600" cy="2234866"/>
                    </a:xfrm>
                    <a:prstGeom prst="rect">
                      <a:avLst/>
                    </a:prstGeom>
                    <a:noFill/>
                    <a:ln w="9525">
                      <a:noFill/>
                      <a:miter lim="800000"/>
                      <a:headEnd/>
                      <a:tailEnd/>
                    </a:ln>
                  </pic:spPr>
                </pic:pic>
              </a:graphicData>
            </a:graphic>
          </wp:inline>
        </w:drawing>
      </w:r>
    </w:p>
    <w:p w:rsidR="00A31383" w:rsidRDefault="00FA2F13" w:rsidP="00EC673C">
      <w:pPr>
        <w:jc w:val="both"/>
        <w:rPr>
          <w:rFonts w:ascii="Arial" w:hAnsi="Arial"/>
          <w:b/>
          <w:u w:val="single"/>
        </w:rPr>
      </w:pPr>
      <w:r>
        <w:rPr>
          <w:rFonts w:ascii="Arial" w:hAnsi="Arial"/>
          <w:b/>
          <w:u w:val="single"/>
        </w:rPr>
        <w:t xml:space="preserve">Calculation </w:t>
      </w:r>
      <w:r w:rsidR="00A31383" w:rsidRPr="00A31383">
        <w:rPr>
          <w:rFonts w:ascii="Arial" w:hAnsi="Arial"/>
          <w:b/>
          <w:u w:val="single"/>
        </w:rPr>
        <w:t>Example 2:</w:t>
      </w:r>
    </w:p>
    <w:p w:rsidR="00A31383" w:rsidRPr="00A31383" w:rsidRDefault="009B797E" w:rsidP="00EC673C">
      <w:pPr>
        <w:jc w:val="both"/>
        <w:rPr>
          <w:rFonts w:ascii="Arial" w:hAnsi="Arial"/>
          <w:sz w:val="20"/>
          <w:szCs w:val="20"/>
        </w:rPr>
      </w:pPr>
      <w:r w:rsidRPr="009B797E">
        <w:drawing>
          <wp:inline distT="0" distB="0" distL="0" distR="0">
            <wp:extent cx="5943600" cy="2498217"/>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5943600" cy="2498217"/>
                    </a:xfrm>
                    <a:prstGeom prst="rect">
                      <a:avLst/>
                    </a:prstGeom>
                    <a:noFill/>
                    <a:ln w="9525">
                      <a:noFill/>
                      <a:miter lim="800000"/>
                      <a:headEnd/>
                      <a:tailEnd/>
                    </a:ln>
                  </pic:spPr>
                </pic:pic>
              </a:graphicData>
            </a:graphic>
          </wp:inline>
        </w:drawing>
      </w:r>
      <w:r w:rsidR="00A31383" w:rsidRPr="00A31383">
        <w:rPr>
          <w:rFonts w:ascii="Arial" w:hAnsi="Arial"/>
          <w:sz w:val="20"/>
          <w:szCs w:val="20"/>
        </w:rPr>
        <w:t>* Minimum Energy Fuel and Start Fuel in this example is based on the ICAPWG</w:t>
      </w:r>
      <w:bookmarkStart w:id="1" w:name="_Ref250568114"/>
      <w:r w:rsidR="00FA2F13">
        <w:rPr>
          <w:rStyle w:val="EndnoteReference"/>
          <w:rFonts w:ascii="Arial" w:eastAsia="Times New Roman" w:hAnsi="Arial"/>
        </w:rPr>
        <w:endnoteReference w:id="2"/>
      </w:r>
      <w:bookmarkEnd w:id="1"/>
      <w:r w:rsidR="00A31383" w:rsidRPr="00A31383">
        <w:rPr>
          <w:rFonts w:ascii="Arial" w:hAnsi="Arial"/>
          <w:sz w:val="20"/>
          <w:szCs w:val="20"/>
        </w:rPr>
        <w:t xml:space="preserve"> Demand Curve Study</w:t>
      </w:r>
      <w:r w:rsidR="00A31383">
        <w:rPr>
          <w:rFonts w:ascii="Arial" w:hAnsi="Arial"/>
          <w:sz w:val="20"/>
          <w:szCs w:val="20"/>
        </w:rPr>
        <w:t>.</w:t>
      </w:r>
      <w:r w:rsidR="00E14B5B">
        <w:rPr>
          <w:rFonts w:ascii="Arial" w:hAnsi="Arial"/>
          <w:sz w:val="20"/>
          <w:szCs w:val="20"/>
        </w:rPr>
        <w:t xml:space="preserve"> </w:t>
      </w:r>
    </w:p>
    <w:p w:rsidR="00A31383" w:rsidRPr="00A31383" w:rsidRDefault="009B797E" w:rsidP="00EC673C">
      <w:pPr>
        <w:jc w:val="both"/>
        <w:rPr>
          <w:rFonts w:ascii="Arial" w:hAnsi="Arial"/>
          <w:b/>
          <w:u w:val="single"/>
        </w:rPr>
      </w:pPr>
      <w:r w:rsidRPr="009B797E">
        <w:drawing>
          <wp:inline distT="0" distB="0" distL="0" distR="0">
            <wp:extent cx="5943600" cy="2254961"/>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5943600" cy="2254961"/>
                    </a:xfrm>
                    <a:prstGeom prst="rect">
                      <a:avLst/>
                    </a:prstGeom>
                    <a:noFill/>
                    <a:ln w="9525">
                      <a:noFill/>
                      <a:miter lim="800000"/>
                      <a:headEnd/>
                      <a:tailEnd/>
                    </a:ln>
                  </pic:spPr>
                </pic:pic>
              </a:graphicData>
            </a:graphic>
          </wp:inline>
        </w:drawing>
      </w:r>
    </w:p>
    <w:p w:rsidR="00B63672" w:rsidRPr="00702106" w:rsidRDefault="000F7DE5" w:rsidP="00702106">
      <w:pPr>
        <w:spacing w:before="120" w:after="60" w:line="240" w:lineRule="auto"/>
        <w:jc w:val="both"/>
        <w:outlineLvl w:val="0"/>
        <w:rPr>
          <w:rFonts w:ascii="Arial" w:eastAsia="Times New Roman" w:hAnsi="Arial"/>
          <w:b/>
        </w:rPr>
      </w:pPr>
      <w:r>
        <w:rPr>
          <w:rFonts w:ascii="Arial" w:eastAsia="Times New Roman" w:hAnsi="Arial"/>
          <w:b/>
        </w:rPr>
        <w:t>Final Considerations:</w:t>
      </w:r>
    </w:p>
    <w:p w:rsidR="00AD2444" w:rsidRPr="00413332" w:rsidRDefault="00965A07" w:rsidP="00413332">
      <w:pPr>
        <w:spacing w:before="120" w:after="60"/>
        <w:jc w:val="both"/>
        <w:rPr>
          <w:rFonts w:ascii="Arial" w:hAnsi="Arial"/>
        </w:rPr>
      </w:pPr>
      <w:r>
        <w:rPr>
          <w:rFonts w:ascii="Arial" w:hAnsi="Arial"/>
        </w:rPr>
        <w:t>While</w:t>
      </w:r>
      <w:r w:rsidRPr="00413332">
        <w:rPr>
          <w:rFonts w:ascii="Arial" w:hAnsi="Arial"/>
        </w:rPr>
        <w:t xml:space="preserve"> </w:t>
      </w:r>
      <w:r w:rsidR="00F549F5">
        <w:rPr>
          <w:rFonts w:ascii="Arial" w:hAnsi="Arial"/>
        </w:rPr>
        <w:t>it is currently expected that t</w:t>
      </w:r>
      <w:r w:rsidR="00F549F5" w:rsidRPr="00413332">
        <w:rPr>
          <w:rFonts w:ascii="Arial" w:hAnsi="Arial"/>
        </w:rPr>
        <w:t xml:space="preserve">he </w:t>
      </w:r>
      <w:r>
        <w:rPr>
          <w:rFonts w:ascii="Arial" w:hAnsi="Arial"/>
        </w:rPr>
        <w:t>m</w:t>
      </w:r>
      <w:r w:rsidRPr="00413332">
        <w:rPr>
          <w:rFonts w:ascii="Arial" w:hAnsi="Arial"/>
        </w:rPr>
        <w:t>ajo</w:t>
      </w:r>
      <w:r>
        <w:rPr>
          <w:rFonts w:ascii="Arial" w:hAnsi="Arial"/>
        </w:rPr>
        <w:t xml:space="preserve">rity of RUC instructions </w:t>
      </w:r>
      <w:r w:rsidR="00F549F5">
        <w:rPr>
          <w:rFonts w:ascii="Arial" w:hAnsi="Arial"/>
        </w:rPr>
        <w:t xml:space="preserve">in the Nodal Market </w:t>
      </w:r>
      <w:r>
        <w:rPr>
          <w:rFonts w:ascii="Arial" w:hAnsi="Arial"/>
        </w:rPr>
        <w:t xml:space="preserve">will be for </w:t>
      </w:r>
      <w:r w:rsidR="00E14B5B">
        <w:rPr>
          <w:rFonts w:ascii="Arial" w:hAnsi="Arial"/>
        </w:rPr>
        <w:t>a few</w:t>
      </w:r>
      <w:r>
        <w:rPr>
          <w:rFonts w:ascii="Arial" w:hAnsi="Arial"/>
        </w:rPr>
        <w:t xml:space="preserve"> Resources, due to the limitations of the </w:t>
      </w:r>
      <w:r w:rsidR="00F549F5">
        <w:rPr>
          <w:rFonts w:ascii="Arial" w:hAnsi="Arial"/>
        </w:rPr>
        <w:t xml:space="preserve">currently drafted </w:t>
      </w:r>
      <w:r w:rsidRPr="00413332">
        <w:rPr>
          <w:rFonts w:ascii="Arial" w:hAnsi="Arial"/>
        </w:rPr>
        <w:t>Nodal Protocol</w:t>
      </w:r>
      <w:r>
        <w:rPr>
          <w:rFonts w:ascii="Arial" w:hAnsi="Arial"/>
        </w:rPr>
        <w:t>s</w:t>
      </w:r>
      <w:r w:rsidR="00E14B5B">
        <w:rPr>
          <w:rFonts w:ascii="Arial" w:hAnsi="Arial"/>
        </w:rPr>
        <w:t>,</w:t>
      </w:r>
      <w:r>
        <w:rPr>
          <w:rFonts w:ascii="Arial" w:hAnsi="Arial"/>
        </w:rPr>
        <w:t xml:space="preserve"> </w:t>
      </w:r>
      <w:r w:rsidR="00EF7BC2">
        <w:rPr>
          <w:rFonts w:ascii="Arial" w:hAnsi="Arial"/>
        </w:rPr>
        <w:t xml:space="preserve">the vast majority of </w:t>
      </w:r>
      <w:r>
        <w:rPr>
          <w:rFonts w:ascii="Arial" w:hAnsi="Arial"/>
        </w:rPr>
        <w:t xml:space="preserve">Resource Entities </w:t>
      </w:r>
      <w:r w:rsidR="00EF7BC2">
        <w:rPr>
          <w:rFonts w:ascii="Arial" w:hAnsi="Arial"/>
        </w:rPr>
        <w:t>will</w:t>
      </w:r>
      <w:r w:rsidR="00EF7BC2" w:rsidRPr="00413332">
        <w:rPr>
          <w:rFonts w:ascii="Arial" w:hAnsi="Arial"/>
        </w:rPr>
        <w:t xml:space="preserve"> </w:t>
      </w:r>
      <w:r w:rsidRPr="00413332">
        <w:rPr>
          <w:rFonts w:ascii="Arial" w:hAnsi="Arial"/>
        </w:rPr>
        <w:t xml:space="preserve">incur the </w:t>
      </w:r>
      <w:r>
        <w:rPr>
          <w:rFonts w:ascii="Arial" w:hAnsi="Arial"/>
        </w:rPr>
        <w:t>e</w:t>
      </w:r>
      <w:r w:rsidRPr="00413332">
        <w:rPr>
          <w:rFonts w:ascii="Arial" w:hAnsi="Arial"/>
        </w:rPr>
        <w:t xml:space="preserve">xpense </w:t>
      </w:r>
      <w:r w:rsidR="00F549F5">
        <w:rPr>
          <w:rFonts w:ascii="Arial" w:hAnsi="Arial"/>
        </w:rPr>
        <w:t xml:space="preserve">to submit </w:t>
      </w:r>
      <w:r>
        <w:rPr>
          <w:rFonts w:ascii="Arial" w:hAnsi="Arial"/>
        </w:rPr>
        <w:t>Verifiable Cost</w:t>
      </w:r>
      <w:r w:rsidRPr="00413332">
        <w:rPr>
          <w:rFonts w:ascii="Arial" w:hAnsi="Arial"/>
        </w:rPr>
        <w:t xml:space="preserve">s </w:t>
      </w:r>
      <w:r w:rsidR="00FA2F13">
        <w:rPr>
          <w:rFonts w:ascii="Arial" w:hAnsi="Arial"/>
        </w:rPr>
        <w:t xml:space="preserve">to avoid being financially harmed </w:t>
      </w:r>
      <w:r w:rsidR="005B386F">
        <w:rPr>
          <w:rFonts w:ascii="Arial" w:hAnsi="Arial"/>
        </w:rPr>
        <w:t xml:space="preserve">by </w:t>
      </w:r>
      <w:r w:rsidR="00FA2F13">
        <w:rPr>
          <w:rFonts w:ascii="Arial" w:hAnsi="Arial"/>
        </w:rPr>
        <w:t>RUC</w:t>
      </w:r>
      <w:r w:rsidR="005B386F">
        <w:rPr>
          <w:rFonts w:ascii="Arial" w:hAnsi="Arial"/>
        </w:rPr>
        <w:t xml:space="preserve"> generic compensation (</w:t>
      </w:r>
      <w:r w:rsidR="005B386F" w:rsidRPr="00413332">
        <w:rPr>
          <w:rFonts w:ascii="Arial" w:hAnsi="Arial"/>
        </w:rPr>
        <w:t>4.4.9.2.3</w:t>
      </w:r>
      <w:r w:rsidR="005B386F">
        <w:rPr>
          <w:rFonts w:ascii="Arial" w:hAnsi="Arial"/>
        </w:rPr>
        <w:t>)</w:t>
      </w:r>
      <w:r w:rsidR="00842496" w:rsidRPr="00413332">
        <w:rPr>
          <w:rFonts w:ascii="Arial" w:hAnsi="Arial"/>
        </w:rPr>
        <w:t>.</w:t>
      </w:r>
      <w:r w:rsidR="00BE34F1">
        <w:rPr>
          <w:rFonts w:ascii="Arial" w:hAnsi="Arial"/>
        </w:rPr>
        <w:t xml:space="preserve"> </w:t>
      </w:r>
      <w:r w:rsidR="00842496" w:rsidRPr="00413332">
        <w:rPr>
          <w:rFonts w:ascii="Arial" w:hAnsi="Arial"/>
        </w:rPr>
        <w:t xml:space="preserve"> </w:t>
      </w:r>
      <w:r w:rsidR="00A312B7">
        <w:rPr>
          <w:rFonts w:ascii="Arial" w:hAnsi="Arial"/>
        </w:rPr>
        <w:t>Because</w:t>
      </w:r>
      <w:r w:rsidR="00F0600C">
        <w:rPr>
          <w:rFonts w:ascii="Arial" w:hAnsi="Arial"/>
        </w:rPr>
        <w:t xml:space="preserve"> the </w:t>
      </w:r>
      <w:r w:rsidR="008A61F4">
        <w:rPr>
          <w:rFonts w:ascii="Arial" w:hAnsi="Arial"/>
        </w:rPr>
        <w:t>Verifiable Cost</w:t>
      </w:r>
      <w:r w:rsidR="00F0600C">
        <w:rPr>
          <w:rFonts w:ascii="Arial" w:hAnsi="Arial"/>
        </w:rPr>
        <w:t xml:space="preserve"> process will</w:t>
      </w:r>
      <w:r w:rsidR="00616EE8">
        <w:rPr>
          <w:rFonts w:ascii="Arial" w:hAnsi="Arial"/>
        </w:rPr>
        <w:t xml:space="preserve"> </w:t>
      </w:r>
      <w:r w:rsidR="00A312B7">
        <w:rPr>
          <w:rFonts w:ascii="Arial" w:hAnsi="Arial"/>
        </w:rPr>
        <w:t>determine the</w:t>
      </w:r>
      <w:r w:rsidR="00F0600C">
        <w:rPr>
          <w:rFonts w:ascii="Arial" w:hAnsi="Arial"/>
        </w:rPr>
        <w:t xml:space="preserve"> </w:t>
      </w:r>
      <w:r w:rsidR="00842496" w:rsidRPr="00413332">
        <w:rPr>
          <w:rFonts w:ascii="Arial" w:hAnsi="Arial"/>
        </w:rPr>
        <w:t xml:space="preserve">bidding </w:t>
      </w:r>
      <w:r w:rsidR="00FA2F13">
        <w:rPr>
          <w:rFonts w:ascii="Arial" w:hAnsi="Arial"/>
        </w:rPr>
        <w:t>parameters</w:t>
      </w:r>
      <w:r w:rsidR="00A312B7">
        <w:rPr>
          <w:rFonts w:ascii="Arial" w:hAnsi="Arial"/>
        </w:rPr>
        <w:t xml:space="preserve"> for each </w:t>
      </w:r>
      <w:r w:rsidR="00F549F5">
        <w:rPr>
          <w:rFonts w:ascii="Arial" w:hAnsi="Arial"/>
        </w:rPr>
        <w:t>R</w:t>
      </w:r>
      <w:r w:rsidR="00A312B7">
        <w:rPr>
          <w:rFonts w:ascii="Arial" w:hAnsi="Arial"/>
        </w:rPr>
        <w:t xml:space="preserve">esource, </w:t>
      </w:r>
      <w:r w:rsidR="00A312B7" w:rsidRPr="00413332">
        <w:rPr>
          <w:rFonts w:ascii="Arial" w:hAnsi="Arial"/>
        </w:rPr>
        <w:t>many</w:t>
      </w:r>
      <w:r w:rsidR="00A312B7">
        <w:rPr>
          <w:rFonts w:ascii="Arial" w:hAnsi="Arial"/>
        </w:rPr>
        <w:t xml:space="preserve"> Resource Entities will</w:t>
      </w:r>
      <w:r w:rsidR="00F0600C">
        <w:rPr>
          <w:rFonts w:ascii="Arial" w:hAnsi="Arial"/>
        </w:rPr>
        <w:t xml:space="preserve"> utiliz</w:t>
      </w:r>
      <w:r w:rsidR="006B3CB2">
        <w:rPr>
          <w:rFonts w:ascii="Arial" w:hAnsi="Arial"/>
        </w:rPr>
        <w:t>e</w:t>
      </w:r>
      <w:r w:rsidR="00F0600C">
        <w:rPr>
          <w:rFonts w:ascii="Arial" w:hAnsi="Arial"/>
        </w:rPr>
        <w:t xml:space="preserve"> </w:t>
      </w:r>
      <w:r w:rsidR="000C24E4" w:rsidRPr="00413332">
        <w:rPr>
          <w:rFonts w:ascii="Arial" w:hAnsi="Arial"/>
        </w:rPr>
        <w:t xml:space="preserve">consultants or other costly </w:t>
      </w:r>
      <w:r w:rsidR="00616EE8">
        <w:rPr>
          <w:rFonts w:ascii="Arial" w:hAnsi="Arial"/>
        </w:rPr>
        <w:t xml:space="preserve">mechanisms </w:t>
      </w:r>
      <w:r w:rsidR="00F0600C">
        <w:rPr>
          <w:rFonts w:ascii="Arial" w:hAnsi="Arial"/>
        </w:rPr>
        <w:t xml:space="preserve">to assist in the </w:t>
      </w:r>
      <w:r w:rsidR="006B3CB2">
        <w:rPr>
          <w:rFonts w:ascii="Arial" w:hAnsi="Arial"/>
        </w:rPr>
        <w:t xml:space="preserve">calculation </w:t>
      </w:r>
      <w:r w:rsidR="00F0600C">
        <w:rPr>
          <w:rFonts w:ascii="Arial" w:hAnsi="Arial"/>
        </w:rPr>
        <w:t xml:space="preserve">of </w:t>
      </w:r>
      <w:r w:rsidR="00A312B7">
        <w:rPr>
          <w:rFonts w:ascii="Arial" w:hAnsi="Arial"/>
        </w:rPr>
        <w:t xml:space="preserve">its </w:t>
      </w:r>
      <w:r w:rsidR="00F0600C">
        <w:rPr>
          <w:rFonts w:ascii="Arial" w:hAnsi="Arial"/>
        </w:rPr>
        <w:t>costs</w:t>
      </w:r>
      <w:r w:rsidR="00F549F5">
        <w:rPr>
          <w:rFonts w:ascii="Arial" w:hAnsi="Arial"/>
        </w:rPr>
        <w:t xml:space="preserve"> to ensure their bidding strategies cover their costs</w:t>
      </w:r>
      <w:r w:rsidR="00F0600C">
        <w:rPr>
          <w:rFonts w:ascii="Arial" w:hAnsi="Arial"/>
        </w:rPr>
        <w:t xml:space="preserve">.  </w:t>
      </w:r>
      <w:r w:rsidR="00364794">
        <w:rPr>
          <w:rFonts w:ascii="Arial" w:hAnsi="Arial"/>
        </w:rPr>
        <w:t>I</w:t>
      </w:r>
      <w:r w:rsidR="000C24E4" w:rsidRPr="00413332">
        <w:rPr>
          <w:rFonts w:ascii="Arial" w:hAnsi="Arial"/>
        </w:rPr>
        <w:t>mplementing a NPRR which allow</w:t>
      </w:r>
      <w:r w:rsidR="00A312B7">
        <w:rPr>
          <w:rFonts w:ascii="Arial" w:hAnsi="Arial"/>
        </w:rPr>
        <w:t>s</w:t>
      </w:r>
      <w:r w:rsidR="000C24E4" w:rsidRPr="00413332">
        <w:rPr>
          <w:rFonts w:ascii="Arial" w:hAnsi="Arial"/>
        </w:rPr>
        <w:t xml:space="preserve"> </w:t>
      </w:r>
      <w:r w:rsidR="001936E0" w:rsidRPr="00413332">
        <w:rPr>
          <w:rFonts w:ascii="Arial" w:hAnsi="Arial"/>
        </w:rPr>
        <w:t>a</w:t>
      </w:r>
      <w:r w:rsidR="000C24E4" w:rsidRPr="00413332">
        <w:rPr>
          <w:rFonts w:ascii="Arial" w:hAnsi="Arial"/>
        </w:rPr>
        <w:t xml:space="preserve"> </w:t>
      </w:r>
      <w:r w:rsidR="00364794">
        <w:rPr>
          <w:rFonts w:ascii="Arial" w:hAnsi="Arial"/>
        </w:rPr>
        <w:t>R</w:t>
      </w:r>
      <w:r w:rsidR="000C24E4" w:rsidRPr="00413332">
        <w:rPr>
          <w:rFonts w:ascii="Arial" w:hAnsi="Arial"/>
        </w:rPr>
        <w:t>esource</w:t>
      </w:r>
      <w:r w:rsidR="000F56DC">
        <w:rPr>
          <w:rFonts w:ascii="Arial" w:hAnsi="Arial"/>
        </w:rPr>
        <w:t xml:space="preserve"> Entity</w:t>
      </w:r>
      <w:r w:rsidR="000C24E4" w:rsidRPr="00413332">
        <w:rPr>
          <w:rFonts w:ascii="Arial" w:hAnsi="Arial"/>
        </w:rPr>
        <w:t xml:space="preserve"> to opt for </w:t>
      </w:r>
      <w:r w:rsidR="000F56DC">
        <w:rPr>
          <w:rFonts w:ascii="Arial" w:hAnsi="Arial"/>
        </w:rPr>
        <w:t>Standard</w:t>
      </w:r>
      <w:r w:rsidR="000C24E4" w:rsidRPr="00413332">
        <w:rPr>
          <w:rFonts w:ascii="Arial" w:hAnsi="Arial"/>
        </w:rPr>
        <w:t xml:space="preserve"> </w:t>
      </w:r>
      <w:r w:rsidR="00F549F5">
        <w:rPr>
          <w:rFonts w:ascii="Arial" w:hAnsi="Arial"/>
        </w:rPr>
        <w:t xml:space="preserve">Cost </w:t>
      </w:r>
      <w:r w:rsidR="000C24E4" w:rsidRPr="00413332">
        <w:rPr>
          <w:rFonts w:ascii="Arial" w:hAnsi="Arial"/>
        </w:rPr>
        <w:t xml:space="preserve">compensation will relieve the </w:t>
      </w:r>
      <w:r w:rsidR="002636FF">
        <w:rPr>
          <w:rFonts w:ascii="Arial" w:hAnsi="Arial"/>
        </w:rPr>
        <w:t xml:space="preserve">administrative </w:t>
      </w:r>
      <w:r w:rsidR="00616EE8">
        <w:rPr>
          <w:rFonts w:ascii="Arial" w:hAnsi="Arial"/>
        </w:rPr>
        <w:t xml:space="preserve">cost </w:t>
      </w:r>
      <w:r w:rsidR="001936E0" w:rsidRPr="00413332">
        <w:rPr>
          <w:rFonts w:ascii="Arial" w:hAnsi="Arial"/>
        </w:rPr>
        <w:t xml:space="preserve">burden </w:t>
      </w:r>
      <w:r w:rsidR="00364794">
        <w:rPr>
          <w:rFonts w:ascii="Arial" w:hAnsi="Arial"/>
        </w:rPr>
        <w:t xml:space="preserve">in </w:t>
      </w:r>
      <w:r w:rsidR="001936E0" w:rsidRPr="00413332">
        <w:rPr>
          <w:rFonts w:ascii="Arial" w:hAnsi="Arial"/>
        </w:rPr>
        <w:t>provid</w:t>
      </w:r>
      <w:r w:rsidR="00364794">
        <w:rPr>
          <w:rFonts w:ascii="Arial" w:hAnsi="Arial"/>
        </w:rPr>
        <w:t>ing</w:t>
      </w:r>
      <w:r w:rsidR="001936E0" w:rsidRPr="00413332">
        <w:rPr>
          <w:rFonts w:ascii="Arial" w:hAnsi="Arial"/>
        </w:rPr>
        <w:t xml:space="preserve"> </w:t>
      </w:r>
      <w:r w:rsidR="008A61F4">
        <w:rPr>
          <w:rFonts w:ascii="Arial" w:hAnsi="Arial"/>
        </w:rPr>
        <w:t>Verifiable Costs</w:t>
      </w:r>
      <w:r w:rsidR="001936E0" w:rsidRPr="00413332">
        <w:rPr>
          <w:rFonts w:ascii="Arial" w:hAnsi="Arial"/>
        </w:rPr>
        <w:t xml:space="preserve"> to </w:t>
      </w:r>
      <w:r w:rsidR="00616EE8">
        <w:rPr>
          <w:rFonts w:ascii="Arial" w:hAnsi="Arial"/>
        </w:rPr>
        <w:t>ERCOT</w:t>
      </w:r>
      <w:r w:rsidR="002636FF">
        <w:rPr>
          <w:rFonts w:ascii="Arial" w:hAnsi="Arial"/>
        </w:rPr>
        <w:t>.</w:t>
      </w:r>
    </w:p>
    <w:p w:rsidR="00064389" w:rsidRDefault="00AD2444" w:rsidP="00064389">
      <w:pPr>
        <w:spacing w:before="120" w:after="60"/>
        <w:jc w:val="both"/>
        <w:rPr>
          <w:rFonts w:ascii="Arial" w:hAnsi="Arial"/>
        </w:rPr>
      </w:pPr>
      <w:r w:rsidRPr="00413332">
        <w:rPr>
          <w:rFonts w:ascii="Arial" w:hAnsi="Arial"/>
        </w:rPr>
        <w:t>In addition to the</w:t>
      </w:r>
      <w:r w:rsidR="00702106" w:rsidRPr="00413332">
        <w:rPr>
          <w:rFonts w:ascii="Arial" w:hAnsi="Arial"/>
        </w:rPr>
        <w:t>se</w:t>
      </w:r>
      <w:r w:rsidRPr="00413332">
        <w:rPr>
          <w:rFonts w:ascii="Arial" w:hAnsi="Arial"/>
        </w:rPr>
        <w:t xml:space="preserve"> </w:t>
      </w:r>
      <w:r w:rsidR="00702106" w:rsidRPr="00413332">
        <w:rPr>
          <w:rFonts w:ascii="Arial" w:hAnsi="Arial"/>
        </w:rPr>
        <w:t>considerations</w:t>
      </w:r>
      <w:r w:rsidR="0077654D">
        <w:rPr>
          <w:rFonts w:ascii="Arial" w:hAnsi="Arial"/>
        </w:rPr>
        <w:t>,</w:t>
      </w:r>
      <w:r w:rsidR="00702106" w:rsidRPr="00413332">
        <w:rPr>
          <w:rFonts w:ascii="Arial" w:hAnsi="Arial"/>
        </w:rPr>
        <w:t xml:space="preserve"> there</w:t>
      </w:r>
      <w:r w:rsidRPr="00413332">
        <w:rPr>
          <w:rFonts w:ascii="Arial" w:hAnsi="Arial"/>
        </w:rPr>
        <w:t xml:space="preserve"> are certain instances </w:t>
      </w:r>
      <w:r w:rsidR="0077654D">
        <w:rPr>
          <w:rFonts w:ascii="Arial" w:hAnsi="Arial"/>
        </w:rPr>
        <w:t xml:space="preserve">that </w:t>
      </w:r>
      <w:r w:rsidR="00702106" w:rsidRPr="00413332">
        <w:rPr>
          <w:rFonts w:ascii="Arial" w:hAnsi="Arial"/>
        </w:rPr>
        <w:t>are not</w:t>
      </w:r>
      <w:r w:rsidRPr="00413332">
        <w:rPr>
          <w:rFonts w:ascii="Arial" w:hAnsi="Arial"/>
        </w:rPr>
        <w:t xml:space="preserve"> </w:t>
      </w:r>
      <w:r w:rsidR="0077654D">
        <w:rPr>
          <w:rFonts w:ascii="Arial" w:hAnsi="Arial"/>
        </w:rPr>
        <w:t xml:space="preserve">contemplated </w:t>
      </w:r>
      <w:r w:rsidRPr="00413332">
        <w:rPr>
          <w:rFonts w:ascii="Arial" w:hAnsi="Arial"/>
        </w:rPr>
        <w:t xml:space="preserve">by the Nodal Protocols or the </w:t>
      </w:r>
      <w:r w:rsidR="008A61F4" w:rsidRPr="008A61F4">
        <w:rPr>
          <w:rFonts w:ascii="Arial" w:hAnsi="Arial"/>
        </w:rPr>
        <w:t>Verifiable Cost</w:t>
      </w:r>
      <w:r w:rsidRPr="00413332">
        <w:rPr>
          <w:rFonts w:ascii="Arial" w:hAnsi="Arial"/>
        </w:rPr>
        <w:t xml:space="preserve"> Manual in which </w:t>
      </w:r>
      <w:r w:rsidR="0077654D">
        <w:rPr>
          <w:rFonts w:ascii="Arial" w:hAnsi="Arial"/>
        </w:rPr>
        <w:t xml:space="preserve">it will not be possible for </w:t>
      </w:r>
      <w:r w:rsidRPr="00413332">
        <w:rPr>
          <w:rFonts w:ascii="Arial" w:hAnsi="Arial"/>
        </w:rPr>
        <w:t>Resource</w:t>
      </w:r>
      <w:r w:rsidR="009B02A5">
        <w:rPr>
          <w:rFonts w:ascii="Arial" w:hAnsi="Arial"/>
        </w:rPr>
        <w:t xml:space="preserve"> Entities</w:t>
      </w:r>
      <w:r w:rsidRPr="00413332">
        <w:rPr>
          <w:rFonts w:ascii="Arial" w:hAnsi="Arial"/>
        </w:rPr>
        <w:t xml:space="preserve"> </w:t>
      </w:r>
      <w:r w:rsidR="0077654D">
        <w:rPr>
          <w:rFonts w:ascii="Arial" w:hAnsi="Arial"/>
        </w:rPr>
        <w:t xml:space="preserve">to meet the requirements for </w:t>
      </w:r>
      <w:r w:rsidR="00FB29F7">
        <w:rPr>
          <w:rFonts w:ascii="Arial" w:hAnsi="Arial"/>
        </w:rPr>
        <w:t>Verifiable Cost</w:t>
      </w:r>
      <w:r w:rsidR="0077654D">
        <w:rPr>
          <w:rFonts w:ascii="Arial" w:hAnsi="Arial"/>
        </w:rPr>
        <w:t xml:space="preserve"> submission</w:t>
      </w:r>
      <w:r w:rsidRPr="00413332">
        <w:rPr>
          <w:rFonts w:ascii="Arial" w:hAnsi="Arial"/>
        </w:rPr>
        <w:t xml:space="preserve">. </w:t>
      </w:r>
    </w:p>
    <w:p w:rsidR="00064389" w:rsidRDefault="00064389" w:rsidP="00064389">
      <w:pPr>
        <w:spacing w:before="120" w:after="60"/>
        <w:ind w:left="720"/>
        <w:jc w:val="both"/>
        <w:rPr>
          <w:rFonts w:ascii="Arial" w:hAnsi="Arial"/>
        </w:rPr>
      </w:pPr>
    </w:p>
    <w:p w:rsidR="00064389" w:rsidRDefault="00064389" w:rsidP="00064389">
      <w:pPr>
        <w:spacing w:before="120" w:after="60"/>
        <w:ind w:left="720"/>
        <w:jc w:val="both"/>
        <w:rPr>
          <w:rFonts w:ascii="Arial" w:hAnsi="Arial"/>
        </w:rPr>
      </w:pPr>
      <w:r w:rsidRPr="00111A6A">
        <w:rPr>
          <w:rFonts w:ascii="Arial" w:hAnsi="Arial"/>
          <w:b/>
          <w:i/>
        </w:rPr>
        <w:t>Third Party Confidentiality Obligations</w:t>
      </w:r>
      <w:r>
        <w:rPr>
          <w:rFonts w:ascii="Arial" w:hAnsi="Arial"/>
          <w:b/>
          <w:i/>
        </w:rPr>
        <w:t xml:space="preserve"> – </w:t>
      </w:r>
      <w:r w:rsidRPr="00111A6A">
        <w:rPr>
          <w:rFonts w:ascii="Arial" w:hAnsi="Arial"/>
        </w:rPr>
        <w:t xml:space="preserve">Long Term Service Agreements (LTSA) and Power Purchase Agreements (PPA) are highly negotiated, very sensitive </w:t>
      </w:r>
      <w:r w:rsidR="0077654D">
        <w:rPr>
          <w:rFonts w:ascii="Arial" w:hAnsi="Arial"/>
        </w:rPr>
        <w:t xml:space="preserve">contracts </w:t>
      </w:r>
      <w:r w:rsidRPr="00111A6A">
        <w:rPr>
          <w:rFonts w:ascii="Arial" w:hAnsi="Arial"/>
        </w:rPr>
        <w:t>between Market Participants and Third Parties that</w:t>
      </w:r>
      <w:r w:rsidRPr="00111A6A">
        <w:rPr>
          <w:rFonts w:ascii="Arial" w:hAnsi="Arial"/>
          <w:color w:val="1F497D"/>
        </w:rPr>
        <w:t xml:space="preserve"> </w:t>
      </w:r>
      <w:r w:rsidRPr="00111A6A">
        <w:rPr>
          <w:rFonts w:ascii="Arial" w:hAnsi="Arial"/>
        </w:rPr>
        <w:t>may not be Market Participants. Confidentiality agreements and pre-existing contractual limitations may prevent Resources from disclosing LTSA’s or PPA’s to any party, including ERCOT</w:t>
      </w:r>
      <w:r w:rsidR="0077654D">
        <w:rPr>
          <w:rFonts w:ascii="Arial" w:hAnsi="Arial"/>
        </w:rPr>
        <w:t>, therefore the verifiability of those costs become impossible</w:t>
      </w:r>
      <w:r w:rsidRPr="00111A6A">
        <w:rPr>
          <w:rFonts w:ascii="Arial" w:hAnsi="Arial"/>
        </w:rPr>
        <w:t>.</w:t>
      </w:r>
    </w:p>
    <w:p w:rsidR="00064389" w:rsidRPr="00111A6A" w:rsidRDefault="00064389" w:rsidP="00064389">
      <w:pPr>
        <w:spacing w:before="120" w:after="60"/>
        <w:ind w:left="720"/>
        <w:jc w:val="both"/>
        <w:rPr>
          <w:rFonts w:ascii="Arial" w:hAnsi="Arial"/>
        </w:rPr>
      </w:pPr>
      <w:r w:rsidRPr="00111A6A">
        <w:rPr>
          <w:rFonts w:ascii="Arial" w:hAnsi="Arial"/>
          <w:b/>
          <w:i/>
        </w:rPr>
        <w:t>Absence of Historical Data</w:t>
      </w:r>
      <w:r>
        <w:rPr>
          <w:rFonts w:ascii="Arial" w:hAnsi="Arial"/>
          <w:b/>
          <w:i/>
        </w:rPr>
        <w:t xml:space="preserve"> – </w:t>
      </w:r>
      <w:r w:rsidRPr="00111A6A">
        <w:rPr>
          <w:rFonts w:ascii="Arial" w:hAnsi="Arial"/>
        </w:rPr>
        <w:t xml:space="preserve">As a result of asset acquisitions and divestitures, historical data may not be available to the new owner.  In such scenarios, owners would then lack sufficient historical data to meet the current Nodal Protocol requirements for Verifiable Cost data.  Similarly, a new Resource will lack sufficient historical data not only because of its age, but also because actual costs can only be an estimate without the execution of an LTSA.  </w:t>
      </w:r>
      <w:r w:rsidR="0077654D">
        <w:rPr>
          <w:rFonts w:ascii="Arial" w:hAnsi="Arial"/>
        </w:rPr>
        <w:t xml:space="preserve">The </w:t>
      </w:r>
      <w:r w:rsidRPr="00111A6A">
        <w:rPr>
          <w:rFonts w:ascii="Arial" w:hAnsi="Arial"/>
        </w:rPr>
        <w:t xml:space="preserve">execution </w:t>
      </w:r>
      <w:r w:rsidR="0077654D">
        <w:rPr>
          <w:rFonts w:ascii="Arial" w:hAnsi="Arial"/>
        </w:rPr>
        <w:t xml:space="preserve">of an LTSA </w:t>
      </w:r>
      <w:r w:rsidRPr="00111A6A">
        <w:rPr>
          <w:rFonts w:ascii="Arial" w:hAnsi="Arial"/>
        </w:rPr>
        <w:t xml:space="preserve">is a business decision made by individual Market Participants to manage costs and should not be </w:t>
      </w:r>
      <w:r w:rsidR="0077654D">
        <w:rPr>
          <w:rFonts w:ascii="Arial" w:hAnsi="Arial"/>
        </w:rPr>
        <w:t xml:space="preserve">required </w:t>
      </w:r>
      <w:r w:rsidRPr="00111A6A">
        <w:rPr>
          <w:rFonts w:ascii="Arial" w:hAnsi="Arial"/>
        </w:rPr>
        <w:t xml:space="preserve">in order to fulfill a market requirement.  Should a Market Participant of a new </w:t>
      </w:r>
      <w:r w:rsidR="0077654D">
        <w:rPr>
          <w:rFonts w:ascii="Arial" w:hAnsi="Arial"/>
        </w:rPr>
        <w:t>R</w:t>
      </w:r>
      <w:r w:rsidRPr="00111A6A">
        <w:rPr>
          <w:rFonts w:ascii="Arial" w:hAnsi="Arial"/>
        </w:rPr>
        <w:t>esource choose to execute an LTSA</w:t>
      </w:r>
      <w:r w:rsidR="0077654D">
        <w:rPr>
          <w:rFonts w:ascii="Arial" w:hAnsi="Arial"/>
        </w:rPr>
        <w:t xml:space="preserve">. Again the </w:t>
      </w:r>
      <w:r w:rsidRPr="00111A6A">
        <w:rPr>
          <w:rFonts w:ascii="Arial" w:hAnsi="Arial"/>
        </w:rPr>
        <w:t xml:space="preserve">confidentiality as </w:t>
      </w:r>
      <w:r w:rsidR="0077654D">
        <w:rPr>
          <w:rFonts w:ascii="Arial" w:hAnsi="Arial"/>
        </w:rPr>
        <w:t xml:space="preserve">previously mentioned </w:t>
      </w:r>
      <w:r w:rsidRPr="00111A6A">
        <w:rPr>
          <w:rFonts w:ascii="Arial" w:hAnsi="Arial"/>
        </w:rPr>
        <w:t xml:space="preserve">becomes a concern. </w:t>
      </w:r>
    </w:p>
    <w:p w:rsidR="00A31383" w:rsidRDefault="00A31383" w:rsidP="00111A6A">
      <w:pPr>
        <w:spacing w:before="120" w:after="60" w:line="240" w:lineRule="auto"/>
        <w:jc w:val="both"/>
        <w:outlineLvl w:val="0"/>
        <w:rPr>
          <w:rFonts w:ascii="Arial" w:eastAsia="Times New Roman" w:hAnsi="Arial"/>
          <w:b/>
        </w:rPr>
      </w:pPr>
    </w:p>
    <w:p w:rsidR="00B63672" w:rsidRPr="00111A6A" w:rsidRDefault="0006086C" w:rsidP="00111A6A">
      <w:pPr>
        <w:spacing w:before="120" w:after="60" w:line="240" w:lineRule="auto"/>
        <w:jc w:val="both"/>
        <w:outlineLvl w:val="0"/>
        <w:rPr>
          <w:rFonts w:ascii="Arial" w:eastAsia="Times New Roman" w:hAnsi="Arial"/>
          <w:b/>
        </w:rPr>
      </w:pPr>
      <w:r w:rsidRPr="00111A6A">
        <w:rPr>
          <w:rFonts w:ascii="Arial" w:eastAsia="Times New Roman" w:hAnsi="Arial"/>
          <w:b/>
        </w:rPr>
        <w:t>Conclusion</w:t>
      </w:r>
      <w:r w:rsidR="000F7DE5">
        <w:rPr>
          <w:rFonts w:ascii="Arial" w:eastAsia="Times New Roman" w:hAnsi="Arial"/>
          <w:b/>
        </w:rPr>
        <w:t>:</w:t>
      </w:r>
    </w:p>
    <w:p w:rsidR="00B63672" w:rsidRDefault="0006086C" w:rsidP="00111A6A">
      <w:pPr>
        <w:jc w:val="both"/>
        <w:rPr>
          <w:rFonts w:ascii="Arial" w:hAnsi="Arial"/>
        </w:rPr>
      </w:pPr>
      <w:r w:rsidRPr="00111A6A">
        <w:rPr>
          <w:rFonts w:ascii="Arial" w:eastAsia="Times New Roman" w:hAnsi="Arial"/>
        </w:rPr>
        <w:t xml:space="preserve">Adequately </w:t>
      </w:r>
      <w:r w:rsidR="0066776E">
        <w:rPr>
          <w:rFonts w:ascii="Arial" w:eastAsia="Times New Roman" w:hAnsi="Arial"/>
        </w:rPr>
        <w:t>determining</w:t>
      </w:r>
      <w:r w:rsidR="0066776E" w:rsidRPr="00111A6A">
        <w:rPr>
          <w:rFonts w:ascii="Arial" w:eastAsia="Times New Roman" w:hAnsi="Arial"/>
        </w:rPr>
        <w:t xml:space="preserve"> </w:t>
      </w:r>
      <w:r w:rsidR="008A61F4">
        <w:rPr>
          <w:rFonts w:ascii="Arial" w:eastAsia="Times New Roman" w:hAnsi="Arial"/>
        </w:rPr>
        <w:t>Verifiable Cost</w:t>
      </w:r>
      <w:r w:rsidRPr="00111A6A">
        <w:rPr>
          <w:rFonts w:ascii="Arial" w:eastAsia="Times New Roman" w:hAnsi="Arial"/>
        </w:rPr>
        <w:t xml:space="preserve">s for current </w:t>
      </w:r>
      <w:r w:rsidR="0066776E">
        <w:rPr>
          <w:rFonts w:ascii="Arial" w:eastAsia="Times New Roman" w:hAnsi="Arial"/>
        </w:rPr>
        <w:t xml:space="preserve">or </w:t>
      </w:r>
      <w:r w:rsidRPr="00111A6A">
        <w:rPr>
          <w:rFonts w:ascii="Arial" w:eastAsia="Times New Roman" w:hAnsi="Arial"/>
        </w:rPr>
        <w:t xml:space="preserve">emerging technologies will result in increased administrative costs </w:t>
      </w:r>
      <w:r w:rsidR="0077654D">
        <w:rPr>
          <w:rFonts w:ascii="Arial" w:eastAsia="Times New Roman" w:hAnsi="Arial"/>
        </w:rPr>
        <w:t xml:space="preserve">to the market </w:t>
      </w:r>
      <w:r w:rsidRPr="00111A6A">
        <w:rPr>
          <w:rFonts w:ascii="Arial" w:eastAsia="Times New Roman" w:hAnsi="Arial"/>
        </w:rPr>
        <w:t xml:space="preserve">and continuous revisions </w:t>
      </w:r>
      <w:r w:rsidR="0077654D">
        <w:rPr>
          <w:rFonts w:ascii="Arial" w:eastAsia="Times New Roman" w:hAnsi="Arial"/>
        </w:rPr>
        <w:t xml:space="preserve">to </w:t>
      </w:r>
      <w:r w:rsidRPr="00111A6A">
        <w:rPr>
          <w:rFonts w:ascii="Arial" w:eastAsia="Times New Roman" w:hAnsi="Arial"/>
        </w:rPr>
        <w:t>the Protocols</w:t>
      </w:r>
      <w:r w:rsidR="0066776E">
        <w:rPr>
          <w:rFonts w:ascii="Arial" w:eastAsia="Times New Roman" w:hAnsi="Arial"/>
        </w:rPr>
        <w:t xml:space="preserve"> and Manual</w:t>
      </w:r>
      <w:r w:rsidRPr="00111A6A">
        <w:rPr>
          <w:rFonts w:ascii="Arial" w:eastAsia="Times New Roman" w:hAnsi="Arial"/>
        </w:rPr>
        <w:t xml:space="preserve">.  </w:t>
      </w:r>
      <w:r w:rsidR="0077654D">
        <w:rPr>
          <w:rFonts w:ascii="Arial" w:eastAsia="Times New Roman" w:hAnsi="Arial"/>
        </w:rPr>
        <w:t xml:space="preserve">Utilizing </w:t>
      </w:r>
      <w:r w:rsidRPr="00111A6A">
        <w:rPr>
          <w:rFonts w:ascii="Arial" w:eastAsia="Times New Roman" w:hAnsi="Arial"/>
        </w:rPr>
        <w:t xml:space="preserve">a </w:t>
      </w:r>
      <w:r w:rsidR="000F56DC">
        <w:rPr>
          <w:rFonts w:ascii="Arial" w:eastAsia="Times New Roman" w:hAnsi="Arial"/>
        </w:rPr>
        <w:t>Standard</w:t>
      </w:r>
      <w:r w:rsidRPr="00111A6A">
        <w:rPr>
          <w:rFonts w:ascii="Arial" w:eastAsia="Times New Roman" w:hAnsi="Arial"/>
        </w:rPr>
        <w:t xml:space="preserve"> </w:t>
      </w:r>
      <w:r w:rsidR="00720E4A" w:rsidRPr="00111A6A">
        <w:rPr>
          <w:rFonts w:ascii="Arial" w:eastAsia="Times New Roman" w:hAnsi="Arial"/>
        </w:rPr>
        <w:t>C</w:t>
      </w:r>
      <w:r w:rsidRPr="00111A6A">
        <w:rPr>
          <w:rFonts w:ascii="Arial" w:eastAsia="Times New Roman" w:hAnsi="Arial"/>
        </w:rPr>
        <w:t xml:space="preserve">ost </w:t>
      </w:r>
      <w:r w:rsidR="0077654D">
        <w:rPr>
          <w:rFonts w:ascii="Arial" w:eastAsia="Times New Roman" w:hAnsi="Arial"/>
        </w:rPr>
        <w:t>structure for RUC compensation</w:t>
      </w:r>
      <w:r w:rsidRPr="00111A6A">
        <w:rPr>
          <w:rFonts w:ascii="Arial" w:eastAsia="Times New Roman" w:hAnsi="Arial"/>
        </w:rPr>
        <w:t xml:space="preserve">, </w:t>
      </w:r>
      <w:r w:rsidR="0077654D">
        <w:rPr>
          <w:rFonts w:ascii="Arial" w:eastAsia="Times New Roman" w:hAnsi="Arial"/>
        </w:rPr>
        <w:t>one based on Resource Type c</w:t>
      </w:r>
      <w:r w:rsidRPr="00111A6A">
        <w:rPr>
          <w:rFonts w:ascii="Arial" w:eastAsia="Times New Roman" w:hAnsi="Arial"/>
        </w:rPr>
        <w:t xml:space="preserve">ategories </w:t>
      </w:r>
      <w:r w:rsidR="0077654D">
        <w:rPr>
          <w:rFonts w:ascii="Arial" w:eastAsia="Times New Roman" w:hAnsi="Arial"/>
        </w:rPr>
        <w:t xml:space="preserve">which are more specific </w:t>
      </w:r>
      <w:r w:rsidRPr="00111A6A">
        <w:rPr>
          <w:rFonts w:ascii="Arial" w:eastAsia="Times New Roman" w:hAnsi="Arial"/>
        </w:rPr>
        <w:t xml:space="preserve">than </w:t>
      </w:r>
      <w:r w:rsidR="00720E4A" w:rsidRPr="00111A6A">
        <w:rPr>
          <w:rFonts w:ascii="Arial" w:eastAsia="Times New Roman" w:hAnsi="Arial"/>
        </w:rPr>
        <w:t xml:space="preserve">in </w:t>
      </w:r>
      <w:r w:rsidRPr="00111A6A">
        <w:rPr>
          <w:rFonts w:ascii="Arial" w:eastAsia="Times New Roman" w:hAnsi="Arial"/>
        </w:rPr>
        <w:t xml:space="preserve">the </w:t>
      </w:r>
      <w:r w:rsidR="00720E4A" w:rsidRPr="00111A6A">
        <w:rPr>
          <w:rFonts w:ascii="Arial" w:eastAsia="Times New Roman" w:hAnsi="Arial"/>
        </w:rPr>
        <w:t xml:space="preserve">current </w:t>
      </w:r>
      <w:r w:rsidRPr="00111A6A">
        <w:rPr>
          <w:rFonts w:ascii="Arial" w:eastAsia="Times New Roman" w:hAnsi="Arial"/>
        </w:rPr>
        <w:t xml:space="preserve">Zonal market, Market Participants can appropriately balance </w:t>
      </w:r>
      <w:r w:rsidRPr="00111A6A">
        <w:rPr>
          <w:rFonts w:ascii="Arial" w:hAnsi="Arial"/>
        </w:rPr>
        <w:t xml:space="preserve">desired levels of accuracy while simultaneously controlling </w:t>
      </w:r>
      <w:r w:rsidR="00720E4A" w:rsidRPr="00111A6A">
        <w:rPr>
          <w:rFonts w:ascii="Arial" w:hAnsi="Arial"/>
        </w:rPr>
        <w:t xml:space="preserve">execution </w:t>
      </w:r>
      <w:r w:rsidRPr="00111A6A">
        <w:rPr>
          <w:rFonts w:ascii="Arial" w:hAnsi="Arial"/>
        </w:rPr>
        <w:t>costs.</w:t>
      </w:r>
    </w:p>
    <w:p w:rsidR="00E14B5B" w:rsidRDefault="00E14B5B" w:rsidP="000F7DE5">
      <w:pPr>
        <w:jc w:val="both"/>
        <w:rPr>
          <w:rFonts w:ascii="Arial" w:hAnsi="Arial"/>
        </w:rPr>
      </w:pPr>
    </w:p>
    <w:sectPr w:rsidR="00E14B5B" w:rsidSect="00111A6A">
      <w:footerReference w:type="default" r:id="rId13"/>
      <w:pgSz w:w="12240" w:h="15840"/>
      <w:pgMar w:top="1152"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4329" w:rsidRDefault="00854329">
      <w:pPr>
        <w:spacing w:after="0" w:line="240" w:lineRule="auto"/>
      </w:pPr>
      <w:r>
        <w:separator/>
      </w:r>
    </w:p>
  </w:endnote>
  <w:endnote w:type="continuationSeparator" w:id="0">
    <w:p w:rsidR="00854329" w:rsidRDefault="00854329">
      <w:pPr>
        <w:spacing w:after="0" w:line="240" w:lineRule="auto"/>
      </w:pPr>
      <w:r>
        <w:continuationSeparator/>
      </w:r>
    </w:p>
  </w:endnote>
  <w:endnote w:id="1">
    <w:p w:rsidR="00A0103C" w:rsidRDefault="00A0103C" w:rsidP="00D63BD4">
      <w:pPr>
        <w:pStyle w:val="EndnoteText"/>
      </w:pPr>
      <w:r>
        <w:rPr>
          <w:rStyle w:val="EndnoteReference"/>
        </w:rPr>
        <w:endnoteRef/>
      </w:r>
      <w:r>
        <w:t xml:space="preserve"> CEC – Comparative Costs of California Central Station Electricity Generation, CEC-200-2009-017-SD, August, 2009.  </w:t>
      </w:r>
    </w:p>
    <w:p w:rsidR="00A0103C" w:rsidRDefault="00A0103C" w:rsidP="00D63BD4">
      <w:pPr>
        <w:pStyle w:val="EndnoteText"/>
      </w:pPr>
      <w:r>
        <w:t xml:space="preserve">Retrieved December 20, 2009, from </w:t>
      </w:r>
      <w:hyperlink r:id="rId1" w:history="1">
        <w:r w:rsidRPr="00306B21">
          <w:t>http://www.energy.ca.gov/2009publications/CEC-200-2009-017/CEC-200-2009-017-SD.PDF</w:t>
        </w:r>
      </w:hyperlink>
      <w:r>
        <w:t xml:space="preserve"> </w:t>
      </w:r>
    </w:p>
  </w:endnote>
  <w:endnote w:id="2">
    <w:p w:rsidR="00A0103C" w:rsidRDefault="00A0103C" w:rsidP="00FA2F13">
      <w:pPr>
        <w:pStyle w:val="Bibliography"/>
        <w:rPr>
          <w:noProof/>
        </w:rPr>
      </w:pPr>
      <w:r>
        <w:rPr>
          <w:rStyle w:val="EndnoteReference"/>
        </w:rPr>
        <w:endnoteRef/>
      </w:r>
      <w:r>
        <w:t xml:space="preserve"> </w:t>
      </w:r>
      <w:r w:rsidRPr="00D63BD4">
        <w:rPr>
          <w:sz w:val="20"/>
          <w:szCs w:val="20"/>
        </w:rPr>
        <w:t>Meehan, G. F. (2007, August 15). ICAPWG Demand Curve Study. Retrieved 1 6, 2010, from http://www.nyiso.com/public/webdocs/committees/bic_icapwg/meeting_materials/2007-08-24/ICAPWG_Demand_Curve_Study_Report_final_82407.pdf</w:t>
      </w:r>
    </w:p>
    <w:p w:rsidR="00A0103C" w:rsidRDefault="00A0103C" w:rsidP="00FA2F13">
      <w:pPr>
        <w:pStyle w:val="EndnoteText"/>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693579"/>
      <w:docPartObj>
        <w:docPartGallery w:val="Page Numbers (Bottom of Page)"/>
        <w:docPartUnique/>
      </w:docPartObj>
    </w:sdtPr>
    <w:sdtContent>
      <w:p w:rsidR="00A0103C" w:rsidRDefault="00A0103C">
        <w:pPr>
          <w:pStyle w:val="Footer"/>
          <w:jc w:val="center"/>
        </w:pPr>
        <w:fldSimple w:instr=" PAGE   \* MERGEFORMAT ">
          <w:r w:rsidR="00F21459">
            <w:rPr>
              <w:noProof/>
            </w:rPr>
            <w:t>2</w:t>
          </w:r>
        </w:fldSimple>
      </w:p>
    </w:sdtContent>
  </w:sdt>
  <w:p w:rsidR="00A0103C" w:rsidRDefault="00A010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4329" w:rsidRDefault="00854329">
      <w:pPr>
        <w:spacing w:after="0" w:line="240" w:lineRule="auto"/>
      </w:pPr>
      <w:r>
        <w:separator/>
      </w:r>
    </w:p>
  </w:footnote>
  <w:footnote w:type="continuationSeparator" w:id="0">
    <w:p w:rsidR="00854329" w:rsidRDefault="00854329">
      <w:pPr>
        <w:spacing w:after="0" w:line="240" w:lineRule="auto"/>
      </w:pPr>
      <w:r>
        <w:continuationSeparator/>
      </w:r>
    </w:p>
  </w:footnote>
  <w:footnote w:id="1">
    <w:p w:rsidR="00A0103C" w:rsidRDefault="00A0103C">
      <w:pPr>
        <w:pStyle w:val="EndnoteText"/>
        <w:jc w:val="both"/>
        <w:rPr>
          <w:rFonts w:ascii="Arial" w:hAnsi="Arial" w:cs="Arial"/>
          <w:sz w:val="18"/>
          <w:szCs w:val="18"/>
        </w:rPr>
      </w:pPr>
      <w:r w:rsidRPr="00710B4F">
        <w:rPr>
          <w:rStyle w:val="FootnoteReference"/>
          <w:rFonts w:ascii="Arial" w:hAnsi="Arial" w:cs="Arial"/>
          <w:sz w:val="18"/>
          <w:szCs w:val="18"/>
        </w:rPr>
        <w:footnoteRef/>
      </w:r>
      <w:r w:rsidRPr="00710B4F">
        <w:rPr>
          <w:rFonts w:ascii="Arial" w:hAnsi="Arial" w:cs="Arial"/>
          <w:sz w:val="18"/>
          <w:szCs w:val="18"/>
        </w:rPr>
        <w:t xml:space="preserve"> Empirical reasoning for Standard Cost structure proposed within this whitepaper is a result of the dynamic engineering requirements to accurately allocate maintenance costs of a Resource between fired hours and number of starts as recommended in </w:t>
      </w:r>
      <w:r w:rsidRPr="00710B4F">
        <w:rPr>
          <w:rFonts w:ascii="Arial" w:hAnsi="Arial" w:cs="Arial"/>
          <w:i/>
          <w:sz w:val="18"/>
          <w:szCs w:val="18"/>
        </w:rPr>
        <w:t>The</w:t>
      </w:r>
      <w:r w:rsidRPr="00710B4F">
        <w:rPr>
          <w:rFonts w:ascii="Arial" w:hAnsi="Arial" w:cs="Arial"/>
          <w:sz w:val="18"/>
          <w:szCs w:val="18"/>
        </w:rPr>
        <w:t xml:space="preserve"> </w:t>
      </w:r>
      <w:r w:rsidRPr="00710B4F">
        <w:rPr>
          <w:rFonts w:ascii="Arial" w:hAnsi="Arial" w:cs="Arial"/>
          <w:i/>
          <w:sz w:val="18"/>
          <w:szCs w:val="18"/>
        </w:rPr>
        <w:t>Heavy-Duty Gas Turbine Operating and Maintenance Considerations</w:t>
      </w:r>
      <w:r w:rsidRPr="00710B4F">
        <w:rPr>
          <w:rFonts w:ascii="Arial" w:hAnsi="Arial" w:cs="Arial"/>
          <w:sz w:val="18"/>
          <w:szCs w:val="18"/>
        </w:rPr>
        <w:t xml:space="preserve"> document by GE. </w:t>
      </w:r>
      <w:hyperlink r:id="rId1" w:history="1">
        <w:r w:rsidRPr="00710B4F">
          <w:rPr>
            <w:rFonts w:ascii="Arial" w:hAnsi="Arial" w:cs="Arial"/>
            <w:sz w:val="18"/>
            <w:szCs w:val="18"/>
          </w:rPr>
          <w:t>http://www.gepower.com/prod_serv/products/tech_docs/en/downloads/ger3620k.pdf</w:t>
        </w:r>
      </w:hyperlink>
    </w:p>
    <w:p w:rsidR="00A0103C" w:rsidRDefault="00A0103C" w:rsidP="00EF7BC2">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02B42"/>
    <w:multiLevelType w:val="hybridMultilevel"/>
    <w:tmpl w:val="814CC890"/>
    <w:lvl w:ilvl="0" w:tplc="4162980E">
      <w:start w:val="1"/>
      <w:numFmt w:val="bullet"/>
      <w:lvlText w:val=""/>
      <w:lvlJc w:val="left"/>
      <w:pPr>
        <w:ind w:left="720" w:hanging="360"/>
      </w:pPr>
      <w:rPr>
        <w:rFonts w:ascii="Symbol" w:hAnsi="Symbol" w:hint="default"/>
      </w:rPr>
    </w:lvl>
    <w:lvl w:ilvl="1" w:tplc="E384F2E8">
      <w:start w:val="1"/>
      <w:numFmt w:val="bullet"/>
      <w:lvlText w:val="o"/>
      <w:lvlJc w:val="left"/>
      <w:pPr>
        <w:ind w:left="1440" w:hanging="360"/>
      </w:pPr>
      <w:rPr>
        <w:rFonts w:ascii="Courier New" w:hAnsi="Courier New" w:cs="Courier New" w:hint="default"/>
      </w:rPr>
    </w:lvl>
    <w:lvl w:ilvl="2" w:tplc="71D80ADA" w:tentative="1">
      <w:start w:val="1"/>
      <w:numFmt w:val="bullet"/>
      <w:lvlText w:val=""/>
      <w:lvlJc w:val="left"/>
      <w:pPr>
        <w:ind w:left="2160" w:hanging="360"/>
      </w:pPr>
      <w:rPr>
        <w:rFonts w:ascii="Wingdings" w:hAnsi="Wingdings" w:hint="default"/>
      </w:rPr>
    </w:lvl>
    <w:lvl w:ilvl="3" w:tplc="8E9EBA58" w:tentative="1">
      <w:start w:val="1"/>
      <w:numFmt w:val="bullet"/>
      <w:lvlText w:val=""/>
      <w:lvlJc w:val="left"/>
      <w:pPr>
        <w:ind w:left="2880" w:hanging="360"/>
      </w:pPr>
      <w:rPr>
        <w:rFonts w:ascii="Symbol" w:hAnsi="Symbol" w:hint="default"/>
      </w:rPr>
    </w:lvl>
    <w:lvl w:ilvl="4" w:tplc="365AACE6" w:tentative="1">
      <w:start w:val="1"/>
      <w:numFmt w:val="bullet"/>
      <w:lvlText w:val="o"/>
      <w:lvlJc w:val="left"/>
      <w:pPr>
        <w:ind w:left="3600" w:hanging="360"/>
      </w:pPr>
      <w:rPr>
        <w:rFonts w:ascii="Courier New" w:hAnsi="Courier New" w:cs="Courier New" w:hint="default"/>
      </w:rPr>
    </w:lvl>
    <w:lvl w:ilvl="5" w:tplc="8BF250B2" w:tentative="1">
      <w:start w:val="1"/>
      <w:numFmt w:val="bullet"/>
      <w:lvlText w:val=""/>
      <w:lvlJc w:val="left"/>
      <w:pPr>
        <w:ind w:left="4320" w:hanging="360"/>
      </w:pPr>
      <w:rPr>
        <w:rFonts w:ascii="Wingdings" w:hAnsi="Wingdings" w:hint="default"/>
      </w:rPr>
    </w:lvl>
    <w:lvl w:ilvl="6" w:tplc="40E4B4DE" w:tentative="1">
      <w:start w:val="1"/>
      <w:numFmt w:val="bullet"/>
      <w:lvlText w:val=""/>
      <w:lvlJc w:val="left"/>
      <w:pPr>
        <w:ind w:left="5040" w:hanging="360"/>
      </w:pPr>
      <w:rPr>
        <w:rFonts w:ascii="Symbol" w:hAnsi="Symbol" w:hint="default"/>
      </w:rPr>
    </w:lvl>
    <w:lvl w:ilvl="7" w:tplc="32125F3C" w:tentative="1">
      <w:start w:val="1"/>
      <w:numFmt w:val="bullet"/>
      <w:lvlText w:val="o"/>
      <w:lvlJc w:val="left"/>
      <w:pPr>
        <w:ind w:left="5760" w:hanging="360"/>
      </w:pPr>
      <w:rPr>
        <w:rFonts w:ascii="Courier New" w:hAnsi="Courier New" w:cs="Courier New" w:hint="default"/>
      </w:rPr>
    </w:lvl>
    <w:lvl w:ilvl="8" w:tplc="F2541F8C" w:tentative="1">
      <w:start w:val="1"/>
      <w:numFmt w:val="bullet"/>
      <w:lvlText w:val=""/>
      <w:lvlJc w:val="left"/>
      <w:pPr>
        <w:ind w:left="6480" w:hanging="360"/>
      </w:pPr>
      <w:rPr>
        <w:rFonts w:ascii="Wingdings" w:hAnsi="Wingdings" w:hint="default"/>
      </w:rPr>
    </w:lvl>
  </w:abstractNum>
  <w:abstractNum w:abstractNumId="1">
    <w:nsid w:val="1B610B6C"/>
    <w:multiLevelType w:val="hybridMultilevel"/>
    <w:tmpl w:val="FAD8BDD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4574604"/>
    <w:multiLevelType w:val="hybridMultilevel"/>
    <w:tmpl w:val="2B34CC3C"/>
    <w:lvl w:ilvl="0" w:tplc="B5EC9580">
      <w:start w:val="1"/>
      <w:numFmt w:val="decimal"/>
      <w:lvlText w:val="%1."/>
      <w:lvlJc w:val="left"/>
      <w:pPr>
        <w:ind w:left="720" w:hanging="432"/>
      </w:pPr>
      <w:rPr>
        <w:rFonts w:hint="default"/>
      </w:rPr>
    </w:lvl>
    <w:lvl w:ilvl="1" w:tplc="B8C4A8A6">
      <w:start w:val="1"/>
      <w:numFmt w:val="lowerLetter"/>
      <w:lvlText w:val="%2."/>
      <w:lvlJc w:val="left"/>
      <w:pPr>
        <w:ind w:left="1440" w:hanging="360"/>
      </w:pPr>
    </w:lvl>
    <w:lvl w:ilvl="2" w:tplc="7D1C19EC">
      <w:start w:val="1"/>
      <w:numFmt w:val="lowerRoman"/>
      <w:lvlText w:val="%3."/>
      <w:lvlJc w:val="right"/>
      <w:pPr>
        <w:ind w:left="1350" w:hanging="180"/>
      </w:pPr>
    </w:lvl>
    <w:lvl w:ilvl="3" w:tplc="DF8EDEC4" w:tentative="1">
      <w:start w:val="1"/>
      <w:numFmt w:val="decimal"/>
      <w:lvlText w:val="%4."/>
      <w:lvlJc w:val="left"/>
      <w:pPr>
        <w:ind w:left="2880" w:hanging="360"/>
      </w:pPr>
    </w:lvl>
    <w:lvl w:ilvl="4" w:tplc="B7FCC136" w:tentative="1">
      <w:start w:val="1"/>
      <w:numFmt w:val="lowerLetter"/>
      <w:lvlText w:val="%5."/>
      <w:lvlJc w:val="left"/>
      <w:pPr>
        <w:ind w:left="3600" w:hanging="360"/>
      </w:pPr>
    </w:lvl>
    <w:lvl w:ilvl="5" w:tplc="C930F186" w:tentative="1">
      <w:start w:val="1"/>
      <w:numFmt w:val="lowerRoman"/>
      <w:lvlText w:val="%6."/>
      <w:lvlJc w:val="right"/>
      <w:pPr>
        <w:ind w:left="4320" w:hanging="180"/>
      </w:pPr>
    </w:lvl>
    <w:lvl w:ilvl="6" w:tplc="4BB01742" w:tentative="1">
      <w:start w:val="1"/>
      <w:numFmt w:val="decimal"/>
      <w:lvlText w:val="%7."/>
      <w:lvlJc w:val="left"/>
      <w:pPr>
        <w:ind w:left="5040" w:hanging="360"/>
      </w:pPr>
    </w:lvl>
    <w:lvl w:ilvl="7" w:tplc="A588FA8A" w:tentative="1">
      <w:start w:val="1"/>
      <w:numFmt w:val="lowerLetter"/>
      <w:lvlText w:val="%8."/>
      <w:lvlJc w:val="left"/>
      <w:pPr>
        <w:ind w:left="5760" w:hanging="360"/>
      </w:pPr>
    </w:lvl>
    <w:lvl w:ilvl="8" w:tplc="2D1E3906" w:tentative="1">
      <w:start w:val="1"/>
      <w:numFmt w:val="lowerRoman"/>
      <w:lvlText w:val="%9."/>
      <w:lvlJc w:val="right"/>
      <w:pPr>
        <w:ind w:left="6480" w:hanging="180"/>
      </w:pPr>
    </w:lvl>
  </w:abstractNum>
  <w:abstractNum w:abstractNumId="3">
    <w:nsid w:val="38D16766"/>
    <w:multiLevelType w:val="hybridMultilevel"/>
    <w:tmpl w:val="F85456E8"/>
    <w:lvl w:ilvl="0" w:tplc="D3AAC322">
      <w:start w:val="1"/>
      <w:numFmt w:val="decimal"/>
      <w:lvlText w:val="%1."/>
      <w:lvlJc w:val="left"/>
      <w:pPr>
        <w:ind w:left="720" w:hanging="360"/>
      </w:pPr>
    </w:lvl>
    <w:lvl w:ilvl="1" w:tplc="7F9A949E">
      <w:start w:val="1"/>
      <w:numFmt w:val="lowerLetter"/>
      <w:lvlText w:val="%2."/>
      <w:lvlJc w:val="left"/>
      <w:pPr>
        <w:ind w:left="1440" w:hanging="360"/>
      </w:pPr>
    </w:lvl>
    <w:lvl w:ilvl="2" w:tplc="D494E8EE" w:tentative="1">
      <w:start w:val="1"/>
      <w:numFmt w:val="lowerRoman"/>
      <w:lvlText w:val="%3."/>
      <w:lvlJc w:val="right"/>
      <w:pPr>
        <w:ind w:left="2160" w:hanging="180"/>
      </w:pPr>
    </w:lvl>
    <w:lvl w:ilvl="3" w:tplc="A2A65DA2" w:tentative="1">
      <w:start w:val="1"/>
      <w:numFmt w:val="decimal"/>
      <w:lvlText w:val="%4."/>
      <w:lvlJc w:val="left"/>
      <w:pPr>
        <w:ind w:left="2880" w:hanging="360"/>
      </w:pPr>
    </w:lvl>
    <w:lvl w:ilvl="4" w:tplc="78025BC0" w:tentative="1">
      <w:start w:val="1"/>
      <w:numFmt w:val="lowerLetter"/>
      <w:lvlText w:val="%5."/>
      <w:lvlJc w:val="left"/>
      <w:pPr>
        <w:ind w:left="3600" w:hanging="360"/>
      </w:pPr>
    </w:lvl>
    <w:lvl w:ilvl="5" w:tplc="4A2CD018" w:tentative="1">
      <w:start w:val="1"/>
      <w:numFmt w:val="lowerRoman"/>
      <w:lvlText w:val="%6."/>
      <w:lvlJc w:val="right"/>
      <w:pPr>
        <w:ind w:left="4320" w:hanging="180"/>
      </w:pPr>
    </w:lvl>
    <w:lvl w:ilvl="6" w:tplc="D7B27022" w:tentative="1">
      <w:start w:val="1"/>
      <w:numFmt w:val="decimal"/>
      <w:lvlText w:val="%7."/>
      <w:lvlJc w:val="left"/>
      <w:pPr>
        <w:ind w:left="5040" w:hanging="360"/>
      </w:pPr>
    </w:lvl>
    <w:lvl w:ilvl="7" w:tplc="5032F856" w:tentative="1">
      <w:start w:val="1"/>
      <w:numFmt w:val="lowerLetter"/>
      <w:lvlText w:val="%8."/>
      <w:lvlJc w:val="left"/>
      <w:pPr>
        <w:ind w:left="5760" w:hanging="360"/>
      </w:pPr>
    </w:lvl>
    <w:lvl w:ilvl="8" w:tplc="AC467974" w:tentative="1">
      <w:start w:val="1"/>
      <w:numFmt w:val="lowerRoman"/>
      <w:lvlText w:val="%9."/>
      <w:lvlJc w:val="right"/>
      <w:pPr>
        <w:ind w:left="6480" w:hanging="180"/>
      </w:pPr>
    </w:lvl>
  </w:abstractNum>
  <w:abstractNum w:abstractNumId="4">
    <w:nsid w:val="3B237E57"/>
    <w:multiLevelType w:val="hybridMultilevel"/>
    <w:tmpl w:val="28F6AB38"/>
    <w:lvl w:ilvl="0" w:tplc="3DFEB6D6">
      <w:start w:val="1"/>
      <w:numFmt w:val="bullet"/>
      <w:lvlText w:val=""/>
      <w:lvlJc w:val="left"/>
      <w:pPr>
        <w:ind w:left="720" w:hanging="360"/>
      </w:pPr>
      <w:rPr>
        <w:rFonts w:ascii="Symbol" w:hAnsi="Symbol" w:hint="default"/>
      </w:rPr>
    </w:lvl>
    <w:lvl w:ilvl="1" w:tplc="C91A7314" w:tentative="1">
      <w:start w:val="1"/>
      <w:numFmt w:val="bullet"/>
      <w:lvlText w:val="o"/>
      <w:lvlJc w:val="left"/>
      <w:pPr>
        <w:ind w:left="1440" w:hanging="360"/>
      </w:pPr>
      <w:rPr>
        <w:rFonts w:ascii="Courier New" w:hAnsi="Courier New" w:cs="Courier New" w:hint="default"/>
      </w:rPr>
    </w:lvl>
    <w:lvl w:ilvl="2" w:tplc="21A29F28" w:tentative="1">
      <w:start w:val="1"/>
      <w:numFmt w:val="bullet"/>
      <w:lvlText w:val=""/>
      <w:lvlJc w:val="left"/>
      <w:pPr>
        <w:ind w:left="2160" w:hanging="360"/>
      </w:pPr>
      <w:rPr>
        <w:rFonts w:ascii="Wingdings" w:hAnsi="Wingdings" w:hint="default"/>
      </w:rPr>
    </w:lvl>
    <w:lvl w:ilvl="3" w:tplc="46849438" w:tentative="1">
      <w:start w:val="1"/>
      <w:numFmt w:val="bullet"/>
      <w:lvlText w:val=""/>
      <w:lvlJc w:val="left"/>
      <w:pPr>
        <w:ind w:left="2880" w:hanging="360"/>
      </w:pPr>
      <w:rPr>
        <w:rFonts w:ascii="Symbol" w:hAnsi="Symbol" w:hint="default"/>
      </w:rPr>
    </w:lvl>
    <w:lvl w:ilvl="4" w:tplc="C4D25C96" w:tentative="1">
      <w:start w:val="1"/>
      <w:numFmt w:val="bullet"/>
      <w:lvlText w:val="o"/>
      <w:lvlJc w:val="left"/>
      <w:pPr>
        <w:ind w:left="3600" w:hanging="360"/>
      </w:pPr>
      <w:rPr>
        <w:rFonts w:ascii="Courier New" w:hAnsi="Courier New" w:cs="Courier New" w:hint="default"/>
      </w:rPr>
    </w:lvl>
    <w:lvl w:ilvl="5" w:tplc="7674A9EA" w:tentative="1">
      <w:start w:val="1"/>
      <w:numFmt w:val="bullet"/>
      <w:lvlText w:val=""/>
      <w:lvlJc w:val="left"/>
      <w:pPr>
        <w:ind w:left="4320" w:hanging="360"/>
      </w:pPr>
      <w:rPr>
        <w:rFonts w:ascii="Wingdings" w:hAnsi="Wingdings" w:hint="default"/>
      </w:rPr>
    </w:lvl>
    <w:lvl w:ilvl="6" w:tplc="23328444" w:tentative="1">
      <w:start w:val="1"/>
      <w:numFmt w:val="bullet"/>
      <w:lvlText w:val=""/>
      <w:lvlJc w:val="left"/>
      <w:pPr>
        <w:ind w:left="5040" w:hanging="360"/>
      </w:pPr>
      <w:rPr>
        <w:rFonts w:ascii="Symbol" w:hAnsi="Symbol" w:hint="default"/>
      </w:rPr>
    </w:lvl>
    <w:lvl w:ilvl="7" w:tplc="A3FA164E" w:tentative="1">
      <w:start w:val="1"/>
      <w:numFmt w:val="bullet"/>
      <w:lvlText w:val="o"/>
      <w:lvlJc w:val="left"/>
      <w:pPr>
        <w:ind w:left="5760" w:hanging="360"/>
      </w:pPr>
      <w:rPr>
        <w:rFonts w:ascii="Courier New" w:hAnsi="Courier New" w:cs="Courier New" w:hint="default"/>
      </w:rPr>
    </w:lvl>
    <w:lvl w:ilvl="8" w:tplc="225EEB5A" w:tentative="1">
      <w:start w:val="1"/>
      <w:numFmt w:val="bullet"/>
      <w:lvlText w:val=""/>
      <w:lvlJc w:val="left"/>
      <w:pPr>
        <w:ind w:left="6480" w:hanging="360"/>
      </w:pPr>
      <w:rPr>
        <w:rFonts w:ascii="Wingdings" w:hAnsi="Wingdings" w:hint="default"/>
      </w:rPr>
    </w:lvl>
  </w:abstractNum>
  <w:abstractNum w:abstractNumId="5">
    <w:nsid w:val="57603B4C"/>
    <w:multiLevelType w:val="hybridMultilevel"/>
    <w:tmpl w:val="4B102CB8"/>
    <w:lvl w:ilvl="0" w:tplc="76AABB48">
      <w:start w:val="1"/>
      <w:numFmt w:val="decimal"/>
      <w:lvlText w:val="%1."/>
      <w:lvlJc w:val="left"/>
      <w:pPr>
        <w:ind w:left="1444" w:hanging="360"/>
      </w:pPr>
    </w:lvl>
    <w:lvl w:ilvl="1" w:tplc="694AA638">
      <w:start w:val="1"/>
      <w:numFmt w:val="lowerLetter"/>
      <w:lvlText w:val="%2."/>
      <w:lvlJc w:val="left"/>
      <w:pPr>
        <w:ind w:left="2164" w:hanging="360"/>
      </w:pPr>
    </w:lvl>
    <w:lvl w:ilvl="2" w:tplc="2334F450" w:tentative="1">
      <w:start w:val="1"/>
      <w:numFmt w:val="lowerRoman"/>
      <w:lvlText w:val="%3."/>
      <w:lvlJc w:val="right"/>
      <w:pPr>
        <w:ind w:left="2884" w:hanging="180"/>
      </w:pPr>
    </w:lvl>
    <w:lvl w:ilvl="3" w:tplc="30EE71D4" w:tentative="1">
      <w:start w:val="1"/>
      <w:numFmt w:val="decimal"/>
      <w:lvlText w:val="%4."/>
      <w:lvlJc w:val="left"/>
      <w:pPr>
        <w:ind w:left="3604" w:hanging="360"/>
      </w:pPr>
    </w:lvl>
    <w:lvl w:ilvl="4" w:tplc="58ECB2BA" w:tentative="1">
      <w:start w:val="1"/>
      <w:numFmt w:val="lowerLetter"/>
      <w:lvlText w:val="%5."/>
      <w:lvlJc w:val="left"/>
      <w:pPr>
        <w:ind w:left="4324" w:hanging="360"/>
      </w:pPr>
    </w:lvl>
    <w:lvl w:ilvl="5" w:tplc="2A905590" w:tentative="1">
      <w:start w:val="1"/>
      <w:numFmt w:val="lowerRoman"/>
      <w:lvlText w:val="%6."/>
      <w:lvlJc w:val="right"/>
      <w:pPr>
        <w:ind w:left="5044" w:hanging="180"/>
      </w:pPr>
    </w:lvl>
    <w:lvl w:ilvl="6" w:tplc="0D2EF3FA" w:tentative="1">
      <w:start w:val="1"/>
      <w:numFmt w:val="decimal"/>
      <w:lvlText w:val="%7."/>
      <w:lvlJc w:val="left"/>
      <w:pPr>
        <w:ind w:left="5764" w:hanging="360"/>
      </w:pPr>
    </w:lvl>
    <w:lvl w:ilvl="7" w:tplc="865CDF12" w:tentative="1">
      <w:start w:val="1"/>
      <w:numFmt w:val="lowerLetter"/>
      <w:lvlText w:val="%8."/>
      <w:lvlJc w:val="left"/>
      <w:pPr>
        <w:ind w:left="6484" w:hanging="360"/>
      </w:pPr>
    </w:lvl>
    <w:lvl w:ilvl="8" w:tplc="50AC5F44" w:tentative="1">
      <w:start w:val="1"/>
      <w:numFmt w:val="lowerRoman"/>
      <w:lvlText w:val="%9."/>
      <w:lvlJc w:val="right"/>
      <w:pPr>
        <w:ind w:left="7204" w:hanging="180"/>
      </w:pPr>
    </w:lvl>
  </w:abstractNum>
  <w:abstractNum w:abstractNumId="6">
    <w:nsid w:val="5AEF3A26"/>
    <w:multiLevelType w:val="hybridMultilevel"/>
    <w:tmpl w:val="0504C744"/>
    <w:lvl w:ilvl="0" w:tplc="9D80B082">
      <w:start w:val="1"/>
      <w:numFmt w:val="decimal"/>
      <w:lvlText w:val="%1."/>
      <w:lvlJc w:val="left"/>
      <w:pPr>
        <w:ind w:left="720" w:hanging="360"/>
      </w:pPr>
    </w:lvl>
    <w:lvl w:ilvl="1" w:tplc="F4FAB534" w:tentative="1">
      <w:start w:val="1"/>
      <w:numFmt w:val="lowerLetter"/>
      <w:lvlText w:val="%2."/>
      <w:lvlJc w:val="left"/>
      <w:pPr>
        <w:ind w:left="1440" w:hanging="360"/>
      </w:pPr>
    </w:lvl>
    <w:lvl w:ilvl="2" w:tplc="FB882204" w:tentative="1">
      <w:start w:val="1"/>
      <w:numFmt w:val="lowerRoman"/>
      <w:lvlText w:val="%3."/>
      <w:lvlJc w:val="right"/>
      <w:pPr>
        <w:ind w:left="2160" w:hanging="180"/>
      </w:pPr>
    </w:lvl>
    <w:lvl w:ilvl="3" w:tplc="6AACA054" w:tentative="1">
      <w:start w:val="1"/>
      <w:numFmt w:val="decimal"/>
      <w:lvlText w:val="%4."/>
      <w:lvlJc w:val="left"/>
      <w:pPr>
        <w:ind w:left="2880" w:hanging="360"/>
      </w:pPr>
    </w:lvl>
    <w:lvl w:ilvl="4" w:tplc="2100585C" w:tentative="1">
      <w:start w:val="1"/>
      <w:numFmt w:val="lowerLetter"/>
      <w:lvlText w:val="%5."/>
      <w:lvlJc w:val="left"/>
      <w:pPr>
        <w:ind w:left="3600" w:hanging="360"/>
      </w:pPr>
    </w:lvl>
    <w:lvl w:ilvl="5" w:tplc="2F3A1DB2" w:tentative="1">
      <w:start w:val="1"/>
      <w:numFmt w:val="lowerRoman"/>
      <w:lvlText w:val="%6."/>
      <w:lvlJc w:val="right"/>
      <w:pPr>
        <w:ind w:left="4320" w:hanging="180"/>
      </w:pPr>
    </w:lvl>
    <w:lvl w:ilvl="6" w:tplc="B5F4D204" w:tentative="1">
      <w:start w:val="1"/>
      <w:numFmt w:val="decimal"/>
      <w:lvlText w:val="%7."/>
      <w:lvlJc w:val="left"/>
      <w:pPr>
        <w:ind w:left="5040" w:hanging="360"/>
      </w:pPr>
    </w:lvl>
    <w:lvl w:ilvl="7" w:tplc="710C3474" w:tentative="1">
      <w:start w:val="1"/>
      <w:numFmt w:val="lowerLetter"/>
      <w:lvlText w:val="%8."/>
      <w:lvlJc w:val="left"/>
      <w:pPr>
        <w:ind w:left="5760" w:hanging="360"/>
      </w:pPr>
    </w:lvl>
    <w:lvl w:ilvl="8" w:tplc="97CAA586"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hdrShapeDefaults>
    <o:shapedefaults v:ext="edit" spidmax="2049"/>
  </w:hdrShapeDefaults>
  <w:footnotePr>
    <w:footnote w:id="-1"/>
    <w:footnote w:id="0"/>
  </w:footnotePr>
  <w:endnotePr>
    <w:endnote w:id="-1"/>
    <w:endnote w:id="0"/>
  </w:endnotePr>
  <w:compat/>
  <w:rsids>
    <w:rsidRoot w:val="00144B0C"/>
    <w:rsid w:val="0000310D"/>
    <w:rsid w:val="000100FA"/>
    <w:rsid w:val="00014239"/>
    <w:rsid w:val="00033715"/>
    <w:rsid w:val="00043407"/>
    <w:rsid w:val="000571DE"/>
    <w:rsid w:val="00057CED"/>
    <w:rsid w:val="0006086C"/>
    <w:rsid w:val="00064389"/>
    <w:rsid w:val="00093395"/>
    <w:rsid w:val="00094164"/>
    <w:rsid w:val="000A266C"/>
    <w:rsid w:val="000B53AD"/>
    <w:rsid w:val="000C24E4"/>
    <w:rsid w:val="000D1782"/>
    <w:rsid w:val="000D1E9F"/>
    <w:rsid w:val="000F56DC"/>
    <w:rsid w:val="000F7DE5"/>
    <w:rsid w:val="00111A6A"/>
    <w:rsid w:val="00144B0C"/>
    <w:rsid w:val="001666C4"/>
    <w:rsid w:val="00172536"/>
    <w:rsid w:val="001936E0"/>
    <w:rsid w:val="001F78F6"/>
    <w:rsid w:val="00203618"/>
    <w:rsid w:val="0021718D"/>
    <w:rsid w:val="00223386"/>
    <w:rsid w:val="00233793"/>
    <w:rsid w:val="00243D63"/>
    <w:rsid w:val="00253F28"/>
    <w:rsid w:val="002636FF"/>
    <w:rsid w:val="00271027"/>
    <w:rsid w:val="002C78D3"/>
    <w:rsid w:val="002D093A"/>
    <w:rsid w:val="002E02CC"/>
    <w:rsid w:val="002F2FCF"/>
    <w:rsid w:val="00306B21"/>
    <w:rsid w:val="00334367"/>
    <w:rsid w:val="0035227C"/>
    <w:rsid w:val="00364794"/>
    <w:rsid w:val="00380795"/>
    <w:rsid w:val="003A7D9F"/>
    <w:rsid w:val="003B1A66"/>
    <w:rsid w:val="003C467B"/>
    <w:rsid w:val="003D069A"/>
    <w:rsid w:val="003F305D"/>
    <w:rsid w:val="00403B45"/>
    <w:rsid w:val="00413332"/>
    <w:rsid w:val="00417CF4"/>
    <w:rsid w:val="00423477"/>
    <w:rsid w:val="00427A9E"/>
    <w:rsid w:val="004668FC"/>
    <w:rsid w:val="00480A9B"/>
    <w:rsid w:val="00491319"/>
    <w:rsid w:val="0049705C"/>
    <w:rsid w:val="004A24C8"/>
    <w:rsid w:val="004B0AE0"/>
    <w:rsid w:val="004C30B3"/>
    <w:rsid w:val="004D4404"/>
    <w:rsid w:val="004F060F"/>
    <w:rsid w:val="00510671"/>
    <w:rsid w:val="005217D6"/>
    <w:rsid w:val="00532BFF"/>
    <w:rsid w:val="005632FE"/>
    <w:rsid w:val="005652A7"/>
    <w:rsid w:val="005707B1"/>
    <w:rsid w:val="00577C0F"/>
    <w:rsid w:val="00596F8A"/>
    <w:rsid w:val="005A471D"/>
    <w:rsid w:val="005A6CAC"/>
    <w:rsid w:val="005B09F1"/>
    <w:rsid w:val="005B386F"/>
    <w:rsid w:val="00607DD1"/>
    <w:rsid w:val="00616EE8"/>
    <w:rsid w:val="00624C48"/>
    <w:rsid w:val="00642776"/>
    <w:rsid w:val="00653F7B"/>
    <w:rsid w:val="0066776E"/>
    <w:rsid w:val="00682DEE"/>
    <w:rsid w:val="00687FB4"/>
    <w:rsid w:val="00697A93"/>
    <w:rsid w:val="006B3CB2"/>
    <w:rsid w:val="006C01C6"/>
    <w:rsid w:val="006C50AB"/>
    <w:rsid w:val="006F3942"/>
    <w:rsid w:val="00702106"/>
    <w:rsid w:val="00710B4F"/>
    <w:rsid w:val="00720E4A"/>
    <w:rsid w:val="00722FE3"/>
    <w:rsid w:val="0072721B"/>
    <w:rsid w:val="00767810"/>
    <w:rsid w:val="0077654D"/>
    <w:rsid w:val="00794EB3"/>
    <w:rsid w:val="007B6A15"/>
    <w:rsid w:val="007C77C1"/>
    <w:rsid w:val="007E076C"/>
    <w:rsid w:val="00810178"/>
    <w:rsid w:val="00817A37"/>
    <w:rsid w:val="00842496"/>
    <w:rsid w:val="00854329"/>
    <w:rsid w:val="00860554"/>
    <w:rsid w:val="00884D63"/>
    <w:rsid w:val="00887495"/>
    <w:rsid w:val="008A17BC"/>
    <w:rsid w:val="008A60F0"/>
    <w:rsid w:val="008A61F4"/>
    <w:rsid w:val="008B29F6"/>
    <w:rsid w:val="008B3C9D"/>
    <w:rsid w:val="008D5D5E"/>
    <w:rsid w:val="008E29DA"/>
    <w:rsid w:val="008F107A"/>
    <w:rsid w:val="008F6DA3"/>
    <w:rsid w:val="009443A4"/>
    <w:rsid w:val="00965A07"/>
    <w:rsid w:val="00973FCE"/>
    <w:rsid w:val="00996EC3"/>
    <w:rsid w:val="009B02A5"/>
    <w:rsid w:val="009B797E"/>
    <w:rsid w:val="009E0FBE"/>
    <w:rsid w:val="009E3B34"/>
    <w:rsid w:val="009E6E1F"/>
    <w:rsid w:val="00A0103C"/>
    <w:rsid w:val="00A312B7"/>
    <w:rsid w:val="00A31383"/>
    <w:rsid w:val="00A471B1"/>
    <w:rsid w:val="00A505D0"/>
    <w:rsid w:val="00A51DA8"/>
    <w:rsid w:val="00A60B5C"/>
    <w:rsid w:val="00A746BA"/>
    <w:rsid w:val="00A8261F"/>
    <w:rsid w:val="00AC17CA"/>
    <w:rsid w:val="00AD2444"/>
    <w:rsid w:val="00AD3E64"/>
    <w:rsid w:val="00AE0339"/>
    <w:rsid w:val="00AE74C9"/>
    <w:rsid w:val="00AF50AA"/>
    <w:rsid w:val="00B0145B"/>
    <w:rsid w:val="00B04AEE"/>
    <w:rsid w:val="00B061F8"/>
    <w:rsid w:val="00B235C0"/>
    <w:rsid w:val="00B56706"/>
    <w:rsid w:val="00B60F63"/>
    <w:rsid w:val="00B63672"/>
    <w:rsid w:val="00B70D5B"/>
    <w:rsid w:val="00B71A0E"/>
    <w:rsid w:val="00B71D2D"/>
    <w:rsid w:val="00B73A5B"/>
    <w:rsid w:val="00B760D3"/>
    <w:rsid w:val="00BA21AB"/>
    <w:rsid w:val="00BB1941"/>
    <w:rsid w:val="00BC155F"/>
    <w:rsid w:val="00BE34F1"/>
    <w:rsid w:val="00BE5E13"/>
    <w:rsid w:val="00C042FD"/>
    <w:rsid w:val="00C11F21"/>
    <w:rsid w:val="00C612C8"/>
    <w:rsid w:val="00C8279F"/>
    <w:rsid w:val="00C928A2"/>
    <w:rsid w:val="00C9604D"/>
    <w:rsid w:val="00CC442C"/>
    <w:rsid w:val="00D10E18"/>
    <w:rsid w:val="00D36A88"/>
    <w:rsid w:val="00D400CB"/>
    <w:rsid w:val="00D40563"/>
    <w:rsid w:val="00D44AE0"/>
    <w:rsid w:val="00D52088"/>
    <w:rsid w:val="00D63BD4"/>
    <w:rsid w:val="00D644E3"/>
    <w:rsid w:val="00D7572E"/>
    <w:rsid w:val="00D82767"/>
    <w:rsid w:val="00D86074"/>
    <w:rsid w:val="00DC0A81"/>
    <w:rsid w:val="00DC68BA"/>
    <w:rsid w:val="00E14B5B"/>
    <w:rsid w:val="00E220CA"/>
    <w:rsid w:val="00E2775C"/>
    <w:rsid w:val="00E40CE1"/>
    <w:rsid w:val="00E7195A"/>
    <w:rsid w:val="00E72000"/>
    <w:rsid w:val="00EC673C"/>
    <w:rsid w:val="00EE1EA4"/>
    <w:rsid w:val="00EF7BC2"/>
    <w:rsid w:val="00F0600C"/>
    <w:rsid w:val="00F165EF"/>
    <w:rsid w:val="00F21459"/>
    <w:rsid w:val="00F2153E"/>
    <w:rsid w:val="00F26317"/>
    <w:rsid w:val="00F334C8"/>
    <w:rsid w:val="00F353BD"/>
    <w:rsid w:val="00F4087A"/>
    <w:rsid w:val="00F549F5"/>
    <w:rsid w:val="00F54A52"/>
    <w:rsid w:val="00F54F61"/>
    <w:rsid w:val="00F76930"/>
    <w:rsid w:val="00F847BF"/>
    <w:rsid w:val="00FA2F13"/>
    <w:rsid w:val="00FA702C"/>
    <w:rsid w:val="00FB29F7"/>
    <w:rsid w:val="00FE16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67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unhideWhenUsed/>
    <w:rsid w:val="00B63672"/>
    <w:pPr>
      <w:spacing w:after="0" w:line="240" w:lineRule="auto"/>
    </w:pPr>
    <w:rPr>
      <w:rFonts w:ascii="Tahoma" w:hAnsi="Tahoma" w:cs="Tahoma"/>
      <w:sz w:val="16"/>
      <w:szCs w:val="16"/>
    </w:rPr>
  </w:style>
  <w:style w:type="character" w:customStyle="1" w:styleId="BalloonTextChar">
    <w:name w:val="Balloon Text Char"/>
    <w:basedOn w:val="DefaultParagraphFont"/>
    <w:semiHidden/>
    <w:rsid w:val="00B63672"/>
    <w:rPr>
      <w:rFonts w:ascii="Tahoma" w:hAnsi="Tahoma" w:cs="Tahoma"/>
      <w:sz w:val="16"/>
      <w:szCs w:val="16"/>
    </w:rPr>
  </w:style>
  <w:style w:type="paragraph" w:styleId="ListParagraph">
    <w:name w:val="List Paragraph"/>
    <w:basedOn w:val="Normal"/>
    <w:qFormat/>
    <w:rsid w:val="00B63672"/>
    <w:pPr>
      <w:ind w:left="720"/>
      <w:contextualSpacing/>
    </w:pPr>
  </w:style>
  <w:style w:type="paragraph" w:styleId="DocumentMap">
    <w:name w:val="Document Map"/>
    <w:basedOn w:val="Normal"/>
    <w:semiHidden/>
    <w:unhideWhenUsed/>
    <w:rsid w:val="00B63672"/>
    <w:pPr>
      <w:spacing w:after="0" w:line="240" w:lineRule="auto"/>
    </w:pPr>
    <w:rPr>
      <w:rFonts w:ascii="Tahoma" w:hAnsi="Tahoma" w:cs="Tahoma"/>
      <w:sz w:val="16"/>
      <w:szCs w:val="16"/>
    </w:rPr>
  </w:style>
  <w:style w:type="character" w:customStyle="1" w:styleId="DocumentMapChar">
    <w:name w:val="Document Map Char"/>
    <w:basedOn w:val="DefaultParagraphFont"/>
    <w:semiHidden/>
    <w:rsid w:val="00B63672"/>
    <w:rPr>
      <w:rFonts w:ascii="Tahoma" w:hAnsi="Tahoma" w:cs="Tahoma"/>
      <w:sz w:val="16"/>
      <w:szCs w:val="16"/>
    </w:rPr>
  </w:style>
  <w:style w:type="paragraph" w:styleId="Header">
    <w:name w:val="header"/>
    <w:basedOn w:val="Normal"/>
    <w:semiHidden/>
    <w:unhideWhenUsed/>
    <w:rsid w:val="00B63672"/>
    <w:pPr>
      <w:tabs>
        <w:tab w:val="center" w:pos="4680"/>
        <w:tab w:val="right" w:pos="9360"/>
      </w:tabs>
      <w:spacing w:after="0" w:line="240" w:lineRule="auto"/>
    </w:pPr>
  </w:style>
  <w:style w:type="character" w:customStyle="1" w:styleId="HeaderChar">
    <w:name w:val="Header Char"/>
    <w:basedOn w:val="DefaultParagraphFont"/>
    <w:semiHidden/>
    <w:rsid w:val="00B63672"/>
  </w:style>
  <w:style w:type="paragraph" w:styleId="Footer">
    <w:name w:val="footer"/>
    <w:basedOn w:val="Normal"/>
    <w:uiPriority w:val="99"/>
    <w:unhideWhenUsed/>
    <w:rsid w:val="00B63672"/>
    <w:pPr>
      <w:tabs>
        <w:tab w:val="center" w:pos="4680"/>
        <w:tab w:val="right" w:pos="9360"/>
      </w:tabs>
      <w:spacing w:after="0" w:line="240" w:lineRule="auto"/>
    </w:pPr>
  </w:style>
  <w:style w:type="character" w:customStyle="1" w:styleId="FooterChar">
    <w:name w:val="Footer Char"/>
    <w:basedOn w:val="DefaultParagraphFont"/>
    <w:uiPriority w:val="99"/>
    <w:rsid w:val="00B63672"/>
  </w:style>
  <w:style w:type="character" w:styleId="CommentReference">
    <w:name w:val="annotation reference"/>
    <w:basedOn w:val="DefaultParagraphFont"/>
    <w:semiHidden/>
    <w:unhideWhenUsed/>
    <w:rsid w:val="00B63672"/>
    <w:rPr>
      <w:sz w:val="16"/>
      <w:szCs w:val="16"/>
    </w:rPr>
  </w:style>
  <w:style w:type="paragraph" w:styleId="CommentText">
    <w:name w:val="annotation text"/>
    <w:basedOn w:val="Normal"/>
    <w:semiHidden/>
    <w:unhideWhenUsed/>
    <w:rsid w:val="00B63672"/>
    <w:pPr>
      <w:spacing w:line="240" w:lineRule="auto"/>
    </w:pPr>
    <w:rPr>
      <w:sz w:val="20"/>
      <w:szCs w:val="20"/>
    </w:rPr>
  </w:style>
  <w:style w:type="character" w:customStyle="1" w:styleId="CommentTextChar">
    <w:name w:val="Comment Text Char"/>
    <w:basedOn w:val="DefaultParagraphFont"/>
    <w:semiHidden/>
    <w:rsid w:val="00B63672"/>
    <w:rPr>
      <w:sz w:val="20"/>
      <w:szCs w:val="20"/>
    </w:rPr>
  </w:style>
  <w:style w:type="paragraph" w:styleId="CommentSubject">
    <w:name w:val="annotation subject"/>
    <w:basedOn w:val="CommentText"/>
    <w:next w:val="CommentText"/>
    <w:semiHidden/>
    <w:unhideWhenUsed/>
    <w:rsid w:val="00B63672"/>
    <w:rPr>
      <w:b/>
      <w:bCs/>
    </w:rPr>
  </w:style>
  <w:style w:type="character" w:customStyle="1" w:styleId="CommentSubjectChar">
    <w:name w:val="Comment Subject Char"/>
    <w:basedOn w:val="CommentTextChar"/>
    <w:semiHidden/>
    <w:rsid w:val="00B63672"/>
    <w:rPr>
      <w:b/>
      <w:bCs/>
    </w:rPr>
  </w:style>
  <w:style w:type="paragraph" w:styleId="EndnoteText">
    <w:name w:val="endnote text"/>
    <w:basedOn w:val="Normal"/>
    <w:link w:val="EndnoteTextChar"/>
    <w:uiPriority w:val="99"/>
    <w:unhideWhenUsed/>
    <w:rsid w:val="00B73A5B"/>
    <w:pPr>
      <w:spacing w:after="0" w:line="240" w:lineRule="auto"/>
    </w:pPr>
    <w:rPr>
      <w:sz w:val="20"/>
      <w:szCs w:val="20"/>
    </w:rPr>
  </w:style>
  <w:style w:type="character" w:customStyle="1" w:styleId="EndnoteTextChar">
    <w:name w:val="Endnote Text Char"/>
    <w:basedOn w:val="DefaultParagraphFont"/>
    <w:link w:val="EndnoteText"/>
    <w:uiPriority w:val="99"/>
    <w:rsid w:val="00B73A5B"/>
  </w:style>
  <w:style w:type="character" w:styleId="EndnoteReference">
    <w:name w:val="endnote reference"/>
    <w:basedOn w:val="DefaultParagraphFont"/>
    <w:uiPriority w:val="99"/>
    <w:unhideWhenUsed/>
    <w:rsid w:val="00B73A5B"/>
    <w:rPr>
      <w:vertAlign w:val="superscript"/>
    </w:rPr>
  </w:style>
  <w:style w:type="character" w:styleId="Hyperlink">
    <w:name w:val="Hyperlink"/>
    <w:basedOn w:val="DefaultParagraphFont"/>
    <w:uiPriority w:val="99"/>
    <w:unhideWhenUsed/>
    <w:rsid w:val="00B73A5B"/>
    <w:rPr>
      <w:color w:val="0000FF" w:themeColor="hyperlink"/>
      <w:u w:val="single"/>
    </w:rPr>
  </w:style>
  <w:style w:type="paragraph" w:styleId="Caption">
    <w:name w:val="caption"/>
    <w:basedOn w:val="Normal"/>
    <w:next w:val="Normal"/>
    <w:uiPriority w:val="35"/>
    <w:unhideWhenUsed/>
    <w:qFormat/>
    <w:rsid w:val="00B061F8"/>
    <w:pPr>
      <w:spacing w:line="240" w:lineRule="auto"/>
    </w:pPr>
    <w:rPr>
      <w:b/>
      <w:bCs/>
      <w:color w:val="4F81BD" w:themeColor="accent1"/>
      <w:sz w:val="18"/>
      <w:szCs w:val="18"/>
    </w:rPr>
  </w:style>
  <w:style w:type="paragraph" w:styleId="FootnoteText">
    <w:name w:val="footnote text"/>
    <w:basedOn w:val="Normal"/>
    <w:link w:val="FootnoteTextChar"/>
    <w:uiPriority w:val="99"/>
    <w:semiHidden/>
    <w:unhideWhenUsed/>
    <w:rsid w:val="00B760D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60D3"/>
  </w:style>
  <w:style w:type="character" w:styleId="FootnoteReference">
    <w:name w:val="footnote reference"/>
    <w:basedOn w:val="DefaultParagraphFont"/>
    <w:uiPriority w:val="99"/>
    <w:semiHidden/>
    <w:unhideWhenUsed/>
    <w:rsid w:val="00B760D3"/>
    <w:rPr>
      <w:vertAlign w:val="superscript"/>
    </w:rPr>
  </w:style>
  <w:style w:type="paragraph" w:styleId="Bibliography">
    <w:name w:val="Bibliography"/>
    <w:basedOn w:val="Normal"/>
    <w:next w:val="Normal"/>
    <w:uiPriority w:val="37"/>
    <w:unhideWhenUsed/>
    <w:rsid w:val="00306B21"/>
  </w:style>
</w:styles>
</file>

<file path=word/webSettings.xml><?xml version="1.0" encoding="utf-8"?>
<w:webSettings xmlns:r="http://schemas.openxmlformats.org/officeDocument/2006/relationships" xmlns:w="http://schemas.openxmlformats.org/wordprocessingml/2006/main">
  <w:divs>
    <w:div w:id="182937739">
      <w:bodyDiv w:val="1"/>
      <w:marLeft w:val="0"/>
      <w:marRight w:val="0"/>
      <w:marTop w:val="0"/>
      <w:marBottom w:val="0"/>
      <w:divBdr>
        <w:top w:val="none" w:sz="0" w:space="0" w:color="auto"/>
        <w:left w:val="none" w:sz="0" w:space="0" w:color="auto"/>
        <w:bottom w:val="none" w:sz="0" w:space="0" w:color="auto"/>
        <w:right w:val="none" w:sz="0" w:space="0" w:color="auto"/>
      </w:divBdr>
    </w:div>
    <w:div w:id="465316476">
      <w:bodyDiv w:val="1"/>
      <w:marLeft w:val="0"/>
      <w:marRight w:val="0"/>
      <w:marTop w:val="0"/>
      <w:marBottom w:val="0"/>
      <w:divBdr>
        <w:top w:val="none" w:sz="0" w:space="0" w:color="auto"/>
        <w:left w:val="none" w:sz="0" w:space="0" w:color="auto"/>
        <w:bottom w:val="none" w:sz="0" w:space="0" w:color="auto"/>
        <w:right w:val="none" w:sz="0" w:space="0" w:color="auto"/>
      </w:divBdr>
    </w:div>
    <w:div w:id="639768157">
      <w:bodyDiv w:val="1"/>
      <w:marLeft w:val="0"/>
      <w:marRight w:val="0"/>
      <w:marTop w:val="0"/>
      <w:marBottom w:val="0"/>
      <w:divBdr>
        <w:top w:val="none" w:sz="0" w:space="0" w:color="auto"/>
        <w:left w:val="none" w:sz="0" w:space="0" w:color="auto"/>
        <w:bottom w:val="none" w:sz="0" w:space="0" w:color="auto"/>
        <w:right w:val="none" w:sz="0" w:space="0" w:color="auto"/>
      </w:divBdr>
    </w:div>
    <w:div w:id="852577245">
      <w:bodyDiv w:val="1"/>
      <w:marLeft w:val="0"/>
      <w:marRight w:val="0"/>
      <w:marTop w:val="0"/>
      <w:marBottom w:val="0"/>
      <w:divBdr>
        <w:top w:val="none" w:sz="0" w:space="0" w:color="auto"/>
        <w:left w:val="none" w:sz="0" w:space="0" w:color="auto"/>
        <w:bottom w:val="none" w:sz="0" w:space="0" w:color="auto"/>
        <w:right w:val="none" w:sz="0" w:space="0" w:color="auto"/>
      </w:divBdr>
    </w:div>
    <w:div w:id="1081441535">
      <w:bodyDiv w:val="1"/>
      <w:marLeft w:val="0"/>
      <w:marRight w:val="0"/>
      <w:marTop w:val="0"/>
      <w:marBottom w:val="0"/>
      <w:divBdr>
        <w:top w:val="none" w:sz="0" w:space="0" w:color="auto"/>
        <w:left w:val="none" w:sz="0" w:space="0" w:color="auto"/>
        <w:bottom w:val="none" w:sz="0" w:space="0" w:color="auto"/>
        <w:right w:val="none" w:sz="0" w:space="0" w:color="auto"/>
      </w:divBdr>
    </w:div>
    <w:div w:id="1264261244">
      <w:bodyDiv w:val="1"/>
      <w:marLeft w:val="0"/>
      <w:marRight w:val="0"/>
      <w:marTop w:val="0"/>
      <w:marBottom w:val="0"/>
      <w:divBdr>
        <w:top w:val="none" w:sz="0" w:space="0" w:color="auto"/>
        <w:left w:val="none" w:sz="0" w:space="0" w:color="auto"/>
        <w:bottom w:val="none" w:sz="0" w:space="0" w:color="auto"/>
        <w:right w:val="none" w:sz="0" w:space="0" w:color="auto"/>
      </w:divBdr>
    </w:div>
    <w:div w:id="1483081295">
      <w:bodyDiv w:val="1"/>
      <w:marLeft w:val="0"/>
      <w:marRight w:val="0"/>
      <w:marTop w:val="0"/>
      <w:marBottom w:val="0"/>
      <w:divBdr>
        <w:top w:val="none" w:sz="0" w:space="0" w:color="auto"/>
        <w:left w:val="none" w:sz="0" w:space="0" w:color="auto"/>
        <w:bottom w:val="none" w:sz="0" w:space="0" w:color="auto"/>
        <w:right w:val="none" w:sz="0" w:space="0" w:color="auto"/>
      </w:divBdr>
    </w:div>
    <w:div w:id="1858957547">
      <w:bodyDiv w:val="1"/>
      <w:marLeft w:val="0"/>
      <w:marRight w:val="0"/>
      <w:marTop w:val="0"/>
      <w:marBottom w:val="0"/>
      <w:divBdr>
        <w:top w:val="none" w:sz="0" w:space="0" w:color="auto"/>
        <w:left w:val="none" w:sz="0" w:space="0" w:color="auto"/>
        <w:bottom w:val="none" w:sz="0" w:space="0" w:color="auto"/>
        <w:right w:val="none" w:sz="0" w:space="0" w:color="auto"/>
      </w:divBdr>
    </w:div>
    <w:div w:id="205003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www.energy.ca.gov/2009publications/CEC-200-2009-017/CEC-200-2009-017-SD.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gepower.com/prod_serv/products/tech_docs/en/downloads/ger3620k.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Mee07</b:Tag>
    <b:SourceType>DocumentFromInternetSite</b:SourceType>
    <b:Guid>{41F30620-53D0-4299-B681-BDD42F69362D}</b:Guid>
    <b:LCID>0</b:LCID>
    <b:Author>
      <b:Author>
        <b:NameList>
          <b:Person>
            <b:Last>Meehan</b:Last>
            <b:First>G.</b:First>
            <b:Middle>Falk, J. Ooka, K. Litt, M.</b:Middle>
          </b:Person>
        </b:NameList>
      </b:Author>
    </b:Author>
    <b:Title>ICAPWG Demand Curve Study</b:Title>
    <b:Year>2007</b:Year>
    <b:Month>August</b:Month>
    <b:Day>15</b:Day>
    <b:YearAccessed>2010</b:YearAccessed>
    <b:MonthAccessed>1</b:MonthAccessed>
    <b:DayAccessed>6</b:DayAccessed>
    <b:URL>http://www.nyiso.com/public/webdocs/committees/bic_icapwg/meeting_materials/2007-08-24/ICAPWG_Demand_Curve_Study_Report_final_82407.pdf</b:URL>
    <b:RefOrder>1</b:RefOrder>
  </b:Source>
  <b:Source xmlns:b="http://schemas.openxmlformats.org/officeDocument/2006/bibliography" xmlns="http://schemas.openxmlformats.org/officeDocument/2006/bibliography">
    <b:Tag>Placeholder1</b:Tag>
    <b:RefOrder>2</b:RefOrder>
  </b:Source>
</b:Sources>
</file>

<file path=customXml/itemProps1.xml><?xml version="1.0" encoding="utf-8"?>
<ds:datastoreItem xmlns:ds="http://schemas.openxmlformats.org/officeDocument/2006/customXml" ds:itemID="{E5145AAF-8B3F-4F7F-BE9D-CFB5920BE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3033</TotalTime>
  <Pages>1</Pages>
  <Words>956</Words>
  <Characters>5452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Overview</vt:lpstr>
    </vt:vector>
  </TitlesOfParts>
  <Company/>
  <LinksUpToDate>false</LinksUpToDate>
  <CharactersWithSpaces>6396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dc:title>
  <dc:creator>Ian Davis</dc:creator>
  <cp:lastModifiedBy>Ian Davis</cp:lastModifiedBy>
  <cp:revision>4</cp:revision>
  <cp:lastPrinted>2010-01-14T16:59:00Z</cp:lastPrinted>
  <dcterms:created xsi:type="dcterms:W3CDTF">2010-02-13T00:00:00Z</dcterms:created>
  <dcterms:modified xsi:type="dcterms:W3CDTF">2010-02-13T17:17:00Z</dcterms:modified>
</cp:coreProperties>
</file>